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982B" w14:textId="6561D12A" w:rsidR="00EF4460" w:rsidRPr="00EF4460" w:rsidRDefault="001C4C7A" w:rsidP="00EF4460">
      <w:pPr>
        <w:rPr>
          <w:rFonts w:ascii="Arial" w:hAnsi="Arial" w:cs="Arial"/>
        </w:rPr>
      </w:pPr>
      <w:proofErr w:type="gramStart"/>
      <w:r w:rsidRPr="001C4C7A">
        <w:rPr>
          <w:rFonts w:ascii="Arial" w:hAnsi="Arial" w:cs="Arial"/>
        </w:rPr>
        <w:t>The protection</w:t>
      </w:r>
      <w:proofErr w:type="gramEnd"/>
      <w:r w:rsidRPr="001C4C7A">
        <w:rPr>
          <w:rFonts w:ascii="Arial" w:hAnsi="Arial" w:cs="Arial"/>
        </w:rPr>
        <w:t xml:space="preserve"> of personal data is a cornerstone of modern data governance</w:t>
      </w:r>
      <w:r w:rsidRPr="00A97E62">
        <w:rPr>
          <w:rFonts w:ascii="Arial" w:hAnsi="Arial" w:cs="Arial"/>
        </w:rPr>
        <w:t xml:space="preserve">. </w:t>
      </w:r>
      <w:r w:rsidR="0069573D" w:rsidRPr="00A97E62">
        <w:rPr>
          <w:rFonts w:ascii="Arial" w:hAnsi="Arial" w:cs="Arial"/>
        </w:rPr>
        <w:t xml:space="preserve">The EU general data protection regulation (GDPR) is the strongest privacy and security law in the </w:t>
      </w:r>
      <w:r w:rsidR="004709F1" w:rsidRPr="00A97E62">
        <w:rPr>
          <w:rFonts w:ascii="Arial" w:hAnsi="Arial" w:cs="Arial"/>
        </w:rPr>
        <w:t>world. (</w:t>
      </w:r>
      <w:r w:rsidR="005204F6" w:rsidRPr="00A97E62">
        <w:rPr>
          <w:rFonts w:ascii="Arial" w:hAnsi="Arial" w:cs="Arial"/>
        </w:rPr>
        <w:t>European Council, 2024).</w:t>
      </w:r>
      <w:r w:rsidR="0069573D" w:rsidRPr="00A97E62">
        <w:rPr>
          <w:rFonts w:ascii="Arial" w:hAnsi="Arial" w:cs="Arial"/>
        </w:rPr>
        <w:t xml:space="preserve"> </w:t>
      </w:r>
      <w:r w:rsidR="004C0F8C" w:rsidRPr="00A97E62">
        <w:rPr>
          <w:rFonts w:ascii="Arial" w:hAnsi="Arial" w:cs="Arial"/>
        </w:rPr>
        <w:t xml:space="preserve">GDPR articles </w:t>
      </w:r>
      <w:r w:rsidR="004C0F8C" w:rsidRPr="00F74AA1">
        <w:rPr>
          <w:rFonts w:ascii="Arial" w:hAnsi="Arial" w:cs="Arial"/>
        </w:rPr>
        <w:t>5(1)(f) and 32</w:t>
      </w:r>
      <w:r w:rsidR="004C0F8C" w:rsidRPr="00A97E62">
        <w:rPr>
          <w:rFonts w:ascii="Arial" w:hAnsi="Arial" w:cs="Arial"/>
        </w:rPr>
        <w:t xml:space="preserve"> </w:t>
      </w:r>
      <w:r w:rsidR="004709F1" w:rsidRPr="00A97E62">
        <w:rPr>
          <w:rFonts w:ascii="Arial" w:hAnsi="Arial" w:cs="Arial"/>
        </w:rPr>
        <w:t>enforce</w:t>
      </w:r>
      <w:r w:rsidR="004C0F8C" w:rsidRPr="00A97E62">
        <w:rPr>
          <w:rFonts w:ascii="Arial" w:hAnsi="Arial" w:cs="Arial"/>
        </w:rPr>
        <w:t xml:space="preserve"> organizations </w:t>
      </w:r>
      <w:r w:rsidR="004709F1" w:rsidRPr="00A97E62">
        <w:rPr>
          <w:rFonts w:ascii="Arial" w:hAnsi="Arial" w:cs="Arial"/>
        </w:rPr>
        <w:t xml:space="preserve">to </w:t>
      </w:r>
      <w:r w:rsidR="004C0F8C" w:rsidRPr="00A97E62">
        <w:rPr>
          <w:rFonts w:ascii="Arial" w:hAnsi="Arial" w:cs="Arial"/>
        </w:rPr>
        <w:t>process personal data with appropriate security measures and safeguard</w:t>
      </w:r>
      <w:r w:rsidR="00711ECA">
        <w:rPr>
          <w:rFonts w:ascii="Arial" w:hAnsi="Arial" w:cs="Arial"/>
        </w:rPr>
        <w:t>s</w:t>
      </w:r>
      <w:r w:rsidR="004C0F8C" w:rsidRPr="00A97E62">
        <w:rPr>
          <w:rFonts w:ascii="Arial" w:hAnsi="Arial" w:cs="Arial"/>
        </w:rPr>
        <w:t xml:space="preserve"> against </w:t>
      </w:r>
      <w:r w:rsidR="004C0F8C" w:rsidRPr="00F74AA1">
        <w:rPr>
          <w:rFonts w:ascii="Arial" w:hAnsi="Arial" w:cs="Arial"/>
        </w:rPr>
        <w:t>unauthorized access, loss, destruction, or damage.</w:t>
      </w:r>
      <w:r w:rsidR="004C0F8C" w:rsidRPr="00A97E62">
        <w:rPr>
          <w:rFonts w:ascii="Arial" w:hAnsi="Arial" w:cs="Arial"/>
        </w:rPr>
        <w:t xml:space="preserve"> </w:t>
      </w:r>
      <w:r w:rsidR="007647AC" w:rsidRPr="00CB4D44">
        <w:rPr>
          <w:rFonts w:ascii="Arial" w:hAnsi="Arial" w:cs="Arial"/>
        </w:rPr>
        <w:t xml:space="preserve">The ICO </w:t>
      </w:r>
      <w:r w:rsidR="00711ECA">
        <w:rPr>
          <w:rFonts w:ascii="Arial" w:hAnsi="Arial" w:cs="Arial"/>
        </w:rPr>
        <w:t xml:space="preserve">details </w:t>
      </w:r>
      <w:r w:rsidR="007647AC" w:rsidRPr="00CB4D44">
        <w:rPr>
          <w:rFonts w:ascii="Arial" w:hAnsi="Arial" w:cs="Arial"/>
        </w:rPr>
        <w:t>compliance requirements with structured security outcomes and practical checks (e.g., encryption, policies).</w:t>
      </w:r>
      <w:r w:rsidR="0062212C" w:rsidRPr="00A97E62">
        <w:rPr>
          <w:rFonts w:ascii="Arial" w:hAnsi="Arial" w:cs="Arial"/>
        </w:rPr>
        <w:t xml:space="preserve"> The GDPR states</w:t>
      </w:r>
      <w:r w:rsidR="00EF4460" w:rsidRPr="00A97E62">
        <w:rPr>
          <w:rFonts w:ascii="Arial" w:hAnsi="Arial" w:cs="Arial"/>
        </w:rPr>
        <w:t xml:space="preserve"> that personal data shall be: </w:t>
      </w:r>
      <w:r w:rsidR="00EF4460" w:rsidRPr="00EF4460">
        <w:rPr>
          <w:rFonts w:ascii="Arial" w:hAnsi="Arial" w:cs="Arial"/>
        </w:rPr>
        <w:t>‘processed in a manner that ensures appropriate security of the personal data, including protection against unauthorised or unlawful processing and against accidental loss, destruction or damage, using appropriate technical or organisational measures’</w:t>
      </w:r>
      <w:r w:rsidR="008C0D6C" w:rsidRPr="00A97E62">
        <w:rPr>
          <w:rFonts w:ascii="Arial" w:hAnsi="Arial" w:cs="Arial"/>
        </w:rPr>
        <w:t xml:space="preserve"> (ico.org.uk, 2024).</w:t>
      </w:r>
    </w:p>
    <w:p w14:paraId="27B55EDA" w14:textId="44359EAC" w:rsidR="00ED48C7" w:rsidRPr="00A97E62" w:rsidRDefault="00ED48C7" w:rsidP="00721BD9">
      <w:pPr>
        <w:rPr>
          <w:rFonts w:ascii="Arial" w:hAnsi="Arial" w:cs="Arial"/>
        </w:rPr>
      </w:pPr>
      <w:r w:rsidRPr="00A97E62">
        <w:rPr>
          <w:rFonts w:ascii="Arial" w:hAnsi="Arial" w:cs="Arial"/>
        </w:rPr>
        <w:t xml:space="preserve">In comparison the </w:t>
      </w:r>
      <w:r w:rsidR="005264CF" w:rsidRPr="00F74AA1">
        <w:rPr>
          <w:rFonts w:ascii="Arial" w:hAnsi="Arial" w:cs="Arial"/>
        </w:rPr>
        <w:t>Trinidad &amp; Tobago Data Protection Act, 2011</w:t>
      </w:r>
      <w:r w:rsidR="00D95130" w:rsidRPr="00A97E62">
        <w:rPr>
          <w:rFonts w:ascii="Arial" w:hAnsi="Arial" w:cs="Arial"/>
        </w:rPr>
        <w:t xml:space="preserve"> </w:t>
      </w:r>
      <w:r w:rsidR="00D95130" w:rsidRPr="00F74AA1">
        <w:rPr>
          <w:rFonts w:ascii="Arial" w:hAnsi="Arial" w:cs="Arial"/>
        </w:rPr>
        <w:t>requires public bodies and private entities to adopt appropriate security measures to protect personal data from unauthorized access, loss, disclosure, or corruption (Section 6</w:t>
      </w:r>
      <w:r w:rsidR="00D95130" w:rsidRPr="00A97E62">
        <w:rPr>
          <w:rFonts w:ascii="Arial" w:hAnsi="Arial" w:cs="Arial"/>
        </w:rPr>
        <w:t>)</w:t>
      </w:r>
      <w:r w:rsidR="00987BE0" w:rsidRPr="00A97E62">
        <w:rPr>
          <w:rFonts w:ascii="Arial" w:hAnsi="Arial" w:cs="Arial"/>
        </w:rPr>
        <w:t>.</w:t>
      </w:r>
      <w:r w:rsidR="00F36BAB" w:rsidRPr="00A97E62">
        <w:rPr>
          <w:rFonts w:ascii="Arial" w:hAnsi="Arial" w:cs="Arial"/>
        </w:rPr>
        <w:t xml:space="preserve"> It requires organizations to apply appropriate safeguards based on the sensitivity of </w:t>
      </w:r>
      <w:proofErr w:type="gramStart"/>
      <w:r w:rsidR="00F36BAB" w:rsidRPr="00A97E62">
        <w:rPr>
          <w:rFonts w:ascii="Arial" w:hAnsi="Arial" w:cs="Arial"/>
        </w:rPr>
        <w:t>the personal</w:t>
      </w:r>
      <w:proofErr w:type="gramEnd"/>
      <w:r w:rsidR="00F36BAB" w:rsidRPr="00A97E62">
        <w:rPr>
          <w:rFonts w:ascii="Arial" w:hAnsi="Arial" w:cs="Arial"/>
        </w:rPr>
        <w:t xml:space="preserve"> information.</w:t>
      </w:r>
      <w:r w:rsidR="00D46CEA" w:rsidRPr="00A97E62">
        <w:rPr>
          <w:rFonts w:ascii="Arial" w:hAnsi="Arial" w:cs="Arial"/>
          <w:sz w:val="23"/>
          <w:szCs w:val="23"/>
          <w:shd w:val="clear" w:color="auto" w:fill="FFFFFF"/>
        </w:rPr>
        <w:t xml:space="preserve"> </w:t>
      </w:r>
      <w:r w:rsidR="00D46CEA" w:rsidRPr="00A97E62">
        <w:rPr>
          <w:rFonts w:ascii="Arial" w:hAnsi="Arial" w:cs="Arial"/>
        </w:rPr>
        <w:t xml:space="preserve">(ttcsirt.gov.tt, n.d.). and </w:t>
      </w:r>
      <w:r w:rsidR="00A97E62" w:rsidRPr="00A97E62">
        <w:rPr>
          <w:rFonts w:ascii="Arial" w:hAnsi="Arial" w:cs="Arial"/>
        </w:rPr>
        <w:t>focus</w:t>
      </w:r>
      <w:r w:rsidR="00987BE0" w:rsidRPr="00A97E62">
        <w:rPr>
          <w:rFonts w:ascii="Arial" w:hAnsi="Arial" w:cs="Arial"/>
        </w:rPr>
        <w:t xml:space="preserve"> primarily on </w:t>
      </w:r>
      <w:r w:rsidR="00721BD9" w:rsidRPr="00A97E62">
        <w:rPr>
          <w:rFonts w:ascii="Arial" w:hAnsi="Arial" w:cs="Arial"/>
        </w:rPr>
        <w:t>c</w:t>
      </w:r>
      <w:r w:rsidR="00721BD9" w:rsidRPr="00F74AA1">
        <w:rPr>
          <w:rFonts w:ascii="Arial" w:hAnsi="Arial" w:cs="Arial"/>
        </w:rPr>
        <w:t>onducting risk assessments</w:t>
      </w:r>
      <w:r w:rsidR="00721BD9" w:rsidRPr="00A97E62">
        <w:rPr>
          <w:rFonts w:ascii="Arial" w:hAnsi="Arial" w:cs="Arial"/>
        </w:rPr>
        <w:t xml:space="preserve">, </w:t>
      </w:r>
      <w:r w:rsidR="00721BD9" w:rsidRPr="00F74AA1">
        <w:rPr>
          <w:rFonts w:ascii="Arial" w:hAnsi="Arial" w:cs="Arial"/>
        </w:rPr>
        <w:t>implementing technical safeguards, including encryption</w:t>
      </w:r>
      <w:r w:rsidR="00721BD9" w:rsidRPr="00A97E62">
        <w:rPr>
          <w:rFonts w:ascii="Arial" w:hAnsi="Arial" w:cs="Arial"/>
        </w:rPr>
        <w:t xml:space="preserve">, </w:t>
      </w:r>
      <w:r w:rsidR="00721BD9" w:rsidRPr="00F74AA1">
        <w:rPr>
          <w:rFonts w:ascii="Arial" w:hAnsi="Arial" w:cs="Arial"/>
        </w:rPr>
        <w:t xml:space="preserve">staff training, establishing incident response plans, </w:t>
      </w:r>
      <w:r w:rsidR="00721BD9" w:rsidRPr="00A97E62">
        <w:rPr>
          <w:rFonts w:ascii="Arial" w:hAnsi="Arial" w:cs="Arial"/>
        </w:rPr>
        <w:t>c</w:t>
      </w:r>
      <w:r w:rsidR="00721BD9" w:rsidRPr="00F74AA1">
        <w:rPr>
          <w:rFonts w:ascii="Arial" w:hAnsi="Arial" w:cs="Arial"/>
        </w:rPr>
        <w:t>onducting audits and maintaining documentation of compliance efforts</w:t>
      </w:r>
      <w:r w:rsidR="00721BD9" w:rsidRPr="00A97E62">
        <w:rPr>
          <w:rFonts w:ascii="Arial" w:hAnsi="Arial" w:cs="Arial"/>
        </w:rPr>
        <w:t>.</w:t>
      </w:r>
    </w:p>
    <w:p w14:paraId="5A0A2A49" w14:textId="60363EBC" w:rsidR="00E21B6B" w:rsidRPr="00F74AA1" w:rsidRDefault="001B7CBC" w:rsidP="00E21B6B">
      <w:pPr>
        <w:rPr>
          <w:rFonts w:ascii="Arial" w:hAnsi="Arial" w:cs="Arial"/>
          <w:b/>
          <w:bCs/>
        </w:rPr>
      </w:pPr>
      <w:r w:rsidRPr="00A97E62">
        <w:rPr>
          <w:rFonts w:ascii="Arial" w:hAnsi="Arial" w:cs="Arial"/>
        </w:rPr>
        <w:t>While both acts adopt a risk-based approach</w:t>
      </w:r>
      <w:r w:rsidR="00DF3385" w:rsidRPr="00A97E62">
        <w:rPr>
          <w:rFonts w:ascii="Arial" w:hAnsi="Arial" w:cs="Arial"/>
        </w:rPr>
        <w:t xml:space="preserve"> using technical and organizational safeguards</w:t>
      </w:r>
      <w:r w:rsidR="00797E5A" w:rsidRPr="00A97E62">
        <w:rPr>
          <w:rFonts w:ascii="Arial" w:hAnsi="Arial" w:cs="Arial"/>
        </w:rPr>
        <w:t xml:space="preserve">, </w:t>
      </w:r>
      <w:r w:rsidR="0030446B" w:rsidRPr="00A97E62">
        <w:rPr>
          <w:rFonts w:ascii="Arial" w:hAnsi="Arial" w:cs="Arial"/>
        </w:rPr>
        <w:t xml:space="preserve">the </w:t>
      </w:r>
      <w:r w:rsidR="00797E5A" w:rsidRPr="00F74AA1">
        <w:rPr>
          <w:rFonts w:ascii="Arial" w:hAnsi="Arial" w:cs="Arial"/>
        </w:rPr>
        <w:t>GDPR</w:t>
      </w:r>
      <w:r w:rsidR="00BE3B2B" w:rsidRPr="00A97E62">
        <w:rPr>
          <w:rFonts w:ascii="Arial" w:hAnsi="Arial" w:cs="Arial"/>
        </w:rPr>
        <w:t xml:space="preserve"> </w:t>
      </w:r>
      <w:r w:rsidR="00BE3B2B" w:rsidRPr="00CB4D44">
        <w:rPr>
          <w:rFonts w:ascii="Arial" w:hAnsi="Arial" w:cs="Arial"/>
        </w:rPr>
        <w:t>security framework is rigorous, systematized, and outcome-driven</w:t>
      </w:r>
      <w:r w:rsidR="00BE3B2B" w:rsidRPr="00A97E62">
        <w:rPr>
          <w:rFonts w:ascii="Arial" w:hAnsi="Arial" w:cs="Arial"/>
        </w:rPr>
        <w:t xml:space="preserve"> offering </w:t>
      </w:r>
      <w:r w:rsidR="00797E5A" w:rsidRPr="00F74AA1">
        <w:rPr>
          <w:rFonts w:ascii="Arial" w:hAnsi="Arial" w:cs="Arial"/>
        </w:rPr>
        <w:t xml:space="preserve">a </w:t>
      </w:r>
      <w:r w:rsidR="00060DE8" w:rsidRPr="00A97E62">
        <w:rPr>
          <w:rFonts w:ascii="Arial" w:hAnsi="Arial" w:cs="Arial"/>
        </w:rPr>
        <w:t>mature</w:t>
      </w:r>
      <w:r w:rsidR="00797E5A" w:rsidRPr="00F74AA1">
        <w:rPr>
          <w:rFonts w:ascii="Arial" w:hAnsi="Arial" w:cs="Arial"/>
        </w:rPr>
        <w:t xml:space="preserve"> framework with prescriptive guidance, accountability, and strong enforcement tools</w:t>
      </w:r>
      <w:r w:rsidR="00AB51AE" w:rsidRPr="00A97E62">
        <w:rPr>
          <w:rFonts w:ascii="Arial" w:hAnsi="Arial" w:cs="Arial"/>
        </w:rPr>
        <w:t xml:space="preserve"> while the </w:t>
      </w:r>
      <w:r w:rsidR="004E6296" w:rsidRPr="00A97E62">
        <w:rPr>
          <w:rFonts w:ascii="Arial" w:hAnsi="Arial" w:cs="Arial"/>
        </w:rPr>
        <w:t xml:space="preserve">Trinidad and Tobago </w:t>
      </w:r>
      <w:r w:rsidR="004E6296" w:rsidRPr="00F74AA1">
        <w:rPr>
          <w:rFonts w:ascii="Arial" w:hAnsi="Arial" w:cs="Arial"/>
        </w:rPr>
        <w:t>Da</w:t>
      </w:r>
      <w:r w:rsidR="00E21B6B" w:rsidRPr="00A97E62">
        <w:rPr>
          <w:rFonts w:ascii="Arial" w:hAnsi="Arial" w:cs="Arial"/>
        </w:rPr>
        <w:t xml:space="preserve">ta </w:t>
      </w:r>
      <w:r w:rsidR="004E6296" w:rsidRPr="00F74AA1">
        <w:rPr>
          <w:rFonts w:ascii="Arial" w:hAnsi="Arial" w:cs="Arial"/>
        </w:rPr>
        <w:t>Protection Act</w:t>
      </w:r>
      <w:r w:rsidR="005F0E1D" w:rsidRPr="00A97E62">
        <w:rPr>
          <w:rFonts w:ascii="Arial" w:hAnsi="Arial" w:cs="Arial"/>
        </w:rPr>
        <w:t xml:space="preserve"> consists of </w:t>
      </w:r>
      <w:r w:rsidR="00711ECA">
        <w:rPr>
          <w:rFonts w:ascii="Arial" w:hAnsi="Arial" w:cs="Arial"/>
        </w:rPr>
        <w:t xml:space="preserve"> </w:t>
      </w:r>
      <w:r w:rsidR="00E21B6B" w:rsidRPr="00F74AA1">
        <w:rPr>
          <w:rFonts w:ascii="Arial" w:hAnsi="Arial" w:cs="Arial"/>
        </w:rPr>
        <w:t>partial enforcement</w:t>
      </w:r>
      <w:r w:rsidR="00E21B6B" w:rsidRPr="00A97E62">
        <w:rPr>
          <w:rFonts w:ascii="Arial" w:hAnsi="Arial" w:cs="Arial"/>
        </w:rPr>
        <w:t xml:space="preserve"> and </w:t>
      </w:r>
      <w:r w:rsidR="00E21B6B" w:rsidRPr="00F74AA1">
        <w:rPr>
          <w:rFonts w:ascii="Arial" w:hAnsi="Arial" w:cs="Arial"/>
        </w:rPr>
        <w:t>less specificity around technical mandates and organizational guidance</w:t>
      </w:r>
      <w:r w:rsidR="00A162C0" w:rsidRPr="00A97E62">
        <w:rPr>
          <w:rFonts w:ascii="Arial" w:hAnsi="Arial" w:cs="Arial"/>
        </w:rPr>
        <w:t xml:space="preserve"> lack</w:t>
      </w:r>
      <w:r w:rsidR="00711ECA">
        <w:rPr>
          <w:rFonts w:ascii="Arial" w:hAnsi="Arial" w:cs="Arial"/>
        </w:rPr>
        <w:t>ing</w:t>
      </w:r>
      <w:r w:rsidR="00A162C0" w:rsidRPr="00A97E62">
        <w:rPr>
          <w:rFonts w:ascii="Arial" w:hAnsi="Arial" w:cs="Arial"/>
        </w:rPr>
        <w:t xml:space="preserve"> the full operational sophistication and enforcement clarity present in UK regulations.</w:t>
      </w:r>
      <w:r w:rsidR="00274AF1" w:rsidRPr="00A97E62">
        <w:rPr>
          <w:rFonts w:ascii="Arial" w:hAnsi="Arial" w:cs="Arial"/>
        </w:rPr>
        <w:t xml:space="preserve"> </w:t>
      </w:r>
      <w:r w:rsidR="000B7FD8" w:rsidRPr="00B94FB0">
        <w:rPr>
          <w:rFonts w:ascii="Arial" w:hAnsi="Arial" w:cs="Arial"/>
        </w:rPr>
        <w:t xml:space="preserve">Exemptions in the UK include simplified compliance for small organizations and recognized </w:t>
      </w:r>
      <w:r w:rsidR="00727133" w:rsidRPr="00B94FB0">
        <w:rPr>
          <w:rFonts w:ascii="Arial" w:hAnsi="Arial" w:cs="Arial"/>
        </w:rPr>
        <w:t>assurances,</w:t>
      </w:r>
      <w:r w:rsidR="000B7FD8" w:rsidRPr="00B94FB0">
        <w:rPr>
          <w:rFonts w:ascii="Arial" w:hAnsi="Arial" w:cs="Arial"/>
        </w:rPr>
        <w:t xml:space="preserve"> Trinidad’s </w:t>
      </w:r>
      <w:r w:rsidR="00060DE8" w:rsidRPr="00A97E62">
        <w:rPr>
          <w:rFonts w:ascii="Arial" w:hAnsi="Arial" w:cs="Arial"/>
        </w:rPr>
        <w:t>exemptions, however,</w:t>
      </w:r>
      <w:r w:rsidR="000B7FD8" w:rsidRPr="00A97E62">
        <w:rPr>
          <w:rFonts w:ascii="Arial" w:hAnsi="Arial" w:cs="Arial"/>
        </w:rPr>
        <w:t xml:space="preserve"> </w:t>
      </w:r>
      <w:r w:rsidR="000B7FD8" w:rsidRPr="00B94FB0">
        <w:rPr>
          <w:rFonts w:ascii="Arial" w:hAnsi="Arial" w:cs="Arial"/>
        </w:rPr>
        <w:t xml:space="preserve">stem more from its incomplete implementation rather than </w:t>
      </w:r>
      <w:r w:rsidR="00711ECA">
        <w:rPr>
          <w:rFonts w:ascii="Arial" w:hAnsi="Arial" w:cs="Arial"/>
        </w:rPr>
        <w:t xml:space="preserve">a </w:t>
      </w:r>
      <w:r w:rsidR="000B7FD8" w:rsidRPr="00B94FB0">
        <w:rPr>
          <w:rFonts w:ascii="Arial" w:hAnsi="Arial" w:cs="Arial"/>
        </w:rPr>
        <w:t xml:space="preserve">structured </w:t>
      </w:r>
      <w:r w:rsidR="00711ECA">
        <w:rPr>
          <w:rFonts w:ascii="Arial" w:hAnsi="Arial" w:cs="Arial"/>
        </w:rPr>
        <w:t>framework</w:t>
      </w:r>
      <w:r w:rsidR="000B7FD8" w:rsidRPr="00B94FB0">
        <w:rPr>
          <w:rFonts w:ascii="Arial" w:hAnsi="Arial" w:cs="Arial"/>
        </w:rPr>
        <w:t>.</w:t>
      </w:r>
    </w:p>
    <w:p w14:paraId="1C4A21D0" w14:textId="77777777" w:rsidR="004709F1" w:rsidRPr="00A97E62" w:rsidRDefault="004709F1" w:rsidP="004709F1">
      <w:pPr>
        <w:rPr>
          <w:rFonts w:ascii="Arial" w:hAnsi="Arial" w:cs="Arial"/>
        </w:rPr>
      </w:pPr>
    </w:p>
    <w:p w14:paraId="12426F9F" w14:textId="57738BBD" w:rsidR="004709F1" w:rsidRPr="00A97E62" w:rsidRDefault="004709F1" w:rsidP="004709F1">
      <w:pPr>
        <w:rPr>
          <w:rFonts w:ascii="Arial" w:hAnsi="Arial" w:cs="Arial"/>
          <w:b/>
          <w:bCs/>
        </w:rPr>
      </w:pPr>
      <w:r w:rsidRPr="00A97E62">
        <w:rPr>
          <w:rFonts w:ascii="Arial" w:hAnsi="Arial" w:cs="Arial"/>
          <w:b/>
          <w:bCs/>
        </w:rPr>
        <w:t>References</w:t>
      </w:r>
    </w:p>
    <w:p w14:paraId="462FCE6A" w14:textId="41BCAD14" w:rsidR="004709F1" w:rsidRPr="00A97E62" w:rsidRDefault="004709F1" w:rsidP="004709F1">
      <w:pPr>
        <w:rPr>
          <w:rFonts w:ascii="Arial" w:hAnsi="Arial" w:cs="Arial"/>
        </w:rPr>
      </w:pPr>
      <w:r w:rsidRPr="00A97E62">
        <w:rPr>
          <w:rFonts w:ascii="Arial" w:hAnsi="Arial" w:cs="Arial"/>
        </w:rPr>
        <w:t xml:space="preserve">European Council (2024). The general data protection regulation. [online] Consilium. Available at: </w:t>
      </w:r>
      <w:hyperlink r:id="rId5" w:history="1">
        <w:r w:rsidRPr="00A97E62">
          <w:rPr>
            <w:rStyle w:val="Hyperlink"/>
            <w:rFonts w:ascii="Arial" w:hAnsi="Arial" w:cs="Arial"/>
            <w:color w:val="auto"/>
          </w:rPr>
          <w:t>https://www.consilium.europa.eu/en/policies/data-protection-regulation/</w:t>
        </w:r>
      </w:hyperlink>
      <w:r w:rsidRPr="00A97E62">
        <w:rPr>
          <w:rFonts w:ascii="Arial" w:hAnsi="Arial" w:cs="Arial"/>
        </w:rPr>
        <w:t>.</w:t>
      </w:r>
    </w:p>
    <w:p w14:paraId="65A7DF34" w14:textId="3C82AC86" w:rsidR="001823BC" w:rsidRPr="00A97E62" w:rsidRDefault="00BA64C6" w:rsidP="001823BC">
      <w:pPr>
        <w:rPr>
          <w:rFonts w:ascii="Arial" w:hAnsi="Arial" w:cs="Arial"/>
        </w:rPr>
      </w:pPr>
      <w:r w:rsidRPr="00A97E62">
        <w:rPr>
          <w:rFonts w:ascii="Arial" w:hAnsi="Arial" w:cs="Arial"/>
        </w:rPr>
        <w:t xml:space="preserve">ico.org.uk. (2024). Security outcomes. [online] Available at: </w:t>
      </w:r>
      <w:hyperlink r:id="rId6" w:history="1">
        <w:r w:rsidRPr="00A97E62">
          <w:rPr>
            <w:rStyle w:val="Hyperlink"/>
            <w:rFonts w:ascii="Arial" w:hAnsi="Arial" w:cs="Arial"/>
            <w:color w:val="auto"/>
          </w:rPr>
          <w:t>https://ico.org.uk/for-organisations/uk-gdpr-guidance-and-resources/security/a-guide-to-data-security/security-outcomes/</w:t>
        </w:r>
      </w:hyperlink>
      <w:r w:rsidRPr="00A97E62">
        <w:rPr>
          <w:rFonts w:ascii="Arial" w:hAnsi="Arial" w:cs="Arial"/>
        </w:rPr>
        <w:t>.</w:t>
      </w:r>
    </w:p>
    <w:p w14:paraId="7D013C9D" w14:textId="6758D2B4" w:rsidR="0057615E" w:rsidRPr="00A97E62" w:rsidRDefault="0057615E" w:rsidP="001823BC">
      <w:pPr>
        <w:rPr>
          <w:rFonts w:ascii="Arial" w:hAnsi="Arial" w:cs="Arial"/>
        </w:rPr>
      </w:pPr>
      <w:r w:rsidRPr="00A97E62">
        <w:rPr>
          <w:rFonts w:ascii="Arial" w:hAnsi="Arial" w:cs="Arial"/>
        </w:rPr>
        <w:t xml:space="preserve">ttcsirt.gov.tt. (n.d.). DATA PROTECTION – TT-CSIRT: Trinidad and Tobago Cyber Security Incident Response Team. [online] Available at: </w:t>
      </w:r>
      <w:hyperlink r:id="rId7" w:history="1">
        <w:r w:rsidRPr="00A97E62">
          <w:rPr>
            <w:rStyle w:val="Hyperlink"/>
            <w:rFonts w:ascii="Arial" w:hAnsi="Arial" w:cs="Arial"/>
            <w:color w:val="auto"/>
          </w:rPr>
          <w:t>https://ttcsirt.gov.tt/data-protection/</w:t>
        </w:r>
      </w:hyperlink>
      <w:r w:rsidRPr="00A97E62">
        <w:rPr>
          <w:rFonts w:ascii="Arial" w:hAnsi="Arial" w:cs="Arial"/>
        </w:rPr>
        <w:t>.</w:t>
      </w:r>
    </w:p>
    <w:p w14:paraId="07AF502D" w14:textId="77777777" w:rsidR="0057615E" w:rsidRPr="00A97E62" w:rsidRDefault="0057615E" w:rsidP="001823BC">
      <w:pPr>
        <w:rPr>
          <w:rFonts w:ascii="Arial" w:hAnsi="Arial" w:cs="Arial"/>
        </w:rPr>
      </w:pPr>
    </w:p>
    <w:sectPr w:rsidR="0057615E" w:rsidRPr="00A97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779BD"/>
    <w:multiLevelType w:val="multilevel"/>
    <w:tmpl w:val="4B3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D645A"/>
    <w:multiLevelType w:val="multilevel"/>
    <w:tmpl w:val="270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B6058"/>
    <w:multiLevelType w:val="multilevel"/>
    <w:tmpl w:val="B64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D2867"/>
    <w:multiLevelType w:val="multilevel"/>
    <w:tmpl w:val="4DFC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947">
    <w:abstractNumId w:val="2"/>
  </w:num>
  <w:num w:numId="2" w16cid:durableId="1308392456">
    <w:abstractNumId w:val="1"/>
  </w:num>
  <w:num w:numId="3" w16cid:durableId="1979796706">
    <w:abstractNumId w:val="3"/>
  </w:num>
  <w:num w:numId="4" w16cid:durableId="117245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8C"/>
    <w:rsid w:val="00060DE8"/>
    <w:rsid w:val="00097122"/>
    <w:rsid w:val="000B7FD8"/>
    <w:rsid w:val="00114F71"/>
    <w:rsid w:val="001823BC"/>
    <w:rsid w:val="001A18DF"/>
    <w:rsid w:val="001B7CBC"/>
    <w:rsid w:val="001C4C7A"/>
    <w:rsid w:val="00274AF1"/>
    <w:rsid w:val="002949D3"/>
    <w:rsid w:val="002D3A0C"/>
    <w:rsid w:val="0030446B"/>
    <w:rsid w:val="00344E63"/>
    <w:rsid w:val="0039443F"/>
    <w:rsid w:val="003B7715"/>
    <w:rsid w:val="004709F1"/>
    <w:rsid w:val="00484370"/>
    <w:rsid w:val="004C0F8C"/>
    <w:rsid w:val="004E6296"/>
    <w:rsid w:val="00517920"/>
    <w:rsid w:val="005204F6"/>
    <w:rsid w:val="005264CF"/>
    <w:rsid w:val="005709E4"/>
    <w:rsid w:val="0057615E"/>
    <w:rsid w:val="005C4858"/>
    <w:rsid w:val="005D31B0"/>
    <w:rsid w:val="005F0E1D"/>
    <w:rsid w:val="0062212C"/>
    <w:rsid w:val="0062328E"/>
    <w:rsid w:val="0069573D"/>
    <w:rsid w:val="00710ED0"/>
    <w:rsid w:val="00711ECA"/>
    <w:rsid w:val="0072080A"/>
    <w:rsid w:val="00721BD9"/>
    <w:rsid w:val="00727133"/>
    <w:rsid w:val="007647AC"/>
    <w:rsid w:val="00797E5A"/>
    <w:rsid w:val="00826A42"/>
    <w:rsid w:val="00853F5D"/>
    <w:rsid w:val="008B22B1"/>
    <w:rsid w:val="008C0D6C"/>
    <w:rsid w:val="008F6C46"/>
    <w:rsid w:val="00916B15"/>
    <w:rsid w:val="0097500E"/>
    <w:rsid w:val="00987BE0"/>
    <w:rsid w:val="00A162C0"/>
    <w:rsid w:val="00A34BB1"/>
    <w:rsid w:val="00A97E62"/>
    <w:rsid w:val="00AB51AE"/>
    <w:rsid w:val="00B83557"/>
    <w:rsid w:val="00BA64C6"/>
    <w:rsid w:val="00BE3B2B"/>
    <w:rsid w:val="00BF0255"/>
    <w:rsid w:val="00C47DF3"/>
    <w:rsid w:val="00C71C69"/>
    <w:rsid w:val="00C80324"/>
    <w:rsid w:val="00CB4D44"/>
    <w:rsid w:val="00D12BC2"/>
    <w:rsid w:val="00D46CEA"/>
    <w:rsid w:val="00D7659B"/>
    <w:rsid w:val="00D95130"/>
    <w:rsid w:val="00DF3385"/>
    <w:rsid w:val="00E21B6B"/>
    <w:rsid w:val="00E6703A"/>
    <w:rsid w:val="00ED48C7"/>
    <w:rsid w:val="00EF4460"/>
    <w:rsid w:val="00EF5C4A"/>
    <w:rsid w:val="00F155CC"/>
    <w:rsid w:val="00F3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375E"/>
  <w15:chartTrackingRefBased/>
  <w15:docId w15:val="{78F6001E-85DB-4E72-9A14-6446A82B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9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9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44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tcsirt.gov.tt/data-protec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o.org.uk/for-organisations/uk-gdpr-guidance-and-resources/security/a-guide-to-data-security/security-outcomes/" TargetMode="External"/><Relationship Id="rId5" Type="http://schemas.openxmlformats.org/officeDocument/2006/relationships/hyperlink" Target="https://www.consilium.europa.eu/en/policies/data-protection-regul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321</Words>
  <Characters>2398</Characters>
  <Application>Microsoft Office Word</Application>
  <DocSecurity>0</DocSecurity>
  <Lines>37</Lines>
  <Paragraphs>7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Fiaz Ali</dc:creator>
  <cp:keywords/>
  <dc:description/>
  <cp:lastModifiedBy>Fiaz Ali</cp:lastModifiedBy>
  <cp:revision>60</cp:revision>
  <dcterms:created xsi:type="dcterms:W3CDTF">2026-01-08T15:43:00Z</dcterms:created>
  <dcterms:modified xsi:type="dcterms:W3CDTF">2026-01-22T03:50:00Z</dcterms:modified>
</cp:coreProperties>
</file>