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3081" w14:textId="77777777" w:rsidR="00D30538" w:rsidRPr="00A831E9" w:rsidRDefault="00D30538" w:rsidP="00EF5D54">
      <w:pPr>
        <w:pStyle w:val="NoSpacing"/>
        <w:rPr>
          <w:rFonts w:ascii="Arial" w:hAnsi="Arial" w:cs="Arial"/>
        </w:rPr>
      </w:pPr>
      <w:r w:rsidRPr="00A831E9">
        <w:rPr>
          <w:rFonts w:ascii="Arial" w:hAnsi="Arial" w:cs="Arial"/>
        </w:rPr>
        <w:t>The discussion highlighted both the benefits and challenges of digital transformation in healthcare under Industry 4.0 and Industry 5.0. Industry 4.0 technologies such as Artificial Intelligence (AI), the Internet of Things (IoT), cloud computing, electronic health records (EHRs), and telemedicine have significantly improved patient care, operational efficiency, and clinical decision-making (Coventry &amp; Branley, 2018). However, greater dependence on interconnected systems also increases cybersecurity risks, making security and resilience critical priorities.</w:t>
      </w:r>
    </w:p>
    <w:p w14:paraId="630833E8" w14:textId="2FC867DD" w:rsidR="00EF5D54" w:rsidRPr="00A831E9" w:rsidRDefault="00D30538" w:rsidP="00EF5D54">
      <w:pPr>
        <w:pStyle w:val="NoSpacing"/>
        <w:rPr>
          <w:rFonts w:ascii="Arial" w:hAnsi="Arial" w:cs="Arial"/>
        </w:rPr>
      </w:pPr>
      <w:r w:rsidRPr="00A831E9">
        <w:rPr>
          <w:rFonts w:ascii="Arial" w:hAnsi="Arial" w:cs="Arial"/>
        </w:rPr>
        <w:t>The WannaCry ransomware attack on the United Kingdom's National Health Service (NHS) in 2017 remains a key example of an information system failure. My initial post emphasized the importance of software updates, employee cybersecurity awareness, and disaster recovery planning. Feedback from my peers expanded this perspective by highlighting the role of patch management, governance, and organizational accountability in preventing cyber incidents (National Audit Office, 2017).</w:t>
      </w:r>
    </w:p>
    <w:p w14:paraId="1E37FCF7" w14:textId="77777777" w:rsidR="00EF5D54" w:rsidRPr="00A831E9" w:rsidRDefault="00EF5D54" w:rsidP="00EF5D54">
      <w:pPr>
        <w:pStyle w:val="NoSpacing"/>
        <w:rPr>
          <w:rFonts w:ascii="Arial" w:hAnsi="Arial" w:cs="Arial"/>
        </w:rPr>
      </w:pPr>
    </w:p>
    <w:p w14:paraId="3D6C0571" w14:textId="36455E1B" w:rsidR="00D30538" w:rsidRPr="00A831E9" w:rsidRDefault="00D30538" w:rsidP="00EF5D54">
      <w:pPr>
        <w:pStyle w:val="NoSpacing"/>
        <w:rPr>
          <w:rFonts w:ascii="Arial" w:hAnsi="Arial" w:cs="Arial"/>
        </w:rPr>
      </w:pPr>
      <w:r w:rsidRPr="00A831E9">
        <w:rPr>
          <w:rFonts w:ascii="Arial" w:hAnsi="Arial" w:cs="Arial"/>
        </w:rPr>
        <w:t>John-Jon pointed out that many affected NHS devices were running supported operating systems that had not received critical security updates. This suggests that the issue was not simply outdated technology but also ineffective patch governance and oversight. He further noted that cybersecurity should be evaluated by its ability to maintain patient safety and continuity of care during disruptions, as the attack led to widespread cancellations and operational delays (Department of Health and Social Care, 2023).</w:t>
      </w:r>
    </w:p>
    <w:p w14:paraId="7419867B" w14:textId="77777777" w:rsidR="00D30538" w:rsidRPr="00A831E9" w:rsidRDefault="00D30538" w:rsidP="00EF5D54">
      <w:pPr>
        <w:pStyle w:val="NoSpacing"/>
        <w:rPr>
          <w:rFonts w:ascii="Arial" w:hAnsi="Arial" w:cs="Arial"/>
        </w:rPr>
      </w:pPr>
      <w:r w:rsidRPr="00A831E9">
        <w:rPr>
          <w:rFonts w:ascii="Arial" w:hAnsi="Arial" w:cs="Arial"/>
        </w:rPr>
        <w:t>Vinod emphasized the importance of vulnerability management, network segmentation, regular backups, and tested incident response plans. These measures can reduce the impact of cyberattacks and improve recovery capabilities. He also noted the challenges of securing legacy systems that remain necessary for some healthcare operations (Coventry &amp; Branley, 2018).</w:t>
      </w:r>
    </w:p>
    <w:p w14:paraId="4D52BB33" w14:textId="77777777" w:rsidR="00EF5D54" w:rsidRPr="00A831E9" w:rsidRDefault="00EF5D54" w:rsidP="00EF5D54">
      <w:pPr>
        <w:pStyle w:val="NoSpacing"/>
        <w:rPr>
          <w:rFonts w:ascii="Arial" w:hAnsi="Arial" w:cs="Arial"/>
        </w:rPr>
      </w:pPr>
    </w:p>
    <w:p w14:paraId="12491300" w14:textId="77777777" w:rsidR="00D30538" w:rsidRPr="00A831E9" w:rsidRDefault="00D30538" w:rsidP="00EF5D54">
      <w:pPr>
        <w:pStyle w:val="NoSpacing"/>
        <w:rPr>
          <w:rFonts w:ascii="Arial" w:hAnsi="Arial" w:cs="Arial"/>
        </w:rPr>
      </w:pPr>
      <w:r w:rsidRPr="00A831E9">
        <w:rPr>
          <w:rFonts w:ascii="Arial" w:hAnsi="Arial" w:cs="Arial"/>
        </w:rPr>
        <w:t>Overall, this discussion reflects the principles of Industry 5.0, which prioritize resilience, sustainability, and human-centered innovation (Metcalf, 2024). Healthcare organizations must balance technological advancement with robust cybersecurity practices to ensure secure, reliable, and patient-focused care.</w:t>
      </w:r>
    </w:p>
    <w:p w14:paraId="2FB6630D" w14:textId="77777777" w:rsidR="009F40B6" w:rsidRPr="00A831E9" w:rsidRDefault="009F40B6" w:rsidP="009F40B6">
      <w:pPr>
        <w:rPr>
          <w:rFonts w:ascii="Arial" w:hAnsi="Arial" w:cs="Arial"/>
        </w:rPr>
      </w:pPr>
    </w:p>
    <w:p w14:paraId="0302BB53" w14:textId="77777777" w:rsidR="009F40B6" w:rsidRPr="00A831E9" w:rsidRDefault="009F40B6" w:rsidP="009F40B6">
      <w:pPr>
        <w:rPr>
          <w:rFonts w:ascii="Arial" w:hAnsi="Arial" w:cs="Arial"/>
          <w:b/>
          <w:bCs/>
          <w:sz w:val="22"/>
          <w:szCs w:val="22"/>
        </w:rPr>
      </w:pPr>
      <w:r w:rsidRPr="00A831E9">
        <w:rPr>
          <w:rFonts w:ascii="Arial" w:hAnsi="Arial" w:cs="Arial"/>
          <w:b/>
          <w:bCs/>
          <w:sz w:val="22"/>
          <w:szCs w:val="22"/>
        </w:rPr>
        <w:t>References</w:t>
      </w:r>
    </w:p>
    <w:p w14:paraId="138FE8F8" w14:textId="77777777" w:rsidR="009F40B6" w:rsidRPr="00A831E9" w:rsidRDefault="009F40B6" w:rsidP="009F40B6">
      <w:pPr>
        <w:rPr>
          <w:rFonts w:ascii="Arial" w:hAnsi="Arial" w:cs="Arial"/>
        </w:rPr>
      </w:pPr>
      <w:r w:rsidRPr="00A831E9">
        <w:rPr>
          <w:rFonts w:ascii="Arial" w:hAnsi="Arial" w:cs="Arial"/>
        </w:rPr>
        <w:t>Coventry, L. and Branley, D. (</w:t>
      </w:r>
      <w:proofErr w:type="gramStart"/>
      <w:r w:rsidRPr="00A831E9">
        <w:rPr>
          <w:rFonts w:ascii="Arial" w:hAnsi="Arial" w:cs="Arial"/>
        </w:rPr>
        <w:t>2018) ‘</w:t>
      </w:r>
      <w:proofErr w:type="gramEnd"/>
      <w:r w:rsidRPr="00A831E9">
        <w:rPr>
          <w:rFonts w:ascii="Arial" w:hAnsi="Arial" w:cs="Arial"/>
        </w:rPr>
        <w:t xml:space="preserve">Cybersecurity in healthcare: A narrative review of trends, threats and ways forward’, </w:t>
      </w:r>
      <w:proofErr w:type="spellStart"/>
      <w:r w:rsidRPr="00A831E9">
        <w:rPr>
          <w:rFonts w:ascii="Arial" w:hAnsi="Arial" w:cs="Arial"/>
        </w:rPr>
        <w:t>Maturitas</w:t>
      </w:r>
      <w:proofErr w:type="spellEnd"/>
      <w:r w:rsidRPr="00A831E9">
        <w:rPr>
          <w:rFonts w:ascii="Arial" w:hAnsi="Arial" w:cs="Arial"/>
        </w:rPr>
        <w:t>, 113, pp. 48-52. https://doi.org/10.1016/j.maturitas.2018.04.008</w:t>
      </w:r>
    </w:p>
    <w:p w14:paraId="169AD4F8" w14:textId="77777777" w:rsidR="009F40B6" w:rsidRPr="00A831E9" w:rsidRDefault="009F40B6" w:rsidP="009F40B6">
      <w:pPr>
        <w:rPr>
          <w:rFonts w:ascii="Arial" w:hAnsi="Arial" w:cs="Arial"/>
        </w:rPr>
      </w:pPr>
      <w:r w:rsidRPr="00A831E9">
        <w:rPr>
          <w:rFonts w:ascii="Arial" w:hAnsi="Arial" w:cs="Arial"/>
        </w:rPr>
        <w:t>Department of Health and Social Care (2023) A cyber resilient health and adult social care system in England: Cyber security strategy to 2030. Available at: https://www.gov.uk/government/publications/cyber-security-strategy-for-health-and-social-care-2023-to-2030 (Accessed: 25 August 2026).</w:t>
      </w:r>
    </w:p>
    <w:p w14:paraId="2166BE92" w14:textId="77777777" w:rsidR="009F40B6" w:rsidRPr="00A831E9" w:rsidRDefault="009F40B6" w:rsidP="009F40B6">
      <w:pPr>
        <w:rPr>
          <w:rFonts w:ascii="Arial" w:hAnsi="Arial" w:cs="Arial"/>
        </w:rPr>
      </w:pPr>
      <w:r w:rsidRPr="00A831E9">
        <w:rPr>
          <w:rFonts w:ascii="Arial" w:hAnsi="Arial" w:cs="Arial"/>
        </w:rPr>
        <w:t xml:space="preserve">Metcalf, G.S. (2024) ‘An Introduction to Industry 5.0: History, Foundations, and Futures’, in </w:t>
      </w:r>
      <w:proofErr w:type="spellStart"/>
      <w:r w:rsidRPr="00A831E9">
        <w:rPr>
          <w:rFonts w:ascii="Arial" w:hAnsi="Arial" w:cs="Arial"/>
        </w:rPr>
        <w:t>Nousala</w:t>
      </w:r>
      <w:proofErr w:type="spellEnd"/>
      <w:r w:rsidRPr="00A831E9">
        <w:rPr>
          <w:rFonts w:ascii="Arial" w:hAnsi="Arial" w:cs="Arial"/>
        </w:rPr>
        <w:t xml:space="preserve">, S., Metcalf, G.S. and Ing, D. (eds.) Industry 4.0 to Industry 5.0: Explorations </w:t>
      </w:r>
      <w:r w:rsidRPr="00A831E9">
        <w:rPr>
          <w:rFonts w:ascii="Arial" w:hAnsi="Arial" w:cs="Arial"/>
        </w:rPr>
        <w:lastRenderedPageBreak/>
        <w:t>in the Transition from a Techno-Economic to a Socio-Technical Future. Singapore: Springer, pp. 1-29. https://doi.org/10.1007/978-981-99-9730-5_1</w:t>
      </w:r>
    </w:p>
    <w:p w14:paraId="6F90C080" w14:textId="77777777" w:rsidR="009F40B6" w:rsidRPr="00A831E9" w:rsidRDefault="009F40B6" w:rsidP="009F40B6">
      <w:pPr>
        <w:rPr>
          <w:rFonts w:ascii="Arial" w:hAnsi="Arial" w:cs="Arial"/>
        </w:rPr>
      </w:pPr>
      <w:r w:rsidRPr="00A831E9">
        <w:rPr>
          <w:rFonts w:ascii="Arial" w:hAnsi="Arial" w:cs="Arial"/>
        </w:rPr>
        <w:t xml:space="preserve">National Audit Office (2017) Investigation: WannaCry </w:t>
      </w:r>
      <w:proofErr w:type="spellStart"/>
      <w:r w:rsidRPr="00A831E9">
        <w:rPr>
          <w:rFonts w:ascii="Arial" w:hAnsi="Arial" w:cs="Arial"/>
        </w:rPr>
        <w:t>cyber attack</w:t>
      </w:r>
      <w:proofErr w:type="spellEnd"/>
      <w:r w:rsidRPr="00A831E9">
        <w:rPr>
          <w:rFonts w:ascii="Arial" w:hAnsi="Arial" w:cs="Arial"/>
        </w:rPr>
        <w:t xml:space="preserve"> and the NHS. London: National Audit Office. Available at: https://www.nao.org.uk/reports/investigation-wannacry-cyber-attack-and-the-nhs/ (Accessed: 25 August 2026).</w:t>
      </w:r>
    </w:p>
    <w:sectPr w:rsidR="009F40B6" w:rsidRPr="00A83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0B6"/>
    <w:rsid w:val="00275D42"/>
    <w:rsid w:val="00710ED0"/>
    <w:rsid w:val="007F3613"/>
    <w:rsid w:val="009F40B6"/>
    <w:rsid w:val="00A831E9"/>
    <w:rsid w:val="00BF0255"/>
    <w:rsid w:val="00C47DF3"/>
    <w:rsid w:val="00CA4D26"/>
    <w:rsid w:val="00D30538"/>
    <w:rsid w:val="00EC36F2"/>
    <w:rsid w:val="00EF5C4A"/>
    <w:rsid w:val="00EF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7817"/>
  <w15:chartTrackingRefBased/>
  <w15:docId w15:val="{DC249171-965D-496B-9301-32215A85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0B6"/>
    <w:rPr>
      <w:rFonts w:eastAsiaTheme="majorEastAsia" w:cstheme="majorBidi"/>
      <w:color w:val="272727" w:themeColor="text1" w:themeTint="D8"/>
    </w:rPr>
  </w:style>
  <w:style w:type="paragraph" w:styleId="Title">
    <w:name w:val="Title"/>
    <w:basedOn w:val="Normal"/>
    <w:next w:val="Normal"/>
    <w:link w:val="TitleChar"/>
    <w:uiPriority w:val="10"/>
    <w:qFormat/>
    <w:rsid w:val="009F4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0B6"/>
    <w:pPr>
      <w:spacing w:before="160"/>
      <w:jc w:val="center"/>
    </w:pPr>
    <w:rPr>
      <w:i/>
      <w:iCs/>
      <w:color w:val="404040" w:themeColor="text1" w:themeTint="BF"/>
    </w:rPr>
  </w:style>
  <w:style w:type="character" w:customStyle="1" w:styleId="QuoteChar">
    <w:name w:val="Quote Char"/>
    <w:basedOn w:val="DefaultParagraphFont"/>
    <w:link w:val="Quote"/>
    <w:uiPriority w:val="29"/>
    <w:rsid w:val="009F40B6"/>
    <w:rPr>
      <w:i/>
      <w:iCs/>
      <w:color w:val="404040" w:themeColor="text1" w:themeTint="BF"/>
    </w:rPr>
  </w:style>
  <w:style w:type="paragraph" w:styleId="ListParagraph">
    <w:name w:val="List Paragraph"/>
    <w:basedOn w:val="Normal"/>
    <w:uiPriority w:val="34"/>
    <w:qFormat/>
    <w:rsid w:val="009F40B6"/>
    <w:pPr>
      <w:ind w:left="720"/>
      <w:contextualSpacing/>
    </w:pPr>
  </w:style>
  <w:style w:type="character" w:styleId="IntenseEmphasis">
    <w:name w:val="Intense Emphasis"/>
    <w:basedOn w:val="DefaultParagraphFont"/>
    <w:uiPriority w:val="21"/>
    <w:qFormat/>
    <w:rsid w:val="009F40B6"/>
    <w:rPr>
      <w:i/>
      <w:iCs/>
      <w:color w:val="0F4761" w:themeColor="accent1" w:themeShade="BF"/>
    </w:rPr>
  </w:style>
  <w:style w:type="paragraph" w:styleId="IntenseQuote">
    <w:name w:val="Intense Quote"/>
    <w:basedOn w:val="Normal"/>
    <w:next w:val="Normal"/>
    <w:link w:val="IntenseQuoteChar"/>
    <w:uiPriority w:val="30"/>
    <w:qFormat/>
    <w:rsid w:val="009F4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0B6"/>
    <w:rPr>
      <w:i/>
      <w:iCs/>
      <w:color w:val="0F4761" w:themeColor="accent1" w:themeShade="BF"/>
    </w:rPr>
  </w:style>
  <w:style w:type="character" w:styleId="IntenseReference">
    <w:name w:val="Intense Reference"/>
    <w:basedOn w:val="DefaultParagraphFont"/>
    <w:uiPriority w:val="32"/>
    <w:qFormat/>
    <w:rsid w:val="009F40B6"/>
    <w:rPr>
      <w:b/>
      <w:bCs/>
      <w:smallCaps/>
      <w:color w:val="0F4761" w:themeColor="accent1" w:themeShade="BF"/>
      <w:spacing w:val="5"/>
    </w:rPr>
  </w:style>
  <w:style w:type="paragraph" w:styleId="NoSpacing">
    <w:name w:val="No Spacing"/>
    <w:uiPriority w:val="1"/>
    <w:qFormat/>
    <w:rsid w:val="00EF5D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416</Words>
  <Characters>2880</Characters>
  <Application>Microsoft Office Word</Application>
  <DocSecurity>0</DocSecurity>
  <Lines>52</Lines>
  <Paragraphs>10</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7</cp:revision>
  <dcterms:created xsi:type="dcterms:W3CDTF">2026-08-25T19:43:00Z</dcterms:created>
  <dcterms:modified xsi:type="dcterms:W3CDTF">2026-08-25T19:51:00Z</dcterms:modified>
</cp:coreProperties>
</file>