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DA79" w14:textId="4E484A91" w:rsidR="000E33E2" w:rsidRPr="00DF4D69" w:rsidRDefault="000E33E2" w:rsidP="00DF4D69">
      <w:pPr>
        <w:spacing w:before="100" w:beforeAutospacing="1" w:after="100" w:afterAutospacing="1" w:line="300" w:lineRule="atLeast"/>
        <w:jc w:val="center"/>
        <w:rPr>
          <w:rFonts w:ascii="Arial Black" w:eastAsia="Times New Roman" w:hAnsi="Arial Black" w:cs="Segoe UI"/>
          <w:color w:val="4C94D8" w:themeColor="text2" w:themeTint="80"/>
          <w:kern w:val="0"/>
          <w:sz w:val="32"/>
          <w:szCs w:val="32"/>
          <w14:ligatures w14:val="none"/>
        </w:rPr>
      </w:pPr>
      <w:r w:rsidRPr="00DF4D69">
        <w:rPr>
          <w:rFonts w:ascii="Arial Black" w:eastAsia="Times New Roman" w:hAnsi="Arial Black" w:cs="Segoe UI"/>
          <w:b/>
          <w:bCs/>
          <w:color w:val="4C94D8" w:themeColor="text2" w:themeTint="80"/>
          <w:kern w:val="0"/>
          <w:sz w:val="32"/>
          <w:szCs w:val="32"/>
          <w14:ligatures w14:val="none"/>
        </w:rPr>
        <w:t>Cambridge Analytica Survey Scheme</w:t>
      </w:r>
    </w:p>
    <w:p w14:paraId="3527943E" w14:textId="77777777" w:rsidR="00DE420D" w:rsidRDefault="00DE420D" w:rsidP="000E33E2">
      <w:pPr>
        <w:spacing w:before="100" w:beforeAutospacing="1" w:after="100" w:afterAutospacing="1" w:line="300" w:lineRule="atLeast"/>
        <w:rPr>
          <w:rFonts w:ascii="Segoe UI" w:eastAsia="Times New Roman" w:hAnsi="Segoe UI" w:cs="Segoe UI"/>
          <w:kern w:val="0"/>
          <w:sz w:val="21"/>
          <w:szCs w:val="21"/>
          <w14:ligatures w14:val="none"/>
        </w:rPr>
      </w:pPr>
    </w:p>
    <w:p w14:paraId="1FB0403D" w14:textId="77777777" w:rsidR="00DE420D" w:rsidRPr="0090312E" w:rsidRDefault="00DE420D" w:rsidP="00DE420D">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The document examines how surveys and survey-like tools can be misused for large-scale data collection, behavioral analysis, and influence. It focuses on three major cases: Cambridge Analytica, Facebook’s Emotional Contagion Experiment, and Google reCAPTCHA.</w:t>
      </w:r>
    </w:p>
    <w:p w14:paraId="74B6EACF" w14:textId="77777777" w:rsidR="00DE420D" w:rsidRPr="0090312E" w:rsidRDefault="00DE420D" w:rsidP="00DE420D">
      <w:pPr>
        <w:spacing w:before="100" w:beforeAutospacing="1" w:after="100" w:afterAutospacing="1" w:line="300" w:lineRule="atLeast"/>
        <w:rPr>
          <w:rFonts w:ascii="Arial" w:eastAsia="Times New Roman" w:hAnsi="Arial" w:cs="Arial"/>
          <w:b/>
          <w:bCs/>
          <w:kern w:val="0"/>
          <w14:ligatures w14:val="none"/>
        </w:rPr>
      </w:pPr>
      <w:r w:rsidRPr="0090312E">
        <w:rPr>
          <w:rFonts w:ascii="Arial" w:eastAsia="Times New Roman" w:hAnsi="Arial" w:cs="Arial"/>
          <w:b/>
          <w:bCs/>
          <w:kern w:val="0"/>
          <w14:ligatures w14:val="none"/>
        </w:rPr>
        <w:t>1. Cambridge Analytica</w:t>
      </w:r>
    </w:p>
    <w:p w14:paraId="5A9E16BE" w14:textId="4281EB10" w:rsidR="00DE420D" w:rsidRPr="0090312E" w:rsidRDefault="00DE420D" w:rsidP="00DE420D">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A Facebook personality quiz called “This Is Your Digital Life” collected data from participants and, through Facebook’s platform design at the time, also accessed data from their friends.</w:t>
      </w:r>
      <w:r w:rsidRPr="0090312E">
        <w:rPr>
          <w:rFonts w:ascii="Arial" w:eastAsia="Times New Roman" w:hAnsi="Arial" w:cs="Arial"/>
          <w:kern w:val="0"/>
          <w14:ligatures w14:val="none"/>
        </w:rPr>
        <w:t xml:space="preserve"> </w:t>
      </w:r>
      <w:r w:rsidRPr="0090312E">
        <w:rPr>
          <w:rFonts w:ascii="Arial" w:eastAsia="Times New Roman" w:hAnsi="Arial" w:cs="Arial"/>
          <w:kern w:val="0"/>
          <w14:ligatures w14:val="none"/>
        </w:rPr>
        <w:t>About 270,000 users took the survey, but data from tens of millions of people was ultimately harvested.</w:t>
      </w:r>
      <w:r w:rsidRPr="0090312E">
        <w:rPr>
          <w:rFonts w:ascii="Arial" w:eastAsia="Times New Roman" w:hAnsi="Arial" w:cs="Arial"/>
          <w:kern w:val="0"/>
          <w14:ligatures w14:val="none"/>
        </w:rPr>
        <w:t xml:space="preserve"> </w:t>
      </w:r>
      <w:r w:rsidRPr="0090312E">
        <w:rPr>
          <w:rFonts w:ascii="Arial" w:eastAsia="Times New Roman" w:hAnsi="Arial" w:cs="Arial"/>
          <w:kern w:val="0"/>
          <w14:ligatures w14:val="none"/>
        </w:rPr>
        <w:t>The data was used to build psychographic profiles and deliver highly targeted political messaging.</w:t>
      </w:r>
      <w:r w:rsidRPr="0090312E">
        <w:rPr>
          <w:rFonts w:ascii="Arial" w:eastAsia="Times New Roman" w:hAnsi="Arial" w:cs="Arial"/>
          <w:kern w:val="0"/>
          <w14:ligatures w14:val="none"/>
        </w:rPr>
        <w:t xml:space="preserve"> </w:t>
      </w:r>
      <w:r w:rsidRPr="0090312E">
        <w:rPr>
          <w:rFonts w:ascii="Arial" w:eastAsia="Times New Roman" w:hAnsi="Arial" w:cs="Arial"/>
          <w:kern w:val="0"/>
          <w14:ligatures w14:val="none"/>
        </w:rPr>
        <w:t>Major concerns included lack of transparency, inadequate informed consent, third-party data collection, and voter manipulation.</w:t>
      </w:r>
    </w:p>
    <w:p w14:paraId="7DDB4F96" w14:textId="77777777" w:rsidR="00DE420D" w:rsidRPr="0090312E" w:rsidRDefault="00DE420D" w:rsidP="00DE420D">
      <w:pPr>
        <w:spacing w:before="100" w:beforeAutospacing="1" w:after="100" w:afterAutospacing="1" w:line="300" w:lineRule="atLeast"/>
        <w:rPr>
          <w:rFonts w:ascii="Arial" w:eastAsia="Times New Roman" w:hAnsi="Arial" w:cs="Arial"/>
          <w:b/>
          <w:bCs/>
          <w:kern w:val="0"/>
          <w14:ligatures w14:val="none"/>
        </w:rPr>
      </w:pPr>
      <w:r w:rsidRPr="0090312E">
        <w:rPr>
          <w:rFonts w:ascii="Arial" w:eastAsia="Times New Roman" w:hAnsi="Arial" w:cs="Arial"/>
          <w:b/>
          <w:bCs/>
          <w:kern w:val="0"/>
          <w14:ligatures w14:val="none"/>
        </w:rPr>
        <w:t>2. Facebook Emotional Contagion Experiment</w:t>
      </w:r>
    </w:p>
    <w:p w14:paraId="6CBB0456" w14:textId="7EA111E4" w:rsidR="00DE420D" w:rsidRPr="0090312E" w:rsidRDefault="00DE420D" w:rsidP="00DE420D">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Facebook manipulated news feeds of approximately 689,000 users to study how emotions could be influenced online.</w:t>
      </w:r>
      <w:r w:rsidRPr="0090312E">
        <w:rPr>
          <w:rFonts w:ascii="Arial" w:eastAsia="Times New Roman" w:hAnsi="Arial" w:cs="Arial"/>
          <w:kern w:val="0"/>
          <w14:ligatures w14:val="none"/>
        </w:rPr>
        <w:t xml:space="preserve"> </w:t>
      </w:r>
      <w:r w:rsidRPr="0090312E">
        <w:rPr>
          <w:rFonts w:ascii="Arial" w:eastAsia="Times New Roman" w:hAnsi="Arial" w:cs="Arial"/>
          <w:kern w:val="0"/>
          <w14:ligatures w14:val="none"/>
        </w:rPr>
        <w:t>Users were not informed that they were participating in research.</w:t>
      </w:r>
      <w:r w:rsidRPr="0090312E">
        <w:rPr>
          <w:rFonts w:ascii="Arial" w:eastAsia="Times New Roman" w:hAnsi="Arial" w:cs="Arial"/>
          <w:kern w:val="0"/>
          <w14:ligatures w14:val="none"/>
        </w:rPr>
        <w:t xml:space="preserve"> </w:t>
      </w:r>
      <w:r w:rsidRPr="0090312E">
        <w:rPr>
          <w:rFonts w:ascii="Arial" w:eastAsia="Times New Roman" w:hAnsi="Arial" w:cs="Arial"/>
          <w:kern w:val="0"/>
          <w14:ligatures w14:val="none"/>
        </w:rPr>
        <w:t>The experiment raised ethical questions about consent, psychological manipulation, and corporate responsibility in research.</w:t>
      </w:r>
    </w:p>
    <w:p w14:paraId="5DA25ABD" w14:textId="77777777" w:rsidR="00DE420D" w:rsidRPr="0090312E" w:rsidRDefault="00DE420D" w:rsidP="00DE420D">
      <w:pPr>
        <w:spacing w:before="100" w:beforeAutospacing="1" w:after="100" w:afterAutospacing="1" w:line="300" w:lineRule="atLeast"/>
        <w:rPr>
          <w:rFonts w:ascii="Arial" w:eastAsia="Times New Roman" w:hAnsi="Arial" w:cs="Arial"/>
          <w:b/>
          <w:bCs/>
          <w:kern w:val="0"/>
          <w14:ligatures w14:val="none"/>
        </w:rPr>
      </w:pPr>
      <w:r w:rsidRPr="0090312E">
        <w:rPr>
          <w:rFonts w:ascii="Arial" w:eastAsia="Times New Roman" w:hAnsi="Arial" w:cs="Arial"/>
          <w:b/>
          <w:bCs/>
          <w:kern w:val="0"/>
          <w14:ligatures w14:val="none"/>
        </w:rPr>
        <w:t>3. Google reCAPTCHA</w:t>
      </w:r>
    </w:p>
    <w:p w14:paraId="474536B3" w14:textId="1D154C0D" w:rsidR="000E33E2" w:rsidRPr="0090312E" w:rsidRDefault="00DE420D" w:rsidP="000E33E2">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The document argues that reCAPTCHA functions as more than a security tool by collecting behavioral and browsing data.</w:t>
      </w:r>
      <w:r w:rsidRPr="0090312E">
        <w:rPr>
          <w:rFonts w:ascii="Arial" w:eastAsia="Times New Roman" w:hAnsi="Arial" w:cs="Arial"/>
          <w:kern w:val="0"/>
          <w14:ligatures w14:val="none"/>
        </w:rPr>
        <w:t xml:space="preserve"> </w:t>
      </w:r>
      <w:r w:rsidRPr="0090312E">
        <w:rPr>
          <w:rFonts w:ascii="Arial" w:eastAsia="Times New Roman" w:hAnsi="Arial" w:cs="Arial"/>
          <w:kern w:val="0"/>
          <w14:ligatures w14:val="none"/>
        </w:rPr>
        <w:t>It highlights concerns regarding transparency, informed consent, privacy, and compliance with data-protection principles.</w:t>
      </w:r>
      <w:r w:rsidRPr="0090312E">
        <w:rPr>
          <w:rFonts w:ascii="Arial" w:eastAsia="Times New Roman" w:hAnsi="Arial" w:cs="Arial"/>
          <w:kern w:val="0"/>
          <w14:ligatures w14:val="none"/>
        </w:rPr>
        <w:t xml:space="preserve"> </w:t>
      </w:r>
      <w:r w:rsidR="000E33E2" w:rsidRPr="0090312E">
        <w:rPr>
          <w:rFonts w:ascii="Arial" w:eastAsia="Times New Roman" w:hAnsi="Arial" w:cs="Arial"/>
          <w:kern w:val="0"/>
          <w14:ligatures w14:val="none"/>
        </w:rPr>
        <w:t>The Cambridge Analytica case is a classic example of how seemingly harmless surveys can be used to collect and exploit personal data at large scale.</w:t>
      </w:r>
    </w:p>
    <w:p w14:paraId="5337E4E5" w14:textId="77777777" w:rsidR="00562DE7" w:rsidRPr="0090312E" w:rsidRDefault="00562DE7" w:rsidP="000E33E2">
      <w:pPr>
        <w:spacing w:before="100" w:beforeAutospacing="1" w:after="100" w:afterAutospacing="1" w:line="300" w:lineRule="atLeast"/>
        <w:rPr>
          <w:rFonts w:ascii="Arial" w:eastAsia="Times New Roman" w:hAnsi="Arial" w:cs="Arial"/>
          <w:kern w:val="0"/>
          <w14:ligatures w14:val="none"/>
        </w:rPr>
      </w:pPr>
    </w:p>
    <w:tbl>
      <w:tblPr>
        <w:tblStyle w:val="TableGrid"/>
        <w:tblW w:w="0" w:type="auto"/>
        <w:tblLook w:val="04A0" w:firstRow="1" w:lastRow="0" w:firstColumn="1" w:lastColumn="0" w:noHBand="0" w:noVBand="1"/>
      </w:tblPr>
      <w:tblGrid>
        <w:gridCol w:w="1733"/>
        <w:gridCol w:w="2124"/>
        <w:gridCol w:w="1839"/>
        <w:gridCol w:w="1827"/>
        <w:gridCol w:w="1827"/>
      </w:tblGrid>
      <w:tr w:rsidR="00562DE7" w:rsidRPr="0090312E" w14:paraId="10F783E1" w14:textId="77777777" w:rsidTr="00DD6F10">
        <w:trPr>
          <w:trHeight w:val="660"/>
        </w:trPr>
        <w:tc>
          <w:tcPr>
            <w:tcW w:w="1755" w:type="dxa"/>
            <w:hideMark/>
          </w:tcPr>
          <w:p w14:paraId="4444B297" w14:textId="77777777" w:rsidR="00562DE7" w:rsidRPr="0090312E" w:rsidRDefault="00562DE7" w:rsidP="00562DE7">
            <w:pPr>
              <w:spacing w:before="100" w:beforeAutospacing="1" w:after="100" w:afterAutospacing="1" w:line="300" w:lineRule="atLeast"/>
              <w:rPr>
                <w:rFonts w:ascii="Arial" w:eastAsia="Times New Roman" w:hAnsi="Arial" w:cs="Arial"/>
                <w:b/>
                <w:bCs/>
                <w:kern w:val="0"/>
                <w14:ligatures w14:val="none"/>
              </w:rPr>
            </w:pPr>
            <w:r w:rsidRPr="0090312E">
              <w:rPr>
                <w:rFonts w:ascii="Arial" w:eastAsia="Times New Roman" w:hAnsi="Arial" w:cs="Arial"/>
                <w:b/>
                <w:bCs/>
                <w:kern w:val="0"/>
                <w14:ligatures w14:val="none"/>
              </w:rPr>
              <w:t>Case</w:t>
            </w:r>
          </w:p>
        </w:tc>
        <w:tc>
          <w:tcPr>
            <w:tcW w:w="2041" w:type="dxa"/>
            <w:hideMark/>
          </w:tcPr>
          <w:p w14:paraId="1A84163C" w14:textId="77777777" w:rsidR="00562DE7" w:rsidRPr="0090312E" w:rsidRDefault="00562DE7" w:rsidP="00562DE7">
            <w:pPr>
              <w:spacing w:before="100" w:beforeAutospacing="1" w:after="100" w:afterAutospacing="1" w:line="300" w:lineRule="atLeast"/>
              <w:rPr>
                <w:rFonts w:ascii="Arial" w:eastAsia="Times New Roman" w:hAnsi="Arial" w:cs="Arial"/>
                <w:b/>
                <w:bCs/>
                <w:kern w:val="0"/>
                <w14:ligatures w14:val="none"/>
              </w:rPr>
            </w:pPr>
            <w:r w:rsidRPr="0090312E">
              <w:rPr>
                <w:rFonts w:ascii="Arial" w:eastAsia="Times New Roman" w:hAnsi="Arial" w:cs="Arial"/>
                <w:b/>
                <w:bCs/>
                <w:kern w:val="0"/>
                <w14:ligatures w14:val="none"/>
              </w:rPr>
              <w:t>Ethical Impact</w:t>
            </w:r>
          </w:p>
        </w:tc>
        <w:tc>
          <w:tcPr>
            <w:tcW w:w="1861" w:type="dxa"/>
            <w:hideMark/>
          </w:tcPr>
          <w:p w14:paraId="5855CB4B" w14:textId="77777777" w:rsidR="00562DE7" w:rsidRPr="0090312E" w:rsidRDefault="00562DE7" w:rsidP="00562DE7">
            <w:pPr>
              <w:spacing w:before="100" w:beforeAutospacing="1" w:after="100" w:afterAutospacing="1" w:line="300" w:lineRule="atLeast"/>
              <w:rPr>
                <w:rFonts w:ascii="Arial" w:eastAsia="Times New Roman" w:hAnsi="Arial" w:cs="Arial"/>
                <w:b/>
                <w:bCs/>
                <w:kern w:val="0"/>
                <w14:ligatures w14:val="none"/>
              </w:rPr>
            </w:pPr>
            <w:r w:rsidRPr="0090312E">
              <w:rPr>
                <w:rFonts w:ascii="Arial" w:eastAsia="Times New Roman" w:hAnsi="Arial" w:cs="Arial"/>
                <w:b/>
                <w:bCs/>
                <w:kern w:val="0"/>
                <w14:ligatures w14:val="none"/>
              </w:rPr>
              <w:t>Social Impact</w:t>
            </w:r>
          </w:p>
        </w:tc>
        <w:tc>
          <w:tcPr>
            <w:tcW w:w="1847" w:type="dxa"/>
            <w:hideMark/>
          </w:tcPr>
          <w:p w14:paraId="6E64F1BB" w14:textId="77777777" w:rsidR="00562DE7" w:rsidRPr="0090312E" w:rsidRDefault="00562DE7" w:rsidP="00562DE7">
            <w:pPr>
              <w:spacing w:before="100" w:beforeAutospacing="1" w:after="100" w:afterAutospacing="1" w:line="300" w:lineRule="atLeast"/>
              <w:rPr>
                <w:rFonts w:ascii="Arial" w:eastAsia="Times New Roman" w:hAnsi="Arial" w:cs="Arial"/>
                <w:b/>
                <w:bCs/>
                <w:kern w:val="0"/>
                <w14:ligatures w14:val="none"/>
              </w:rPr>
            </w:pPr>
            <w:r w:rsidRPr="0090312E">
              <w:rPr>
                <w:rFonts w:ascii="Arial" w:eastAsia="Times New Roman" w:hAnsi="Arial" w:cs="Arial"/>
                <w:b/>
                <w:bCs/>
                <w:kern w:val="0"/>
                <w14:ligatures w14:val="none"/>
              </w:rPr>
              <w:t>Legal Impact</w:t>
            </w:r>
          </w:p>
        </w:tc>
        <w:tc>
          <w:tcPr>
            <w:tcW w:w="1846" w:type="dxa"/>
            <w:hideMark/>
          </w:tcPr>
          <w:p w14:paraId="319A8BF2" w14:textId="77777777" w:rsidR="00562DE7" w:rsidRPr="0090312E" w:rsidRDefault="00562DE7" w:rsidP="00562DE7">
            <w:pPr>
              <w:spacing w:before="100" w:beforeAutospacing="1" w:after="100" w:afterAutospacing="1" w:line="300" w:lineRule="atLeast"/>
              <w:rPr>
                <w:rFonts w:ascii="Arial" w:eastAsia="Times New Roman" w:hAnsi="Arial" w:cs="Arial"/>
                <w:b/>
                <w:bCs/>
                <w:kern w:val="0"/>
                <w14:ligatures w14:val="none"/>
              </w:rPr>
            </w:pPr>
            <w:r w:rsidRPr="0090312E">
              <w:rPr>
                <w:rFonts w:ascii="Arial" w:eastAsia="Times New Roman" w:hAnsi="Arial" w:cs="Arial"/>
                <w:b/>
                <w:bCs/>
                <w:kern w:val="0"/>
                <w14:ligatures w14:val="none"/>
              </w:rPr>
              <w:t>Professional Impact</w:t>
            </w:r>
          </w:p>
        </w:tc>
      </w:tr>
      <w:tr w:rsidR="00562DE7" w:rsidRPr="0090312E" w14:paraId="5F2AF03F" w14:textId="77777777" w:rsidTr="00DD6F10">
        <w:trPr>
          <w:trHeight w:val="1320"/>
        </w:trPr>
        <w:tc>
          <w:tcPr>
            <w:tcW w:w="1755" w:type="dxa"/>
            <w:hideMark/>
          </w:tcPr>
          <w:p w14:paraId="028B14BA"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Cambridge Analytica</w:t>
            </w:r>
          </w:p>
        </w:tc>
        <w:tc>
          <w:tcPr>
            <w:tcW w:w="2041" w:type="dxa"/>
            <w:hideMark/>
          </w:tcPr>
          <w:p w14:paraId="2CA6C9B6"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Lack of informed consent; misuse of personal data</w:t>
            </w:r>
          </w:p>
        </w:tc>
        <w:tc>
          <w:tcPr>
            <w:tcW w:w="1861" w:type="dxa"/>
            <w:hideMark/>
          </w:tcPr>
          <w:p w14:paraId="1595100E"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Erosion of trust; political manipulation concerns</w:t>
            </w:r>
          </w:p>
        </w:tc>
        <w:tc>
          <w:tcPr>
            <w:tcW w:w="1847" w:type="dxa"/>
            <w:hideMark/>
          </w:tcPr>
          <w:p w14:paraId="1295B7C4"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Investigations and stronger privacy laws</w:t>
            </w:r>
          </w:p>
        </w:tc>
        <w:tc>
          <w:tcPr>
            <w:tcW w:w="1846" w:type="dxa"/>
            <w:hideMark/>
          </w:tcPr>
          <w:p w14:paraId="14B7830B"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Failure of responsible data management</w:t>
            </w:r>
          </w:p>
        </w:tc>
      </w:tr>
      <w:tr w:rsidR="00562DE7" w:rsidRPr="0090312E" w14:paraId="44059399" w14:textId="77777777" w:rsidTr="00DD6F10">
        <w:trPr>
          <w:trHeight w:val="990"/>
        </w:trPr>
        <w:tc>
          <w:tcPr>
            <w:tcW w:w="1755" w:type="dxa"/>
            <w:hideMark/>
          </w:tcPr>
          <w:p w14:paraId="0D4F8405"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lastRenderedPageBreak/>
              <w:t>Facebook Emotional Contagion Experiment</w:t>
            </w:r>
          </w:p>
        </w:tc>
        <w:tc>
          <w:tcPr>
            <w:tcW w:w="2041" w:type="dxa"/>
            <w:hideMark/>
          </w:tcPr>
          <w:p w14:paraId="3E887335"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Manipulation without consent</w:t>
            </w:r>
          </w:p>
        </w:tc>
        <w:tc>
          <w:tcPr>
            <w:tcW w:w="1861" w:type="dxa"/>
            <w:hideMark/>
          </w:tcPr>
          <w:p w14:paraId="13B8855C"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Concerns about emotional influence by platforms</w:t>
            </w:r>
          </w:p>
        </w:tc>
        <w:tc>
          <w:tcPr>
            <w:tcW w:w="1847" w:type="dxa"/>
            <w:hideMark/>
          </w:tcPr>
          <w:p w14:paraId="28E0CA61"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Regulatory scrutiny</w:t>
            </w:r>
          </w:p>
        </w:tc>
        <w:tc>
          <w:tcPr>
            <w:tcW w:w="1846" w:type="dxa"/>
            <w:hideMark/>
          </w:tcPr>
          <w:p w14:paraId="52C0A84E"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Questions about research ethics</w:t>
            </w:r>
          </w:p>
        </w:tc>
      </w:tr>
      <w:tr w:rsidR="00562DE7" w:rsidRPr="0090312E" w14:paraId="35548B9E" w14:textId="77777777" w:rsidTr="00DD6F10">
        <w:trPr>
          <w:trHeight w:val="1320"/>
        </w:trPr>
        <w:tc>
          <w:tcPr>
            <w:tcW w:w="1755" w:type="dxa"/>
            <w:hideMark/>
          </w:tcPr>
          <w:p w14:paraId="24FC3790"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Google reCAPTCHA</w:t>
            </w:r>
          </w:p>
        </w:tc>
        <w:tc>
          <w:tcPr>
            <w:tcW w:w="2041" w:type="dxa"/>
            <w:hideMark/>
          </w:tcPr>
          <w:p w14:paraId="7AEC6720"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Limited transparency regarding data collection</w:t>
            </w:r>
          </w:p>
        </w:tc>
        <w:tc>
          <w:tcPr>
            <w:tcW w:w="1861" w:type="dxa"/>
            <w:hideMark/>
          </w:tcPr>
          <w:p w14:paraId="5A3D3255"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Normalization of extensive tracking</w:t>
            </w:r>
          </w:p>
        </w:tc>
        <w:tc>
          <w:tcPr>
            <w:tcW w:w="1847" w:type="dxa"/>
            <w:hideMark/>
          </w:tcPr>
          <w:p w14:paraId="78C0BC85"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Privacy compliance concerns</w:t>
            </w:r>
          </w:p>
        </w:tc>
        <w:tc>
          <w:tcPr>
            <w:tcW w:w="1846" w:type="dxa"/>
            <w:hideMark/>
          </w:tcPr>
          <w:p w14:paraId="150D2BC3"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Responsibility to disclose data practices</w:t>
            </w:r>
          </w:p>
        </w:tc>
      </w:tr>
      <w:tr w:rsidR="00562DE7" w:rsidRPr="0090312E" w14:paraId="6BAE73EC" w14:textId="77777777" w:rsidTr="00DD6F10">
        <w:trPr>
          <w:trHeight w:val="990"/>
        </w:trPr>
        <w:tc>
          <w:tcPr>
            <w:tcW w:w="1755" w:type="dxa"/>
            <w:hideMark/>
          </w:tcPr>
          <w:p w14:paraId="077CF396"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Strava Heatmap</w:t>
            </w:r>
          </w:p>
        </w:tc>
        <w:tc>
          <w:tcPr>
            <w:tcW w:w="2041" w:type="dxa"/>
            <w:hideMark/>
          </w:tcPr>
          <w:p w14:paraId="5F996408"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Users unaware of secondary risks of shared data</w:t>
            </w:r>
          </w:p>
        </w:tc>
        <w:tc>
          <w:tcPr>
            <w:tcW w:w="1861" w:type="dxa"/>
            <w:hideMark/>
          </w:tcPr>
          <w:p w14:paraId="1A9F7CFF"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Fear of surveillance and exposure</w:t>
            </w:r>
          </w:p>
        </w:tc>
        <w:tc>
          <w:tcPr>
            <w:tcW w:w="1847" w:type="dxa"/>
            <w:hideMark/>
          </w:tcPr>
          <w:p w14:paraId="738B004D"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Privacy and security reviews</w:t>
            </w:r>
          </w:p>
        </w:tc>
        <w:tc>
          <w:tcPr>
            <w:tcW w:w="1846" w:type="dxa"/>
            <w:hideMark/>
          </w:tcPr>
          <w:p w14:paraId="3697769F"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Need for privacy-by-design systems</w:t>
            </w:r>
          </w:p>
        </w:tc>
      </w:tr>
      <w:tr w:rsidR="00562DE7" w:rsidRPr="0090312E" w14:paraId="5FF24836" w14:textId="77777777" w:rsidTr="00DD6F10">
        <w:trPr>
          <w:trHeight w:val="990"/>
        </w:trPr>
        <w:tc>
          <w:tcPr>
            <w:tcW w:w="1755" w:type="dxa"/>
            <w:hideMark/>
          </w:tcPr>
          <w:p w14:paraId="1EA20D7D"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OkCupid Data Sharing</w:t>
            </w:r>
          </w:p>
        </w:tc>
        <w:tc>
          <w:tcPr>
            <w:tcW w:w="2041" w:type="dxa"/>
            <w:hideMark/>
          </w:tcPr>
          <w:p w14:paraId="49EC257D"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Misrepresentation of data usage</w:t>
            </w:r>
          </w:p>
        </w:tc>
        <w:tc>
          <w:tcPr>
            <w:tcW w:w="1861" w:type="dxa"/>
            <w:hideMark/>
          </w:tcPr>
          <w:p w14:paraId="03670547"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Reduced trust in online services</w:t>
            </w:r>
          </w:p>
        </w:tc>
        <w:tc>
          <w:tcPr>
            <w:tcW w:w="1847" w:type="dxa"/>
            <w:hideMark/>
          </w:tcPr>
          <w:p w14:paraId="2242389B"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FTC enforcement action</w:t>
            </w:r>
          </w:p>
        </w:tc>
        <w:tc>
          <w:tcPr>
            <w:tcW w:w="1846" w:type="dxa"/>
            <w:hideMark/>
          </w:tcPr>
          <w:p w14:paraId="6182548B" w14:textId="77777777" w:rsidR="00562DE7" w:rsidRPr="0090312E" w:rsidRDefault="00562DE7" w:rsidP="00562DE7">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Failure to follow stated privacy commitments</w:t>
            </w:r>
          </w:p>
        </w:tc>
      </w:tr>
    </w:tbl>
    <w:p w14:paraId="62EA41A4" w14:textId="55C22557" w:rsidR="00DE420D" w:rsidRPr="0090312E" w:rsidRDefault="00DD6F10" w:rsidP="000E33E2">
      <w:pPr>
        <w:spacing w:before="100" w:beforeAutospacing="1" w:after="100" w:afterAutospacing="1" w:line="300" w:lineRule="atLeast"/>
        <w:rPr>
          <w:rFonts w:ascii="Arial" w:eastAsia="Times New Roman" w:hAnsi="Arial" w:cs="Arial"/>
          <w:kern w:val="0"/>
          <w14:ligatures w14:val="none"/>
        </w:rPr>
      </w:pPr>
      <w:r w:rsidRPr="0090312E">
        <w:rPr>
          <w:rFonts w:ascii="Arial" w:eastAsia="Times New Roman" w:hAnsi="Arial" w:cs="Arial"/>
          <w:kern w:val="0"/>
          <w14:ligatures w14:val="none"/>
        </w:rPr>
        <w:t>Collectively, these examples demonstrate that surveys, quizzes, profile questionnaires, and survey-like interactions can become powerful tools for collecting and exploiting personal data when transparency, informed consent, and ethical safeguards are inadequate. From ethical, social, legal, and professional perspectives, the common themes are lack of user awareness, insufficient consent, misuse of personal information, weakened public trust, regulatory intervention, and failures in professional responsibility and data governance. The cases reinforce the need for organizations to prioritize transparency, privacy-by-design, accountability, and informed consent in all forms of data collection.</w:t>
      </w:r>
    </w:p>
    <w:p w14:paraId="229F2798" w14:textId="77777777" w:rsidR="00DE420D" w:rsidRPr="0090312E" w:rsidRDefault="00DE420D" w:rsidP="000E33E2">
      <w:pPr>
        <w:spacing w:before="100" w:beforeAutospacing="1" w:after="100" w:afterAutospacing="1" w:line="300" w:lineRule="atLeast"/>
        <w:rPr>
          <w:rFonts w:ascii="Arial" w:eastAsia="Times New Roman" w:hAnsi="Arial" w:cs="Arial"/>
          <w:kern w:val="0"/>
          <w14:ligatures w14:val="none"/>
        </w:rPr>
      </w:pPr>
    </w:p>
    <w:p w14:paraId="0645C88B" w14:textId="77777777" w:rsidR="00DE420D" w:rsidRPr="0090312E" w:rsidRDefault="00DE420D" w:rsidP="000E33E2">
      <w:pPr>
        <w:spacing w:before="100" w:beforeAutospacing="1" w:after="100" w:afterAutospacing="1" w:line="300" w:lineRule="atLeast"/>
        <w:rPr>
          <w:rFonts w:ascii="Arial" w:eastAsia="Times New Roman" w:hAnsi="Arial" w:cs="Arial"/>
          <w:kern w:val="0"/>
          <w14:ligatures w14:val="none"/>
        </w:rPr>
      </w:pPr>
    </w:p>
    <w:sectPr w:rsidR="00DE420D" w:rsidRPr="00903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22D"/>
    <w:multiLevelType w:val="multilevel"/>
    <w:tmpl w:val="D8B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D4B9B"/>
    <w:multiLevelType w:val="multilevel"/>
    <w:tmpl w:val="8C40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64EEC"/>
    <w:multiLevelType w:val="multilevel"/>
    <w:tmpl w:val="18DC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7F0D"/>
    <w:multiLevelType w:val="multilevel"/>
    <w:tmpl w:val="CF74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D5261"/>
    <w:multiLevelType w:val="multilevel"/>
    <w:tmpl w:val="3C9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C02EB"/>
    <w:multiLevelType w:val="multilevel"/>
    <w:tmpl w:val="2F4C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35AB7"/>
    <w:multiLevelType w:val="multilevel"/>
    <w:tmpl w:val="F0F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83386"/>
    <w:multiLevelType w:val="multilevel"/>
    <w:tmpl w:val="C1A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232C2"/>
    <w:multiLevelType w:val="multilevel"/>
    <w:tmpl w:val="F23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E6857"/>
    <w:multiLevelType w:val="hybridMultilevel"/>
    <w:tmpl w:val="D6CE5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51329D"/>
    <w:multiLevelType w:val="multilevel"/>
    <w:tmpl w:val="DA24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736C1"/>
    <w:multiLevelType w:val="multilevel"/>
    <w:tmpl w:val="873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11026"/>
    <w:multiLevelType w:val="multilevel"/>
    <w:tmpl w:val="8F70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E7018"/>
    <w:multiLevelType w:val="multilevel"/>
    <w:tmpl w:val="18B8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64B28"/>
    <w:multiLevelType w:val="multilevel"/>
    <w:tmpl w:val="14CA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62CB6"/>
    <w:multiLevelType w:val="multilevel"/>
    <w:tmpl w:val="E64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879927">
    <w:abstractNumId w:val="15"/>
  </w:num>
  <w:num w:numId="2" w16cid:durableId="1101294421">
    <w:abstractNumId w:val="5"/>
  </w:num>
  <w:num w:numId="3" w16cid:durableId="752549962">
    <w:abstractNumId w:val="13"/>
  </w:num>
  <w:num w:numId="4" w16cid:durableId="1073041750">
    <w:abstractNumId w:val="12"/>
  </w:num>
  <w:num w:numId="5" w16cid:durableId="1189953342">
    <w:abstractNumId w:val="6"/>
  </w:num>
  <w:num w:numId="6" w16cid:durableId="2069835395">
    <w:abstractNumId w:val="14"/>
  </w:num>
  <w:num w:numId="7" w16cid:durableId="1609115413">
    <w:abstractNumId w:val="0"/>
  </w:num>
  <w:num w:numId="8" w16cid:durableId="1586186579">
    <w:abstractNumId w:val="3"/>
  </w:num>
  <w:num w:numId="9" w16cid:durableId="1034498471">
    <w:abstractNumId w:val="10"/>
  </w:num>
  <w:num w:numId="10" w16cid:durableId="249900132">
    <w:abstractNumId w:val="7"/>
  </w:num>
  <w:num w:numId="11" w16cid:durableId="1039746088">
    <w:abstractNumId w:val="8"/>
  </w:num>
  <w:num w:numId="12" w16cid:durableId="130293965">
    <w:abstractNumId w:val="2"/>
  </w:num>
  <w:num w:numId="13" w16cid:durableId="1315644811">
    <w:abstractNumId w:val="4"/>
  </w:num>
  <w:num w:numId="14" w16cid:durableId="1316254899">
    <w:abstractNumId w:val="1"/>
  </w:num>
  <w:num w:numId="15" w16cid:durableId="291712302">
    <w:abstractNumId w:val="11"/>
  </w:num>
  <w:num w:numId="16" w16cid:durableId="368336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3E2"/>
    <w:rsid w:val="000E33E2"/>
    <w:rsid w:val="000F5FCA"/>
    <w:rsid w:val="00131097"/>
    <w:rsid w:val="00352304"/>
    <w:rsid w:val="00395C72"/>
    <w:rsid w:val="004248C9"/>
    <w:rsid w:val="004E7DD3"/>
    <w:rsid w:val="00562DE7"/>
    <w:rsid w:val="00616238"/>
    <w:rsid w:val="00690904"/>
    <w:rsid w:val="00710ED0"/>
    <w:rsid w:val="007D3937"/>
    <w:rsid w:val="007E7DC4"/>
    <w:rsid w:val="0090312E"/>
    <w:rsid w:val="00923E3A"/>
    <w:rsid w:val="009C4FF8"/>
    <w:rsid w:val="009F6221"/>
    <w:rsid w:val="00A421CA"/>
    <w:rsid w:val="00BF0255"/>
    <w:rsid w:val="00BF752C"/>
    <w:rsid w:val="00C47DF3"/>
    <w:rsid w:val="00DB29D4"/>
    <w:rsid w:val="00DC70EE"/>
    <w:rsid w:val="00DD6F10"/>
    <w:rsid w:val="00DE420D"/>
    <w:rsid w:val="00DF4D69"/>
    <w:rsid w:val="00E64C19"/>
    <w:rsid w:val="00EF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94BC"/>
  <w15:chartTrackingRefBased/>
  <w15:docId w15:val="{66B59024-641F-48FD-B82C-79067CB94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3E2"/>
  </w:style>
  <w:style w:type="paragraph" w:styleId="Heading1">
    <w:name w:val="heading 1"/>
    <w:basedOn w:val="Normal"/>
    <w:next w:val="Normal"/>
    <w:link w:val="Heading1Char"/>
    <w:uiPriority w:val="9"/>
    <w:qFormat/>
    <w:rsid w:val="000E3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3E2"/>
    <w:rPr>
      <w:rFonts w:eastAsiaTheme="majorEastAsia" w:cstheme="majorBidi"/>
      <w:color w:val="272727" w:themeColor="text1" w:themeTint="D8"/>
    </w:rPr>
  </w:style>
  <w:style w:type="paragraph" w:styleId="Title">
    <w:name w:val="Title"/>
    <w:basedOn w:val="Normal"/>
    <w:next w:val="Normal"/>
    <w:link w:val="TitleChar"/>
    <w:uiPriority w:val="10"/>
    <w:qFormat/>
    <w:rsid w:val="000E3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3E2"/>
    <w:pPr>
      <w:spacing w:before="160"/>
      <w:jc w:val="center"/>
    </w:pPr>
    <w:rPr>
      <w:i/>
      <w:iCs/>
      <w:color w:val="404040" w:themeColor="text1" w:themeTint="BF"/>
    </w:rPr>
  </w:style>
  <w:style w:type="character" w:customStyle="1" w:styleId="QuoteChar">
    <w:name w:val="Quote Char"/>
    <w:basedOn w:val="DefaultParagraphFont"/>
    <w:link w:val="Quote"/>
    <w:uiPriority w:val="29"/>
    <w:rsid w:val="000E33E2"/>
    <w:rPr>
      <w:i/>
      <w:iCs/>
      <w:color w:val="404040" w:themeColor="text1" w:themeTint="BF"/>
    </w:rPr>
  </w:style>
  <w:style w:type="paragraph" w:styleId="ListParagraph">
    <w:name w:val="List Paragraph"/>
    <w:basedOn w:val="Normal"/>
    <w:uiPriority w:val="34"/>
    <w:qFormat/>
    <w:rsid w:val="000E33E2"/>
    <w:pPr>
      <w:ind w:left="720"/>
      <w:contextualSpacing/>
    </w:pPr>
  </w:style>
  <w:style w:type="character" w:styleId="IntenseEmphasis">
    <w:name w:val="Intense Emphasis"/>
    <w:basedOn w:val="DefaultParagraphFont"/>
    <w:uiPriority w:val="21"/>
    <w:qFormat/>
    <w:rsid w:val="000E33E2"/>
    <w:rPr>
      <w:i/>
      <w:iCs/>
      <w:color w:val="0F4761" w:themeColor="accent1" w:themeShade="BF"/>
    </w:rPr>
  </w:style>
  <w:style w:type="paragraph" w:styleId="IntenseQuote">
    <w:name w:val="Intense Quote"/>
    <w:basedOn w:val="Normal"/>
    <w:next w:val="Normal"/>
    <w:link w:val="IntenseQuoteChar"/>
    <w:uiPriority w:val="30"/>
    <w:qFormat/>
    <w:rsid w:val="000E3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3E2"/>
    <w:rPr>
      <w:i/>
      <w:iCs/>
      <w:color w:val="0F4761" w:themeColor="accent1" w:themeShade="BF"/>
    </w:rPr>
  </w:style>
  <w:style w:type="character" w:styleId="IntenseReference">
    <w:name w:val="Intense Reference"/>
    <w:basedOn w:val="DefaultParagraphFont"/>
    <w:uiPriority w:val="32"/>
    <w:qFormat/>
    <w:rsid w:val="000E33E2"/>
    <w:rPr>
      <w:b/>
      <w:bCs/>
      <w:smallCaps/>
      <w:color w:val="0F4761" w:themeColor="accent1" w:themeShade="BF"/>
      <w:spacing w:val="5"/>
    </w:rPr>
  </w:style>
  <w:style w:type="paragraph" w:styleId="NoSpacing">
    <w:name w:val="No Spacing"/>
    <w:uiPriority w:val="1"/>
    <w:qFormat/>
    <w:rsid w:val="00395C72"/>
    <w:pPr>
      <w:spacing w:after="0" w:line="240" w:lineRule="auto"/>
    </w:pPr>
  </w:style>
  <w:style w:type="table" w:styleId="TableGrid">
    <w:name w:val="Table Grid"/>
    <w:basedOn w:val="TableNormal"/>
    <w:uiPriority w:val="39"/>
    <w:rsid w:val="00562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55778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451</Words>
  <Characters>2771</Characters>
  <Application>Microsoft Office Word</Application>
  <DocSecurity>0</DocSecurity>
  <Lines>56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21</cp:revision>
  <dcterms:created xsi:type="dcterms:W3CDTF">2026-06-05T13:22:00Z</dcterms:created>
  <dcterms:modified xsi:type="dcterms:W3CDTF">2026-07-21T16:58:00Z</dcterms:modified>
</cp:coreProperties>
</file>