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4" w:name="partito-tecnocratico-ditalia"/>
    <w:p>
      <w:pPr>
        <w:pStyle w:val="Heading1"/>
      </w:pPr>
      <w:r>
        <w:rPr>
          <w:rStyle w:val="SectionNumber"/>
        </w:rPr>
        <w:t xml:space="preserve">1</w:t>
      </w:r>
      <w:r>
        <w:tab/>
      </w:r>
      <w:r>
        <w:t xml:space="preserve">PARTITO TECNOCRATICO D’ITALIA</w:t>
      </w:r>
    </w:p>
    <w:bookmarkStart w:id="23" w:name="X0fdcd9d74a432b7f6ed03c421a1590e9f5faf3e"/>
    <w:p>
      <w:pPr>
        <w:pStyle w:val="Heading2"/>
      </w:pPr>
      <w:r>
        <w:rPr>
          <w:rStyle w:val="SectionNumber"/>
        </w:rPr>
        <w:t xml:space="preserve">1.1</w:t>
      </w:r>
      <w:r>
        <w:tab/>
      </w:r>
      <w:r>
        <w:t xml:space="preserve">Manifesto Politico e Programma di Governo Centrale</w:t>
      </w:r>
    </w:p>
    <w:p>
      <w:pPr>
        <w:pStyle w:val="CaptionedFigure"/>
      </w:pPr>
      <w:r>
        <w:drawing>
          <wp:inline>
            <wp:extent cx="5334000" cy="5334000"/>
            <wp:effectExtent b="0" l="0" r="0" t="0"/>
            <wp:docPr descr="Logo" title="" id="21" name="Picture"/>
            <a:graphic>
              <a:graphicData uri="http://schemas.openxmlformats.org/drawingml/2006/picture">
                <pic:pic>
                  <pic:nvPicPr>
                    <pic:cNvPr descr="logo.png" id="22" name="Picture"/>
                    <pic:cNvPicPr>
                      <a:picLocks noChangeArrowheads="1" noChangeAspect="1"/>
                    </pic:cNvPicPr>
                  </pic:nvPicPr>
                  <pic:blipFill>
                    <a:blip r:embed="rId20"/>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Logo</w:t>
      </w:r>
    </w:p>
    <w:p>
      <w:pPr>
        <w:pStyle w:val="BodyText"/>
      </w:pPr>
      <w:r>
        <w:rPr>
          <w:iCs/>
          <w:i/>
        </w:rPr>
        <w:t xml:space="preserve">Versione Integrata con Revisioni Strategiche, Guardrail Costituzionali, Transizione Industriale e Sostenibilità Certificata: 2026</w:t>
      </w:r>
      <w:r>
        <w:br/>
      </w:r>
      <w:r>
        <w:rPr>
          <w:iCs/>
          <w:i/>
        </w:rPr>
        <w:t xml:space="preserve">Motto:</w:t>
      </w:r>
      <w:r>
        <w:rPr>
          <w:iCs/>
          <w:i/>
        </w:rPr>
        <w:t xml:space="preserve"> </w:t>
      </w:r>
      <w:r>
        <w:rPr>
          <w:iCs/>
          <w:i/>
        </w:rPr>
        <w:t xml:space="preserve">“</w:t>
      </w:r>
      <w:r>
        <w:rPr>
          <w:iCs/>
          <w:i/>
        </w:rPr>
        <w:t xml:space="preserve">L’ideologia divide, la scienza ottimizza. Massima efficienza, zero compromessi politici.</w:t>
      </w:r>
      <w:r>
        <w:rPr>
          <w:iCs/>
          <w:i/>
        </w:rPr>
        <w:t xml:space="preserve">”</w:t>
      </w:r>
    </w:p>
    <w:p>
      <w:r>
        <w:pict>
          <v:rect style="width:0;height:1.5pt" o:hralign="center" o:hrstd="t" o:hr="t"/>
        </w:pict>
      </w:r>
    </w:p>
    <w:bookmarkEnd w:id="23"/>
    <w:bookmarkStart w:id="27" w:name="X540f74c8c8ed7d2459b5ad7d0f21077fdcd89e8"/>
    <w:p>
      <w:pPr>
        <w:pStyle w:val="Heading2"/>
      </w:pPr>
      <w:r>
        <w:rPr>
          <w:rStyle w:val="SectionNumber"/>
        </w:rPr>
        <w:t xml:space="preserve">1.2</w:t>
      </w:r>
      <w:r>
        <w:tab/>
      </w:r>
      <w:r>
        <w:t xml:space="preserve">SEZIONE I – MANIFESTO PER UNA NUOVA CIVILTÀ</w:t>
      </w:r>
    </w:p>
    <w:bookmarkStart w:id="24" w:name="la-rivoluzione-della-ragione"/>
    <w:p>
      <w:pPr>
        <w:pStyle w:val="Heading3"/>
      </w:pPr>
      <w:r>
        <w:rPr>
          <w:rStyle w:val="SectionNumber"/>
        </w:rPr>
        <w:t xml:space="preserve">1.2.1</w:t>
      </w:r>
      <w:r>
        <w:tab/>
      </w:r>
      <w:r>
        <w:t xml:space="preserve">La Rivoluzione della Ragione</w:t>
      </w:r>
    </w:p>
    <w:bookmarkEnd w:id="24"/>
    <w:bookmarkStart w:id="25" w:name="perché-un-nuovo-paradigma"/>
    <w:p>
      <w:pPr>
        <w:pStyle w:val="Heading3"/>
      </w:pPr>
      <w:r>
        <w:rPr>
          <w:rStyle w:val="SectionNumber"/>
        </w:rPr>
        <w:t xml:space="preserve">1.2.2</w:t>
      </w:r>
      <w:r>
        <w:tab/>
      </w:r>
      <w:r>
        <w:t xml:space="preserve">1. Perché un nuovo paradigma</w:t>
      </w:r>
    </w:p>
    <w:p>
      <w:pPr>
        <w:pStyle w:val="FirstParagraph"/>
      </w:pPr>
      <w:r>
        <w:t xml:space="preserve">Il nostro manifesto nasce come risposta alla deriva del dibattito pubblico, oggi dominato da disinformazione e antiscientismo. La scienza è l’unico strumento umano che ci avvicina all’oggettività: non conosce bandiere, classi o ideologie. Il partito promuove una società fondata sulla conoscenza, sul metodo scientifico, sulla competenza e sulla responsabilità pubblica.</w:t>
      </w:r>
    </w:p>
    <w:bookmarkEnd w:id="25"/>
    <w:bookmarkStart w:id="26" w:name="X765d0337260b06fa0e7591cb276f0bcd8072b20"/>
    <w:p>
      <w:pPr>
        <w:pStyle w:val="Heading3"/>
      </w:pPr>
      <w:r>
        <w:rPr>
          <w:rStyle w:val="SectionNumber"/>
        </w:rPr>
        <w:t xml:space="preserve">1.2.3</w:t>
      </w:r>
      <w:r>
        <w:tab/>
      </w:r>
      <w:r>
        <w:t xml:space="preserve">2. Il ruolo dello sport, della cultura e dell’intrattenimento</w:t>
      </w:r>
    </w:p>
    <w:p>
      <w:pPr>
        <w:pStyle w:val="FirstParagraph"/>
      </w:pPr>
      <w:r>
        <w:t xml:space="preserve">Lo sport e l’intrattenimento sono attività legittime per il benessere psicofisico. Tuttavia, non devono oscurare il ruolo strategico dell’istruzione, della ricerca scientifica e della medicina, né essere utilizzati come anestetico culturale per distogliere l’attenzione dai problemi strutturali del Paese. Il sapere, la salute e lo sviluppo tecnologico devono tornare al vertice delle priorità nazionali.</w:t>
      </w:r>
    </w:p>
    <w:p>
      <w:r>
        <w:pict>
          <v:rect style="width:0;height:1.5pt" o:hralign="center" o:hrstd="t" o:hr="t"/>
        </w:pict>
      </w:r>
    </w:p>
    <w:bookmarkEnd w:id="26"/>
    <w:bookmarkEnd w:id="27"/>
    <w:bookmarkStart w:id="29" w:name="X16e46021cae27182f0486feb943fee82f0a4697"/>
    <w:p>
      <w:pPr>
        <w:pStyle w:val="Heading2"/>
      </w:pPr>
      <w:r>
        <w:rPr>
          <w:rStyle w:val="SectionNumber"/>
        </w:rPr>
        <w:t xml:space="preserve">1.3</w:t>
      </w:r>
      <w:r>
        <w:tab/>
      </w:r>
      <w:r>
        <w:t xml:space="preserve">SEZIONE II: IL PROGRAMMA OPERATIVO DI GOVERNO</w:t>
      </w:r>
    </w:p>
    <w:bookmarkStart w:id="28" w:name="X0a22f5cd065be6bfc8a09ab282034e6111cf3d1"/>
    <w:p>
      <w:pPr>
        <w:pStyle w:val="Heading3"/>
      </w:pPr>
      <w:r>
        <w:rPr>
          <w:rStyle w:val="SectionNumber"/>
        </w:rPr>
        <w:t xml:space="preserve">1.3.1</w:t>
      </w:r>
      <w:r>
        <w:tab/>
      </w:r>
      <w:r>
        <w:t xml:space="preserve">🛡️ Principio Cardine: La Supervisione Umana e Democratica</w:t>
      </w:r>
    </w:p>
    <w:p>
      <w:pPr>
        <w:pStyle w:val="FirstParagraph"/>
      </w:pPr>
      <w:r>
        <w:t xml:space="preserve">Ogni algoritmo o intelligenza artificiale utilizzato dallo Stato deve essere pubblico, verificabile, auditabile e sottoposto a supervisione umana, scientifica e democratica. La tecnologia supporta le decisioni, ma la responsabilità politica resta vincolata all’essere umano.</w:t>
      </w:r>
    </w:p>
    <w:p>
      <w:r>
        <w:pict>
          <v:rect style="width:0;height:1.5pt" o:hralign="center" o:hrstd="t" o:hr="t"/>
        </w:pict>
      </w:r>
    </w:p>
    <w:bookmarkEnd w:id="28"/>
    <w:bookmarkEnd w:id="29"/>
    <w:bookmarkStart w:id="33" w:name="Xc116eed34fb6d49b65f8ed27905e9c00c2adb7d"/>
    <w:p>
      <w:pPr>
        <w:pStyle w:val="Heading2"/>
      </w:pPr>
      <w:r>
        <w:rPr>
          <w:rStyle w:val="SectionNumber"/>
        </w:rPr>
        <w:t xml:space="preserve">1.4</w:t>
      </w:r>
      <w:r>
        <w:tab/>
      </w:r>
      <w:r>
        <w:t xml:space="preserve">PARTE A: ENERGIA, INFRASTRUTTURE E INNOVAZIONE</w:t>
      </w:r>
    </w:p>
    <w:bookmarkStart w:id="30" w:name="X184beb4bd4e7162f32c75997da4a9f3a4ae9bc8"/>
    <w:p>
      <w:pPr>
        <w:pStyle w:val="Heading3"/>
      </w:pPr>
      <w:r>
        <w:rPr>
          <w:rStyle w:val="SectionNumber"/>
        </w:rPr>
        <w:t xml:space="preserve">1.4.1</w:t>
      </w:r>
      <w:r>
        <w:tab/>
      </w:r>
      <w:r>
        <w:t xml:space="preserve">PILASTRO 1: Indipendenza Energetica ed Ecologia Scientifica</w:t>
      </w:r>
    </w:p>
    <w:p>
      <w:pPr>
        <w:numPr>
          <w:ilvl w:val="0"/>
          <w:numId w:val="1001"/>
        </w:numPr>
        <w:pStyle w:val="Compact"/>
      </w:pPr>
      <w:r>
        <w:rPr>
          <w:bCs/>
          <w:b/>
        </w:rPr>
        <w:t xml:space="preserve">Mix Nucleare-Rinnovabili:</w:t>
      </w:r>
      <w:r>
        <w:t xml:space="preserve"> </w:t>
      </w:r>
      <w:r>
        <w:t xml:space="preserve">Costruzione di reattori nucleari di ultima generazione (Small Modular Reactors - SMR) e parchi eolici offshore. Obiettivo: taglio del 30% del costo della bolletta.</w:t>
      </w:r>
    </w:p>
    <w:p>
      <w:pPr>
        <w:numPr>
          <w:ilvl w:val="0"/>
          <w:numId w:val="1001"/>
        </w:numPr>
        <w:pStyle w:val="Compact"/>
      </w:pPr>
      <w:r>
        <w:rPr>
          <w:bCs/>
          <w:b/>
        </w:rPr>
        <w:t xml:space="preserve">Agrivoltaico Canalizzato:</w:t>
      </w:r>
      <w:r>
        <w:t xml:space="preserve"> </w:t>
      </w:r>
      <w:r>
        <w:t xml:space="preserve">Copertura dei canali di irrigazione con pannelli solari per ridurre l’evaporazione dell’acqua del 30% e alimentare la micro-irrigazione.</w:t>
      </w:r>
    </w:p>
    <w:p>
      <w:pPr>
        <w:numPr>
          <w:ilvl w:val="0"/>
          <w:numId w:val="1001"/>
        </w:numPr>
        <w:pStyle w:val="Compact"/>
      </w:pPr>
      <w:r>
        <w:rPr>
          <w:bCs/>
          <w:b/>
        </w:rPr>
        <w:t xml:space="preserve">Il SoutH2 Corridor:</w:t>
      </w:r>
      <w:r>
        <w:t xml:space="preserve"> </w:t>
      </w:r>
      <w:r>
        <w:t xml:space="preserve">Infrastrutturazione della dorsale ad alta pressione per l’esportazione del surplus di idrogeno verde verso il Nord Europa attraverso il corridoio alpino, posizionando l’Italia</w:t>
      </w:r>
      <w:r>
        <w:t xml:space="preserve"> </w:t>
      </w:r>
      <w:r>
        <w:rPr>
          <w:bCs/>
          <w:b/>
        </w:rPr>
        <w:t xml:space="preserve">come</w:t>
      </w:r>
      <w:r>
        <w:t xml:space="preserve"> </w:t>
      </w:r>
      <w:r>
        <w:t xml:space="preserve">Hub energetico del Mediterraneo.</w:t>
      </w:r>
    </w:p>
    <w:p>
      <w:pPr>
        <w:numPr>
          <w:ilvl w:val="0"/>
          <w:numId w:val="1001"/>
        </w:numPr>
        <w:pStyle w:val="Compact"/>
      </w:pPr>
      <w:r>
        <w:rPr>
          <w:bCs/>
          <w:b/>
        </w:rPr>
        <w:t xml:space="preserve">Finanziamento:</w:t>
      </w:r>
      <w:r>
        <w:t xml:space="preserve"> </w:t>
      </w:r>
      <w:r>
        <w:t xml:space="preserve">Rimodulazione temporanea della spesa militare dall’1,5% all’1% del PIL per 5 anni (10,5 miliardi/anno liberati). Quota residua tramite Green Bond.</w:t>
      </w:r>
    </w:p>
    <w:p>
      <w:pPr>
        <w:numPr>
          <w:ilvl w:val="0"/>
          <w:numId w:val="1001"/>
        </w:numPr>
        <w:pStyle w:val="Compact"/>
      </w:pPr>
      <w:r>
        <w:rPr>
          <w:bCs/>
          <w:b/>
        </w:rPr>
        <w:t xml:space="preserve">Scudo Geopolitico:</w:t>
      </w:r>
      <w:r>
        <w:t xml:space="preserve"> </w:t>
      </w:r>
      <w:r>
        <w:t xml:space="preserve">Sblocco immediato dei cantieri strategici H24 eliminando i veti di Regioni e Sovrintendenze tramite decreto d’urgenza.</w:t>
      </w:r>
    </w:p>
    <w:bookmarkEnd w:id="30"/>
    <w:bookmarkStart w:id="31" w:name="X5dae6c78c9d4139ae1d3910d8db281bf69e849b"/>
    <w:p>
      <w:pPr>
        <w:pStyle w:val="Heading3"/>
      </w:pPr>
      <w:r>
        <w:rPr>
          <w:rStyle w:val="SectionNumber"/>
        </w:rPr>
        <w:t xml:space="preserve">1.4.2</w:t>
      </w:r>
      <w:r>
        <w:tab/>
      </w:r>
      <w:r>
        <w:t xml:space="preserve">PILASTRO 2: Infrastrutture Strategiche e Manutenzione Predittiva</w:t>
      </w:r>
    </w:p>
    <w:p>
      <w:pPr>
        <w:numPr>
          <w:ilvl w:val="0"/>
          <w:numId w:val="1002"/>
        </w:numPr>
        <w:pStyle w:val="Compact"/>
      </w:pPr>
      <w:r>
        <w:rPr>
          <w:bCs/>
          <w:b/>
        </w:rPr>
        <w:t xml:space="preserve">Algoritmo di Priorità:</w:t>
      </w:r>
      <w:r>
        <w:t xml:space="preserve"> </w:t>
      </w:r>
      <w:r>
        <w:t xml:space="preserve">Un modello matematico analizza i flussi merci e alloca i fondi sulle opere ad alto ROI sociale ed economico, applicando il</w:t>
      </w:r>
      <w:r>
        <w:t xml:space="preserve"> </w:t>
      </w:r>
      <w:r>
        <w:t xml:space="preserve">“</w:t>
      </w:r>
      <w:r>
        <w:t xml:space="preserve">Modello Genova</w:t>
      </w:r>
      <w:r>
        <w:t xml:space="preserve">”</w:t>
      </w:r>
      <w:r>
        <w:t xml:space="preserve">.</w:t>
      </w:r>
    </w:p>
    <w:p>
      <w:pPr>
        <w:numPr>
          <w:ilvl w:val="0"/>
          <w:numId w:val="1002"/>
        </w:numPr>
        <w:pStyle w:val="Compact"/>
      </w:pPr>
      <w:r>
        <w:rPr>
          <w:bCs/>
          <w:b/>
        </w:rPr>
        <w:t xml:space="preserve">Infrastrutture IoT:</w:t>
      </w:r>
      <w:r>
        <w:t xml:space="preserve"> </w:t>
      </w:r>
      <w:r>
        <w:t xml:space="preserve">Sensori strutturali obbligatori su ponti e dighe collegati a un’IA centrale per la manutenzione predittiva.</w:t>
      </w:r>
    </w:p>
    <w:bookmarkEnd w:id="31"/>
    <w:bookmarkStart w:id="32" w:name="Xa6abbdfaa53069e54c5f7b51b9c6469afb6c902"/>
    <w:p>
      <w:pPr>
        <w:pStyle w:val="Heading3"/>
      </w:pPr>
      <w:r>
        <w:rPr>
          <w:rStyle w:val="SectionNumber"/>
        </w:rPr>
        <w:t xml:space="preserve">1.4.3</w:t>
      </w:r>
      <w:r>
        <w:tab/>
      </w:r>
      <w:r>
        <w:t xml:space="preserve">PILASTRO 3: Capitale Italia, Agricoltura 4.0 e Transizione Zootecnica</w:t>
      </w:r>
    </w:p>
    <w:p>
      <w:pPr>
        <w:numPr>
          <w:ilvl w:val="0"/>
          <w:numId w:val="1003"/>
        </w:numPr>
        <w:pStyle w:val="Compact"/>
      </w:pPr>
      <w:r>
        <w:rPr>
          <w:bCs/>
          <w:b/>
        </w:rPr>
        <w:t xml:space="preserve">Blockchain del Made in Italy:</w:t>
      </w:r>
      <w:r>
        <w:t xml:space="preserve"> </w:t>
      </w:r>
      <w:r>
        <w:t xml:space="preserve">Sistema di tracciabilità totale per eliminare la contraffazione internazionale.</w:t>
      </w:r>
    </w:p>
    <w:p>
      <w:pPr>
        <w:numPr>
          <w:ilvl w:val="0"/>
          <w:numId w:val="1003"/>
        </w:numPr>
        <w:pStyle w:val="Compact"/>
      </w:pPr>
      <w:r>
        <w:rPr>
          <w:bCs/>
          <w:b/>
        </w:rPr>
        <w:t xml:space="preserve">Hub della Carne Coltivata e Fondo di Riconversione Proteica:</w:t>
      </w:r>
      <w:r>
        <w:t xml:space="preserve"> </w:t>
      </w:r>
      <w:r>
        <w:t xml:space="preserve">Abrogazione dei divieti sulla ricerca cellulare e apertura di poli industriali biocellulari. Per tutelare il tessuto agricolo, si istituisce il</w:t>
      </w:r>
      <w:r>
        <w:t xml:space="preserve"> </w:t>
      </w:r>
      <w:r>
        <w:rPr>
          <w:iCs/>
          <w:i/>
        </w:rPr>
        <w:t xml:space="preserve">Fondo Nazionale per la Transizione Proteica</w:t>
      </w:r>
      <w:r>
        <w:t xml:space="preserve">: finanziamenti diretti per le 140.000 aziende zootecniche tradizionali per la riconversione nella produzione di biomasse e substrati vegetali per i bioreattori nazionali, o per la transizione verso allevamenti di altissima qualità estensiva non replicabili in laboratorio.</w:t>
      </w:r>
    </w:p>
    <w:p>
      <w:pPr>
        <w:numPr>
          <w:ilvl w:val="0"/>
          <w:numId w:val="1003"/>
        </w:numPr>
        <w:pStyle w:val="Compact"/>
      </w:pPr>
      <w:r>
        <w:rPr>
          <w:bCs/>
          <w:b/>
        </w:rPr>
        <w:t xml:space="preserve">Concessioni Balneari:</w:t>
      </w:r>
      <w:r>
        <w:t xml:space="preserve"> </w:t>
      </w:r>
      <w:r>
        <w:t xml:space="preserve">Assegnazione tramite algoritmi pubblici basati su investimenti eco-compatibili e canoni parametrici reali.</w:t>
      </w:r>
    </w:p>
    <w:p>
      <w:r>
        <w:pict>
          <v:rect style="width:0;height:1.5pt" o:hralign="center" o:hrstd="t" o:hr="t"/>
        </w:pict>
      </w:r>
    </w:p>
    <w:bookmarkEnd w:id="32"/>
    <w:bookmarkEnd w:id="33"/>
    <w:bookmarkStart w:id="37" w:name="Xb9c32a74cd4d4403fbb2e8c31e1357e602ae956"/>
    <w:p>
      <w:pPr>
        <w:pStyle w:val="Heading2"/>
      </w:pPr>
      <w:r>
        <w:rPr>
          <w:rStyle w:val="SectionNumber"/>
        </w:rPr>
        <w:t xml:space="preserve">1.5</w:t>
      </w:r>
      <w:r>
        <w:tab/>
      </w:r>
      <w:r>
        <w:t xml:space="preserve">PARTE B: ARCHITETTURA FISCALE E SEMPLIFICAZIONE</w:t>
      </w:r>
    </w:p>
    <w:bookmarkStart w:id="34" w:name="X563775c0b53d0834e493ba4107ba8a9ff083790"/>
    <w:p>
      <w:pPr>
        <w:pStyle w:val="Heading3"/>
      </w:pPr>
      <w:r>
        <w:rPr>
          <w:rStyle w:val="SectionNumber"/>
        </w:rPr>
        <w:t xml:space="preserve">1.5.1</w:t>
      </w:r>
      <w:r>
        <w:tab/>
      </w:r>
      <w:r>
        <w:t xml:space="preserve">PILASTRO 4: Il Fisco in Un Click e Algoritmo Occupazionale</w:t>
      </w:r>
    </w:p>
    <w:p>
      <w:pPr>
        <w:numPr>
          <w:ilvl w:val="0"/>
          <w:numId w:val="1004"/>
        </w:numPr>
        <w:pStyle w:val="Compact"/>
      </w:pPr>
      <w:r>
        <w:rPr>
          <w:bCs/>
          <w:b/>
        </w:rPr>
        <w:t xml:space="preserve">Funzione IRES Dinamica:</w:t>
      </w:r>
      <w:r>
        <w:t xml:space="preserve"> </w:t>
      </w:r>
      <w:r>
        <w:t xml:space="preserve">Più l’occupazione stabile cresce rispetto al fatturato, più l’aliquota fiscale si riduce automaticamente.</w:t>
      </w:r>
    </w:p>
    <w:p>
      <w:pPr>
        <w:numPr>
          <w:ilvl w:val="0"/>
          <w:numId w:val="1004"/>
        </w:numPr>
        <w:pStyle w:val="Compact"/>
      </w:pPr>
      <w:r>
        <w:rPr>
          <w:bCs/>
          <w:b/>
        </w:rPr>
        <w:t xml:space="preserve">Conto Unico Fiscale:</w:t>
      </w:r>
      <w:r>
        <w:t xml:space="preserve"> </w:t>
      </w:r>
      <w:r>
        <w:t xml:space="preserve">Piattaforma digitale di compensazione geometrica immediata tra debiti e crediti verso la Pubblica Amministrazione.</w:t>
      </w:r>
    </w:p>
    <w:bookmarkEnd w:id="34"/>
    <w:bookmarkStart w:id="35" w:name="X11022c5e3550c4ab4b99129f48e189587b391c6"/>
    <w:p>
      <w:pPr>
        <w:pStyle w:val="Heading3"/>
      </w:pPr>
      <w:r>
        <w:rPr>
          <w:rStyle w:val="SectionNumber"/>
        </w:rPr>
        <w:t xml:space="preserve">1.5.2</w:t>
      </w:r>
      <w:r>
        <w:tab/>
      </w:r>
      <w:r>
        <w:t xml:space="preserve">PILASTRO 5: Semplificazione Aziendale e Principio</w:t>
      </w:r>
      <w:r>
        <w:t xml:space="preserve"> </w:t>
      </w:r>
      <w:r>
        <w:t xml:space="preserve">“</w:t>
      </w:r>
      <w:r>
        <w:t xml:space="preserve">Once Only</w:t>
      </w:r>
      <w:r>
        <w:t xml:space="preserve">”</w:t>
      </w:r>
    </w:p>
    <w:p>
      <w:pPr>
        <w:numPr>
          <w:ilvl w:val="0"/>
          <w:numId w:val="1005"/>
        </w:numPr>
        <w:pStyle w:val="Compact"/>
      </w:pPr>
      <w:r>
        <w:rPr>
          <w:bCs/>
          <w:b/>
        </w:rPr>
        <w:t xml:space="preserve">Once Only Costituzionale:</w:t>
      </w:r>
      <w:r>
        <w:t xml:space="preserve"> </w:t>
      </w:r>
      <w:r>
        <w:t xml:space="preserve">Divieto per la PA di richiedere documenti già in possesso di altre banche dati pubbliche. Scatta il silenzio-assenso in caso di violazione.</w:t>
      </w:r>
    </w:p>
    <w:p>
      <w:pPr>
        <w:numPr>
          <w:ilvl w:val="0"/>
          <w:numId w:val="1005"/>
        </w:numPr>
        <w:pStyle w:val="Compact"/>
      </w:pPr>
      <w:r>
        <w:rPr>
          <w:bCs/>
          <w:b/>
        </w:rPr>
        <w:t xml:space="preserve">SUAP Algoritmico:</w:t>
      </w:r>
      <w:r>
        <w:t xml:space="preserve"> </w:t>
      </w:r>
      <w:r>
        <w:t xml:space="preserve">Interfaccia digitale per l’apertura istantanea delle attività economiche con validazione in tempo reale.</w:t>
      </w:r>
    </w:p>
    <w:bookmarkEnd w:id="35"/>
    <w:bookmarkStart w:id="36" w:name="X393b400eacf8f11dd0a93c728d3b5ce0d7754e0"/>
    <w:p>
      <w:pPr>
        <w:pStyle w:val="Heading3"/>
      </w:pPr>
      <w:r>
        <w:rPr>
          <w:rStyle w:val="SectionNumber"/>
        </w:rPr>
        <w:t xml:space="preserve">1.5.3</w:t>
      </w:r>
      <w:r>
        <w:tab/>
      </w:r>
      <w:r>
        <w:t xml:space="preserve">PILASTRO 6: Fascicolo Immobiliare e Aste Automatizzate</w:t>
      </w:r>
    </w:p>
    <w:p>
      <w:pPr>
        <w:numPr>
          <w:ilvl w:val="0"/>
          <w:numId w:val="1006"/>
        </w:numPr>
        <w:pStyle w:val="Compact"/>
      </w:pPr>
      <w:r>
        <w:rPr>
          <w:bCs/>
          <w:b/>
        </w:rPr>
        <w:t xml:space="preserve">Digital Twin Immobiliare:</w:t>
      </w:r>
      <w:r>
        <w:t xml:space="preserve"> </w:t>
      </w:r>
      <w:r>
        <w:t xml:space="preserve">Catasto e Conservatoria unificati su blockchain per compravendite in un click.</w:t>
      </w:r>
    </w:p>
    <w:p>
      <w:pPr>
        <w:numPr>
          <w:ilvl w:val="0"/>
          <w:numId w:val="1006"/>
        </w:numPr>
        <w:pStyle w:val="Compact"/>
      </w:pPr>
      <w:r>
        <w:rPr>
          <w:bCs/>
          <w:b/>
        </w:rPr>
        <w:t xml:space="preserve">Liquidazione beni morti:</w:t>
      </w:r>
      <w:r>
        <w:t xml:space="preserve"> </w:t>
      </w:r>
      <w:r>
        <w:t xml:space="preserve">Gli immobili statali inutilizzati da oltre 24 mesi vengono inseriti automaticamente in una piattaforma d’asta internazionale.</w:t>
      </w:r>
    </w:p>
    <w:p>
      <w:r>
        <w:pict>
          <v:rect style="width:0;height:1.5pt" o:hralign="center" o:hrstd="t" o:hr="t"/>
        </w:pict>
      </w:r>
    </w:p>
    <w:bookmarkEnd w:id="36"/>
    <w:bookmarkEnd w:id="37"/>
    <w:bookmarkStart w:id="41" w:name="X1ee7cbe4388322abfea461f34aa62213385fdf0"/>
    <w:p>
      <w:pPr>
        <w:pStyle w:val="Heading2"/>
      </w:pPr>
      <w:r>
        <w:rPr>
          <w:rStyle w:val="SectionNumber"/>
        </w:rPr>
        <w:t xml:space="preserve">1.6</w:t>
      </w:r>
      <w:r>
        <w:tab/>
      </w:r>
      <w:r>
        <w:t xml:space="preserve">PARTE C: ISTITUZIONI, SICUREZZA E GUARDRAIL COSTITUZIONALI</w:t>
      </w:r>
    </w:p>
    <w:bookmarkStart w:id="38" w:name="Xd9cfb694da2aa216bd66609dc1b343b8b437eab"/>
    <w:p>
      <w:pPr>
        <w:pStyle w:val="Heading3"/>
      </w:pPr>
      <w:r>
        <w:rPr>
          <w:rStyle w:val="SectionNumber"/>
        </w:rPr>
        <w:t xml:space="preserve">1.6.1</w:t>
      </w:r>
      <w:r>
        <w:tab/>
      </w:r>
      <w:r>
        <w:t xml:space="preserve">PILASTRO 7: Presidenzialismo Tecnocratico Bilanciato</w:t>
      </w:r>
    </w:p>
    <w:p>
      <w:pPr>
        <w:numPr>
          <w:ilvl w:val="0"/>
          <w:numId w:val="1007"/>
        </w:numPr>
        <w:pStyle w:val="Compact"/>
      </w:pPr>
      <w:r>
        <w:rPr>
          <w:bCs/>
          <w:b/>
        </w:rPr>
        <w:t xml:space="preserve">Elezione Diretta e Bilanciamento:</w:t>
      </w:r>
      <w:r>
        <w:t xml:space="preserve"> </w:t>
      </w:r>
      <w:r>
        <w:t xml:space="preserve">Elezione diretta del Capo dell’Esecutivo per garantire stabilità. Il Parlamento conserva il potere legislativo esclusivo e può sfiduciare il premier a maggioranza qualificata dei due terzi.</w:t>
      </w:r>
    </w:p>
    <w:p>
      <w:pPr>
        <w:numPr>
          <w:ilvl w:val="0"/>
          <w:numId w:val="1007"/>
        </w:numPr>
        <w:pStyle w:val="Compact"/>
      </w:pPr>
      <w:r>
        <w:rPr>
          <w:bCs/>
          <w:b/>
        </w:rPr>
        <w:t xml:space="preserve">Audit Algoritmico della Consulta:</w:t>
      </w:r>
      <w:r>
        <w:t xml:space="preserve"> </w:t>
      </w:r>
      <w:r>
        <w:t xml:space="preserve">La Corte Costituzionale valida preventivamente ogni algoritmo di Stato per escludere bias discriminatori. La Magistratura mantiene la totale indipendenza di giudizio sulle persone.</w:t>
      </w:r>
    </w:p>
    <w:p>
      <w:pPr>
        <w:numPr>
          <w:ilvl w:val="0"/>
          <w:numId w:val="1007"/>
        </w:numPr>
        <w:pStyle w:val="Compact"/>
      </w:pPr>
      <w:r>
        <w:rPr>
          <w:bCs/>
          <w:b/>
        </w:rPr>
        <w:t xml:space="preserve">Autonomia Efficiente:</w:t>
      </w:r>
      <w:r>
        <w:t xml:space="preserve"> </w:t>
      </w:r>
      <w:r>
        <w:t xml:space="preserve">Deleghe regionali subordinate al calcolo matematico dei LEP. In caso di scostamento o inefficienza prolungata, il commissariamento dell’ente viene disposto su proposta tecnica del Ministero dell’Economia, previo parere vincolante del Parlamento.</w:t>
      </w:r>
    </w:p>
    <w:bookmarkEnd w:id="38"/>
    <w:bookmarkStart w:id="39" w:name="Xb1f54d51383e145581a5e86b51d5988edab5b72"/>
    <w:p>
      <w:pPr>
        <w:pStyle w:val="Heading3"/>
      </w:pPr>
      <w:r>
        <w:rPr>
          <w:rStyle w:val="SectionNumber"/>
        </w:rPr>
        <w:t xml:space="preserve">1.6.2</w:t>
      </w:r>
      <w:r>
        <w:tab/>
      </w:r>
      <w:r>
        <w:t xml:space="preserve">PILASTRO 8: Democrazia Digitale Diretta (Piattaforma</w:t>
      </w:r>
      <w:r>
        <w:t xml:space="preserve"> </w:t>
      </w:r>
      <w:r>
        <w:t xml:space="preserve">“</w:t>
      </w:r>
      <w:r>
        <w:t xml:space="preserve">Codice Italia</w:t>
      </w:r>
      <w:r>
        <w:t xml:space="preserve">”</w:t>
      </w:r>
      <w:r>
        <w:t xml:space="preserve">)</w:t>
      </w:r>
    </w:p>
    <w:p>
      <w:pPr>
        <w:numPr>
          <w:ilvl w:val="0"/>
          <w:numId w:val="1008"/>
        </w:numPr>
        <w:pStyle w:val="Compact"/>
      </w:pPr>
      <w:r>
        <w:rPr>
          <w:bCs/>
          <w:b/>
        </w:rPr>
        <w:t xml:space="preserve">Gatekeeper Scientifico:</w:t>
      </w:r>
      <w:r>
        <w:t xml:space="preserve"> </w:t>
      </w:r>
      <w:r>
        <w:t xml:space="preserve">Le proposte di legge popolari via SPID/CIE vengono vagliate da un’IA e da un comitato scientifico per verificarne copertura finanziaria e costituzionalità.</w:t>
      </w:r>
    </w:p>
    <w:p>
      <w:pPr>
        <w:numPr>
          <w:ilvl w:val="0"/>
          <w:numId w:val="1008"/>
        </w:numPr>
        <w:pStyle w:val="Compact"/>
      </w:pPr>
      <w:r>
        <w:rPr>
          <w:bCs/>
          <w:b/>
        </w:rPr>
        <w:t xml:space="preserve">Sblocco Parlamentare:</w:t>
      </w:r>
      <w:r>
        <w:t xml:space="preserve"> </w:t>
      </w:r>
      <w:r>
        <w:t xml:space="preserve">Le proposte che superano il filtro tecnico e raccolgono 100.000 voti su blockchain vengono depositate in Parlamento d’ufficio dal Gruppo Tecnocratico.</w:t>
      </w:r>
    </w:p>
    <w:bookmarkEnd w:id="39"/>
    <w:bookmarkStart w:id="40" w:name="X2852ee837a1aea2a548bd251dbbc4d19cbb9cd5"/>
    <w:p>
      <w:pPr>
        <w:pStyle w:val="Heading3"/>
      </w:pPr>
      <w:r>
        <w:rPr>
          <w:rStyle w:val="SectionNumber"/>
        </w:rPr>
        <w:t xml:space="preserve">1.6.3</w:t>
      </w:r>
      <w:r>
        <w:tab/>
      </w:r>
      <w:r>
        <w:t xml:space="preserve">PILASTRO 9: Security Urbana e Regolamentazione IA</w:t>
      </w:r>
    </w:p>
    <w:p>
      <w:pPr>
        <w:numPr>
          <w:ilvl w:val="0"/>
          <w:numId w:val="1009"/>
        </w:numPr>
        <w:pStyle w:val="Compact"/>
      </w:pPr>
      <w:r>
        <w:rPr>
          <w:bCs/>
          <w:b/>
        </w:rPr>
        <w:t xml:space="preserve">Conformità all’AI Act Europeo:</w:t>
      </w:r>
      <w:r>
        <w:t xml:space="preserve"> </w:t>
      </w:r>
      <w:r>
        <w:t xml:space="preserve">Qualsiasi sistema di intelligenza artificiale applicato alla sicurezza predittiva e al monitoraggio urbano deve conformarsi rigorosamente ai limiti dell’AI Act dell’Unione Europea, della Costituzione e del GDPR. È vietato il riconoscimento facciale o l’analisi comportamentale biometrica di massa in tempo reale negli spazi pubblici, salvo le deroghe tassative per reati gravi autorizzate dall’autorità giudiziaria umana.</w:t>
      </w:r>
    </w:p>
    <w:p>
      <w:pPr>
        <w:numPr>
          <w:ilvl w:val="0"/>
          <w:numId w:val="1009"/>
        </w:numPr>
        <w:pStyle w:val="Compact"/>
      </w:pPr>
      <w:r>
        <w:rPr>
          <w:bCs/>
          <w:b/>
        </w:rPr>
        <w:t xml:space="preserve">Hot-Spot Extra-UE e Logistica:</w:t>
      </w:r>
      <w:r>
        <w:t xml:space="preserve"> </w:t>
      </w:r>
      <w:r>
        <w:t xml:space="preserve">Screening digitale nei paesi di transito esterni. Ingressi regolari calibrati da un algoritmo sulla base della domanda di manodopera delle imprese. Rimpatri gestiti secondo logiche di efficienza logistica nel pieno rispetto dei trattati</w:t>
      </w:r>
      <w:r>
        <w:t xml:space="preserve"> </w:t>
      </w:r>
      <w:r>
        <w:rPr>
          <w:bCs/>
          <w:b/>
        </w:rPr>
        <w:t xml:space="preserve">internazionali</w:t>
      </w:r>
      <w:r>
        <w:t xml:space="preserve"> </w:t>
      </w:r>
      <w:r>
        <w:t xml:space="preserve">sui diritti umani.</w:t>
      </w:r>
    </w:p>
    <w:p>
      <w:r>
        <w:pict>
          <v:rect style="width:0;height:1.5pt" o:hralign="center" o:hrstd="t" o:hr="t"/>
        </w:pict>
      </w:r>
    </w:p>
    <w:bookmarkEnd w:id="40"/>
    <w:bookmarkEnd w:id="41"/>
    <w:bookmarkStart w:id="49" w:name="X906a4030dc316e3139eb005e302995f9c8810a9"/>
    <w:p>
      <w:pPr>
        <w:pStyle w:val="Heading2"/>
      </w:pPr>
      <w:r>
        <w:rPr>
          <w:rStyle w:val="SectionNumber"/>
        </w:rPr>
        <w:t xml:space="preserve">1.7</w:t>
      </w:r>
      <w:r>
        <w:tab/>
      </w:r>
      <w:r>
        <w:t xml:space="preserve">PARTE D: RIVOLUZIONE SCOLASTICA E SANITÀ RAZIONALE</w:t>
      </w:r>
    </w:p>
    <w:bookmarkStart w:id="42" w:name="Xd4b6e6ea5716918df58dc3979e3f1d8818cafa0"/>
    <w:p>
      <w:pPr>
        <w:pStyle w:val="Heading3"/>
      </w:pPr>
      <w:r>
        <w:rPr>
          <w:rStyle w:val="SectionNumber"/>
        </w:rPr>
        <w:t xml:space="preserve">1.7.1</w:t>
      </w:r>
      <w:r>
        <w:tab/>
      </w:r>
      <w:r>
        <w:t xml:space="preserve">PILASTRO 10: La Scuola del Futuro (Modello 60/40)</w:t>
      </w:r>
    </w:p>
    <w:p>
      <w:pPr>
        <w:numPr>
          <w:ilvl w:val="0"/>
          <w:numId w:val="1010"/>
        </w:numPr>
        <w:pStyle w:val="Compact"/>
      </w:pPr>
      <w:r>
        <w:rPr>
          <w:bCs/>
          <w:b/>
        </w:rPr>
        <w:t xml:space="preserve">Shift del Monte Ore:</w:t>
      </w:r>
      <w:r>
        <w:t xml:space="preserve"> </w:t>
      </w:r>
      <w:r>
        <w:t xml:space="preserve">60% materie STEM, 40% materie Umanistiche Avanzate.</w:t>
      </w:r>
    </w:p>
    <w:p>
      <w:pPr>
        <w:numPr>
          <w:ilvl w:val="0"/>
          <w:numId w:val="1010"/>
        </w:numPr>
        <w:pStyle w:val="Compact"/>
      </w:pPr>
      <w:r>
        <w:rPr>
          <w:bCs/>
          <w:b/>
        </w:rPr>
        <w:t xml:space="preserve">Riforma Classica:</w:t>
      </w:r>
      <w:r>
        <w:t xml:space="preserve"> </w:t>
      </w:r>
      <w:r>
        <w:t xml:space="preserve">Sostituzione dello studio mnemonico con la Filologia Digitale, la Logica Formale applicata al codice, l’Epistemologia e l’Etica degli Algoritmi.</w:t>
      </w:r>
    </w:p>
    <w:p>
      <w:pPr>
        <w:numPr>
          <w:ilvl w:val="0"/>
          <w:numId w:val="1010"/>
        </w:numPr>
        <w:pStyle w:val="Compact"/>
      </w:pPr>
      <w:r>
        <w:rPr>
          <w:bCs/>
          <w:b/>
        </w:rPr>
        <w:t xml:space="preserve">Laicità e Debunking:</w:t>
      </w:r>
      <w:r>
        <w:t xml:space="preserve"> </w:t>
      </w:r>
      <w:r>
        <w:t xml:space="preserve">Abolizione dell’ora di religione, sostituita dal corso obbligatorio di</w:t>
      </w:r>
      <w:r>
        <w:t xml:space="preserve"> </w:t>
      </w:r>
      <w:r>
        <w:t xml:space="preserve">“</w:t>
      </w:r>
      <w:r>
        <w:t xml:space="preserve">Metodo Sperimentale e Decodifica delle Fake News</w:t>
      </w:r>
      <w:r>
        <w:t xml:space="preserve">”</w:t>
      </w:r>
      <w:r>
        <w:t xml:space="preserve">.</w:t>
      </w:r>
    </w:p>
    <w:bookmarkEnd w:id="42"/>
    <w:bookmarkStart w:id="43" w:name="pilastro-11-sanità-pubblica-algoritmica"/>
    <w:p>
      <w:pPr>
        <w:pStyle w:val="Heading3"/>
      </w:pPr>
      <w:r>
        <w:rPr>
          <w:rStyle w:val="SectionNumber"/>
        </w:rPr>
        <w:t xml:space="preserve">1.7.2</w:t>
      </w:r>
      <w:r>
        <w:tab/>
      </w:r>
      <w:r>
        <w:t xml:space="preserve">PILASTRO 11: Sanità Pubblica Algoritmica</w:t>
      </w:r>
    </w:p>
    <w:p>
      <w:pPr>
        <w:numPr>
          <w:ilvl w:val="0"/>
          <w:numId w:val="1011"/>
        </w:numPr>
        <w:pStyle w:val="Compact"/>
      </w:pPr>
      <w:r>
        <w:rPr>
          <w:bCs/>
          <w:b/>
        </w:rPr>
        <w:t xml:space="preserve">CUP Unico Nazionale Predittivo:</w:t>
      </w:r>
      <w:r>
        <w:t xml:space="preserve"> </w:t>
      </w:r>
      <w:r>
        <w:t xml:space="preserve">Centralizzazione delle agende pubbliche e private convenzionate tramite algoritmo. Assegnazione delle prestazioni basata su urgenza clinica e saturazione dei macchinari H24, riducendo le liste d’attesa del 70%.</w:t>
      </w:r>
    </w:p>
    <w:p>
      <w:pPr>
        <w:numPr>
          <w:ilvl w:val="0"/>
          <w:numId w:val="1011"/>
        </w:numPr>
        <w:pStyle w:val="Compact"/>
      </w:pPr>
      <w:r>
        <w:rPr>
          <w:bCs/>
          <w:b/>
        </w:rPr>
        <w:t xml:space="preserve">Telemedicina IoT:</w:t>
      </w:r>
      <w:r>
        <w:t xml:space="preserve"> </w:t>
      </w:r>
      <w:r>
        <w:t xml:space="preserve">Fascicolo sanitario su blockchain e monitoraggio remoto dei pazienti cronici.</w:t>
      </w:r>
    </w:p>
    <w:bookmarkEnd w:id="43"/>
    <w:bookmarkStart w:id="44" w:name="Xe47dbdc6ef26781444e67308301f71f6df2643b"/>
    <w:p>
      <w:pPr>
        <w:pStyle w:val="Heading3"/>
      </w:pPr>
      <w:r>
        <w:rPr>
          <w:rStyle w:val="SectionNumber"/>
        </w:rPr>
        <w:t xml:space="preserve">1.7.3</w:t>
      </w:r>
      <w:r>
        <w:tab/>
      </w:r>
      <w:r>
        <w:t xml:space="preserve">PILASTRO 12: Crisi Demografica e Welfare Infrastrutturale</w:t>
      </w:r>
    </w:p>
    <w:p>
      <w:pPr>
        <w:numPr>
          <w:ilvl w:val="0"/>
          <w:numId w:val="1012"/>
        </w:numPr>
        <w:pStyle w:val="Compact"/>
      </w:pPr>
      <w:r>
        <w:rPr>
          <w:bCs/>
          <w:b/>
        </w:rPr>
        <w:t xml:space="preserve">Piano Asili Nido:</w:t>
      </w:r>
      <w:r>
        <w:t xml:space="preserve"> </w:t>
      </w:r>
      <w:r>
        <w:t xml:space="preserve">Costruzione automatica di un asilo nido pubblico o aziendale ogni 2.500 abitanti per azzerare i costi fissi della genitorialità.</w:t>
      </w:r>
    </w:p>
    <w:p>
      <w:pPr>
        <w:numPr>
          <w:ilvl w:val="0"/>
          <w:numId w:val="1012"/>
        </w:numPr>
        <w:pStyle w:val="Compact"/>
      </w:pPr>
      <w:r>
        <w:rPr>
          <w:bCs/>
          <w:b/>
        </w:rPr>
        <w:t xml:space="preserve">Fattore Famiglia:</w:t>
      </w:r>
      <w:r>
        <w:t xml:space="preserve"> </w:t>
      </w:r>
      <w:r>
        <w:t xml:space="preserve">Spese educative e sanitarie dei minori deducibili al 100% in automatico via app del fisco.</w:t>
      </w:r>
    </w:p>
    <w:bookmarkEnd w:id="44"/>
    <w:bookmarkStart w:id="45" w:name="X11e079e08aeb4955a9819d8dbd7c75c27253341"/>
    <w:p>
      <w:pPr>
        <w:pStyle w:val="Heading3"/>
      </w:pPr>
      <w:r>
        <w:rPr>
          <w:rStyle w:val="SectionNumber"/>
        </w:rPr>
        <w:t xml:space="preserve">1.7.4</w:t>
      </w:r>
      <w:r>
        <w:tab/>
      </w:r>
      <w:r>
        <w:t xml:space="preserve">PILASTRO 13: Meritocrazia e KPI della Dirigenza Pubblica</w:t>
      </w:r>
    </w:p>
    <w:p>
      <w:pPr>
        <w:numPr>
          <w:ilvl w:val="0"/>
          <w:numId w:val="1013"/>
        </w:numPr>
        <w:pStyle w:val="Compact"/>
      </w:pPr>
      <w:r>
        <w:rPr>
          <w:bCs/>
          <w:b/>
        </w:rPr>
        <w:t xml:space="preserve">Concorsi Blindati:</w:t>
      </w:r>
      <w:r>
        <w:t xml:space="preserve"> </w:t>
      </w:r>
      <w:r>
        <w:t xml:space="preserve">Correzione anonima informatica e prove orali in modalità</w:t>
      </w:r>
      <w:r>
        <w:t xml:space="preserve"> </w:t>
      </w:r>
      <w:r>
        <w:t xml:space="preserve">“</w:t>
      </w:r>
      <w:r>
        <w:t xml:space="preserve">doppio cieco</w:t>
      </w:r>
      <w:r>
        <w:t xml:space="preserve">”</w:t>
      </w:r>
      <w:r>
        <w:t xml:space="preserve"> </w:t>
      </w:r>
      <w:r>
        <w:t xml:space="preserve">con alterazione digitale della voce per eliminare il nepotismo.</w:t>
      </w:r>
    </w:p>
    <w:p>
      <w:pPr>
        <w:numPr>
          <w:ilvl w:val="0"/>
          <w:numId w:val="1013"/>
        </w:numPr>
        <w:pStyle w:val="Compact"/>
      </w:pPr>
      <w:r>
        <w:rPr>
          <w:bCs/>
          <w:b/>
        </w:rPr>
        <w:t xml:space="preserve">Responsabilità patrimoniale su KPI:</w:t>
      </w:r>
      <w:r>
        <w:t xml:space="preserve"> </w:t>
      </w:r>
      <w:r>
        <w:t xml:space="preserve">I dirigenti rispondono finanziariamente (in caso di dolo o colpa grave) solo se non raggiungono l’85% dei target di rendimento standardizzati del dipartimento rispetto alla media nazionale.</w:t>
      </w:r>
    </w:p>
    <w:p>
      <w:pPr>
        <w:numPr>
          <w:ilvl w:val="0"/>
          <w:numId w:val="1013"/>
        </w:numPr>
        <w:pStyle w:val="Compact"/>
      </w:pPr>
      <w:r>
        <w:rPr>
          <w:bCs/>
          <w:b/>
        </w:rPr>
        <w:t xml:space="preserve">No Tax Zone (Under 35):</w:t>
      </w:r>
      <w:r>
        <w:t xml:space="preserve"> </w:t>
      </w:r>
      <w:r>
        <w:t xml:space="preserve">IRPEF ridotta al 5% per i primi 7 anni per i laureati STEM e tecnici che rimangono a lavorare in Italia.</w:t>
      </w:r>
    </w:p>
    <w:bookmarkEnd w:id="45"/>
    <w:bookmarkStart w:id="46" w:name="Xa3e90a671208c2a90cae6366e25f14c66438c14"/>
    <w:p>
      <w:pPr>
        <w:pStyle w:val="Heading3"/>
      </w:pPr>
      <w:r>
        <w:rPr>
          <w:rStyle w:val="SectionNumber"/>
        </w:rPr>
        <w:t xml:space="preserve">1.7.5</w:t>
      </w:r>
      <w:r>
        <w:tab/>
      </w:r>
      <w:r>
        <w:t xml:space="preserve">PILASTRO 14: Lavoro e Salario Minimo Produttivo</w:t>
      </w:r>
    </w:p>
    <w:p>
      <w:pPr>
        <w:numPr>
          <w:ilvl w:val="0"/>
          <w:numId w:val="1014"/>
        </w:numPr>
        <w:pStyle w:val="Compact"/>
      </w:pPr>
      <w:r>
        <w:rPr>
          <w:bCs/>
          <w:b/>
        </w:rPr>
        <w:t xml:space="preserve">Salario Minimo Indicizzato:</w:t>
      </w:r>
      <w:r>
        <w:t xml:space="preserve"> </w:t>
      </w:r>
      <w:r>
        <w:t xml:space="preserve">Soglia minima oraria calcolata dinamicamente sull’inflazione provinciale e sulla produttività del settore.</w:t>
      </w:r>
    </w:p>
    <w:p>
      <w:pPr>
        <w:numPr>
          <w:ilvl w:val="0"/>
          <w:numId w:val="1014"/>
        </w:numPr>
        <w:pStyle w:val="Compact"/>
      </w:pPr>
      <w:r>
        <w:rPr>
          <w:bCs/>
          <w:b/>
        </w:rPr>
        <w:t xml:space="preserve">Taglio del Cuneo STEM:</w:t>
      </w:r>
      <w:r>
        <w:t xml:space="preserve"> </w:t>
      </w:r>
      <w:r>
        <w:t xml:space="preserve">Riduzione drastica dei contributi previdenziali per i profili ad alta specializzazione tecnica.</w:t>
      </w:r>
    </w:p>
    <w:bookmarkEnd w:id="46"/>
    <w:bookmarkStart w:id="47" w:name="X9c17a9a814f524415a6bc7b0a833d2b815a770c"/>
    <w:p>
      <w:pPr>
        <w:pStyle w:val="Heading3"/>
      </w:pPr>
      <w:r>
        <w:rPr>
          <w:rStyle w:val="SectionNumber"/>
        </w:rPr>
        <w:t xml:space="preserve">1.7.6</w:t>
      </w:r>
      <w:r>
        <w:tab/>
      </w:r>
      <w:r>
        <w:t xml:space="preserve">PILASTRO 15: Il Voucher delle Competenze (Re-skilling)</w:t>
      </w:r>
    </w:p>
    <w:p>
      <w:pPr>
        <w:numPr>
          <w:ilvl w:val="0"/>
          <w:numId w:val="1015"/>
        </w:numPr>
        <w:pStyle w:val="Compact"/>
      </w:pPr>
      <w:r>
        <w:rPr>
          <w:bCs/>
          <w:b/>
        </w:rPr>
        <w:t xml:space="preserve">Incrocio Dati:</w:t>
      </w:r>
      <w:r>
        <w:t xml:space="preserve"> </w:t>
      </w:r>
      <w:r>
        <w:t xml:space="preserve">Mappatura mensile dei vuoti di competenze richiesti dalle imprese.</w:t>
      </w:r>
    </w:p>
    <w:p>
      <w:pPr>
        <w:numPr>
          <w:ilvl w:val="0"/>
          <w:numId w:val="1015"/>
        </w:numPr>
        <w:pStyle w:val="Compact"/>
      </w:pPr>
      <w:r>
        <w:rPr>
          <w:bCs/>
          <w:b/>
        </w:rPr>
        <w:t xml:space="preserve">Finanziamento al ROI:</w:t>
      </w:r>
      <w:r>
        <w:t xml:space="preserve"> </w:t>
      </w:r>
      <w:r>
        <w:t xml:space="preserve">I disoccupati primi destinatari riceveranno voucher formativi spendibili solo presso enti che certificano un tasso di ricollocamento superiore all’85%.</w:t>
      </w:r>
    </w:p>
    <w:bookmarkEnd w:id="47"/>
    <w:bookmarkStart w:id="48" w:name="X3920c7f01ba41964271cdaeea2dfa7063244b75"/>
    <w:p>
      <w:pPr>
        <w:pStyle w:val="Heading3"/>
      </w:pPr>
      <w:r>
        <w:rPr>
          <w:rStyle w:val="SectionNumber"/>
        </w:rPr>
        <w:t xml:space="preserve">1.7.7</w:t>
      </w:r>
      <w:r>
        <w:tab/>
      </w:r>
      <w:r>
        <w:t xml:space="preserve">PILASTRO 16: Gestione PNRR e Riforma Previdenziale Matematica</w:t>
      </w:r>
    </w:p>
    <w:p>
      <w:pPr>
        <w:numPr>
          <w:ilvl w:val="0"/>
          <w:numId w:val="1016"/>
        </w:numPr>
        <w:pStyle w:val="Compact"/>
      </w:pPr>
      <w:r>
        <w:rPr>
          <w:bCs/>
          <w:b/>
        </w:rPr>
        <w:t xml:space="preserve">Task-Force Centrale PNRR:</w:t>
      </w:r>
      <w:r>
        <w:t xml:space="preserve"> </w:t>
      </w:r>
      <w:r>
        <w:t xml:space="preserve">La revoca della gestione dei progetti in caso di mancato rispetto delle pietre miliari temporali viene disposta su relazione tecnica della task-force, previo parere vincolante delle Commissioni Parlamentari competenti.</w:t>
      </w:r>
    </w:p>
    <w:p>
      <w:pPr>
        <w:numPr>
          <w:ilvl w:val="0"/>
          <w:numId w:val="1016"/>
        </w:numPr>
        <w:pStyle w:val="Compact"/>
      </w:pPr>
      <w:r>
        <w:rPr>
          <w:bCs/>
          <w:b/>
        </w:rPr>
        <w:t xml:space="preserve">Flessibilità Contributiva Attuariale:</w:t>
      </w:r>
      <w:r>
        <w:t xml:space="preserve"> </w:t>
      </w:r>
      <w:r>
        <w:t xml:space="preserve">Pensionamento flessibile (62-70 anni) basato su calcolo puramente contributivo e indicizzato in tempo reale all’aspettativa di vita della specifica categoria professionale (dati ISTAT). Zero quote politiche, conti INPS strutturalmente in pareggio.</w:t>
      </w:r>
    </w:p>
    <w:p>
      <w:r>
        <w:pict>
          <v:rect style="width:0;height:1.5pt" o:hralign="center" o:hrstd="t" o:hr="t"/>
        </w:pict>
      </w:r>
    </w:p>
    <w:bookmarkEnd w:id="48"/>
    <w:bookmarkEnd w:id="49"/>
    <w:bookmarkStart w:id="54" w:name="Xa57e65caebb63b3039bb854d581a91e87afd2aa"/>
    <w:p>
      <w:pPr>
        <w:pStyle w:val="Heading2"/>
      </w:pPr>
      <w:r>
        <w:rPr>
          <w:rStyle w:val="SectionNumber"/>
        </w:rPr>
        <w:t xml:space="preserve">1.8</w:t>
      </w:r>
      <w:r>
        <w:tab/>
      </w:r>
      <w:r>
        <w:t xml:space="preserve">PARTE E: SOVRANITÀ FUTURA, GEOPOLITICA E DIRITTI DIGITALI</w:t>
      </w:r>
    </w:p>
    <w:bookmarkStart w:id="50" w:name="X987323933cd955a5019668ca768282cb2575ee0"/>
    <w:p>
      <w:pPr>
        <w:pStyle w:val="Heading3"/>
      </w:pPr>
      <w:r>
        <w:rPr>
          <w:rStyle w:val="SectionNumber"/>
        </w:rPr>
        <w:t xml:space="preserve">1.8.1</w:t>
      </w:r>
      <w:r>
        <w:tab/>
      </w:r>
      <w:r>
        <w:t xml:space="preserve">PILASTRO 17: Ricerca, Spazio e Sovranità Tecnologica</w:t>
      </w:r>
    </w:p>
    <w:p>
      <w:pPr>
        <w:numPr>
          <w:ilvl w:val="0"/>
          <w:numId w:val="1017"/>
        </w:numPr>
        <w:pStyle w:val="Compact"/>
      </w:pPr>
      <w:r>
        <w:rPr>
          <w:bCs/>
          <w:b/>
        </w:rPr>
        <w:t xml:space="preserve">Piano Pluriennale R&amp;S (Target 4% del PIL):</w:t>
      </w:r>
      <w:r>
        <w:t xml:space="preserve"> </w:t>
      </w:r>
      <w:r>
        <w:t xml:space="preserve">Incremento vincolato degli investimenti pubblici e privati in Ricerca e Sviluppo fino al 4% del PIL. L’aumento sarà scaglionato in un piano a tappe (0,4% incrementale all’anno per 5 anni), condizionato al ROI economico generato dalle prime riforme digitali.</w:t>
      </w:r>
    </w:p>
    <w:p>
      <w:pPr>
        <w:numPr>
          <w:ilvl w:val="0"/>
          <w:numId w:val="1017"/>
        </w:numPr>
        <w:pStyle w:val="Compact"/>
      </w:pPr>
      <w:r>
        <w:rPr>
          <w:bCs/>
          <w:b/>
        </w:rPr>
        <w:t xml:space="preserve">Ministero della Scienza:</w:t>
      </w:r>
      <w:r>
        <w:t xml:space="preserve"> </w:t>
      </w:r>
      <w:r>
        <w:t xml:space="preserve">Istituzione di un ministero tecnico per la pianificazione di lungo termine dell’IA, calcolo quantistico e biotecnologie.</w:t>
      </w:r>
    </w:p>
    <w:p>
      <w:pPr>
        <w:numPr>
          <w:ilvl w:val="0"/>
          <w:numId w:val="1017"/>
        </w:numPr>
        <w:pStyle w:val="Compact"/>
      </w:pPr>
      <w:r>
        <w:rPr>
          <w:bCs/>
          <w:b/>
        </w:rPr>
        <w:t xml:space="preserve">Space Economy:</w:t>
      </w:r>
      <w:r>
        <w:t xml:space="preserve"> </w:t>
      </w:r>
      <w:r>
        <w:t xml:space="preserve">Potenziamento della collaborazione con l’ESA per l’accesso autonomo alla space economy e sviluppo satellitare proprietario.</w:t>
      </w:r>
    </w:p>
    <w:bookmarkEnd w:id="50"/>
    <w:bookmarkStart w:id="51" w:name="Xc09f153b5bc1528caa5447218b11e66b25930e3"/>
    <w:p>
      <w:pPr>
        <w:pStyle w:val="Heading3"/>
      </w:pPr>
      <w:r>
        <w:rPr>
          <w:rStyle w:val="SectionNumber"/>
        </w:rPr>
        <w:t xml:space="preserve">1.8.2</w:t>
      </w:r>
      <w:r>
        <w:tab/>
      </w:r>
      <w:r>
        <w:t xml:space="preserve">PILASTRO 18: Politica Estera Tecnocratica e Posizionamento Strategico UE-USA</w:t>
      </w:r>
    </w:p>
    <w:p>
      <w:pPr>
        <w:numPr>
          <w:ilvl w:val="0"/>
          <w:numId w:val="1018"/>
        </w:numPr>
        <w:pStyle w:val="Compact"/>
      </w:pPr>
      <w:r>
        <w:rPr>
          <w:bCs/>
          <w:b/>
        </w:rPr>
        <w:t xml:space="preserve">Scudo Nazionale AI Act ed Esenzione Startup:</w:t>
      </w:r>
      <w:r>
        <w:t xml:space="preserve"> </w:t>
      </w:r>
      <w:r>
        <w:t xml:space="preserve">In sede europea, l’Italia promuove l’istituzione di una</w:t>
      </w:r>
      <w:r>
        <w:t xml:space="preserve"> </w:t>
      </w:r>
      <w:r>
        <w:rPr>
          <w:iCs/>
          <w:i/>
        </w:rPr>
        <w:t xml:space="preserve">Sandbox Regolatoria Permanente</w:t>
      </w:r>
      <w:r>
        <w:t xml:space="preserve"> </w:t>
      </w:r>
      <w:r>
        <w:t xml:space="preserve">che esenti da adempimenti burocratici onerosi legati all’AI Act tutte le startup innovative UE sotto i 10 milioni di fatturato.</w:t>
      </w:r>
    </w:p>
    <w:p>
      <w:pPr>
        <w:numPr>
          <w:ilvl w:val="0"/>
          <w:numId w:val="1018"/>
        </w:numPr>
        <w:pStyle w:val="Compact"/>
      </w:pPr>
      <w:r>
        <w:rPr>
          <w:bCs/>
          <w:b/>
        </w:rPr>
        <w:t xml:space="preserve">Rapporti Commerciali e Asse di Contrasto ai Dazi:</w:t>
      </w:r>
      <w:r>
        <w:t xml:space="preserve"> </w:t>
      </w:r>
      <w:r>
        <w:t xml:space="preserve">In caso di dazi tecnologici unilaterali dagli USA su microchip e hardware, l’Italia attuerà una politica di</w:t>
      </w:r>
      <w:r>
        <w:t xml:space="preserve"> </w:t>
      </w:r>
      <w:r>
        <w:rPr>
          <w:iCs/>
          <w:i/>
        </w:rPr>
        <w:t xml:space="preserve">Fast-Track Doganale Europea</w:t>
      </w:r>
      <w:r>
        <w:t xml:space="preserve"> </w:t>
      </w:r>
      <w:r>
        <w:t xml:space="preserve">(corridoi doganali azzerati) per l’importazione di terre rare e semiconduttori da mercati alternativi, proteggendo la continuità operativa dell’industria manifatturiera 4.0 avanzata.</w:t>
      </w:r>
    </w:p>
    <w:p>
      <w:pPr>
        <w:numPr>
          <w:ilvl w:val="0"/>
          <w:numId w:val="1018"/>
        </w:numPr>
        <w:pStyle w:val="Compact"/>
      </w:pPr>
      <w:r>
        <w:rPr>
          <w:bCs/>
          <w:b/>
        </w:rPr>
        <w:t xml:space="preserve">Consorzi Transnazionali Neutrali:</w:t>
      </w:r>
      <w:r>
        <w:t xml:space="preserve"> </w:t>
      </w:r>
      <w:r>
        <w:t xml:space="preserve">Utilizzo delle quote di partecipazione in centri d’eccellenza (CERN, ESO) come leve di diplomazia scientifica svincolate dai blocchi ideologici geopolitici.</w:t>
      </w:r>
    </w:p>
    <w:bookmarkEnd w:id="51"/>
    <w:bookmarkStart w:id="52" w:name="X7da24f87ea43c9e44995bd7f8a6d34159c6e8ea"/>
    <w:p>
      <w:pPr>
        <w:pStyle w:val="Heading3"/>
      </w:pPr>
      <w:r>
        <w:rPr>
          <w:rStyle w:val="SectionNumber"/>
        </w:rPr>
        <w:t xml:space="preserve">1.8.3</w:t>
      </w:r>
      <w:r>
        <w:tab/>
      </w:r>
      <w:r>
        <w:t xml:space="preserve">PILASTRO 19: Diritti Digitali e Proprietà del Dato</w:t>
      </w:r>
    </w:p>
    <w:p>
      <w:pPr>
        <w:numPr>
          <w:ilvl w:val="0"/>
          <w:numId w:val="1019"/>
        </w:numPr>
        <w:pStyle w:val="Compact"/>
      </w:pPr>
      <w:r>
        <w:rPr>
          <w:bCs/>
          <w:b/>
        </w:rPr>
        <w:t xml:space="preserve">Monetizzazione del Dato:</w:t>
      </w:r>
      <w:r>
        <w:t xml:space="preserve"> </w:t>
      </w:r>
      <w:r>
        <w:t xml:space="preserve">Riconoscimento della proprietà giuridica del cittadino sui propri dati generati online. Le Big Tech devono corrispondere royalty o consentire l’opt-out totale.</w:t>
      </w:r>
    </w:p>
    <w:p>
      <w:pPr>
        <w:numPr>
          <w:ilvl w:val="0"/>
          <w:numId w:val="1019"/>
        </w:numPr>
        <w:pStyle w:val="Compact"/>
      </w:pPr>
      <w:r>
        <w:rPr>
          <w:bCs/>
          <w:b/>
        </w:rPr>
        <w:t xml:space="preserve">Scudo Anti-Deepfake:</w:t>
      </w:r>
      <w:r>
        <w:t xml:space="preserve"> </w:t>
      </w:r>
      <w:r>
        <w:t xml:space="preserve">Certificazione crittografica statale delle fonti informative pubbliche contro la guerra cognitiva asimmetrica.</w:t>
      </w:r>
    </w:p>
    <w:bookmarkEnd w:id="52"/>
    <w:bookmarkStart w:id="53" w:name="Xc96490dc2fae84b16a4c9c31cae8033041d2694"/>
    <w:p>
      <w:pPr>
        <w:pStyle w:val="Heading3"/>
      </w:pPr>
      <w:r>
        <w:rPr>
          <w:rStyle w:val="SectionNumber"/>
        </w:rPr>
        <w:t xml:space="preserve">1.8.4</w:t>
      </w:r>
      <w:r>
        <w:tab/>
      </w:r>
      <w:r>
        <w:t xml:space="preserve">PILASTRO 20: Comunicazione Scientifica, Info-Simmetria e Audit Indipendente</w:t>
      </w:r>
    </w:p>
    <w:p>
      <w:pPr>
        <w:numPr>
          <w:ilvl w:val="0"/>
          <w:numId w:val="1020"/>
        </w:numPr>
        <w:pStyle w:val="Compact"/>
      </w:pPr>
      <w:r>
        <w:rPr>
          <w:bCs/>
          <w:b/>
        </w:rPr>
        <w:t xml:space="preserve">Infografica di Stato e Traduzione Logica:</w:t>
      </w:r>
      <w:r>
        <w:t xml:space="preserve"> </w:t>
      </w:r>
      <w:r>
        <w:t xml:space="preserve">Il partito rifiuta la propaganda emotiva. Ogni provvedimento di governo viene pubblicato su un portale di trasparenza accompagnato da un’infografica analitica interattiva che mostra i dati di partenza, le alternative strutturali scartate e la funzione matematica che ha determinato la scelta ottimale.</w:t>
      </w:r>
    </w:p>
    <w:p>
      <w:pPr>
        <w:numPr>
          <w:ilvl w:val="0"/>
          <w:numId w:val="1020"/>
        </w:numPr>
        <w:pStyle w:val="Compact"/>
      </w:pPr>
      <w:r>
        <w:rPr>
          <w:bCs/>
          <w:b/>
        </w:rPr>
        <w:t xml:space="preserve">Meccanismo di Controllo Sanzionatorio ISTAT:</w:t>
      </w:r>
      <w:r>
        <w:t xml:space="preserve"> </w:t>
      </w:r>
      <w:r>
        <w:t xml:space="preserve">Al fine di garantire l’obiettività assoluta delle informazioni pubblicate, l’ISTAT opera come ente terzo indipendente di sorveglianza e validazione. Qualora i modelli o le alternative d’impatto presentate dall’esecutivo risultino manipolati, parziali o privi di rigore metodologico, l’ISTAT dispone il blocco della pubblicazione e impone la rettifica pubblica coatta entro 48 ore.</w:t>
      </w:r>
    </w:p>
    <w:p>
      <w:pPr>
        <w:numPr>
          <w:ilvl w:val="0"/>
          <w:numId w:val="1020"/>
        </w:numPr>
        <w:pStyle w:val="Compact"/>
      </w:pPr>
      <w:r>
        <w:rPr>
          <w:bCs/>
          <w:b/>
        </w:rPr>
        <w:t xml:space="preserve">Linguaggio di Accessibilità della Complessità:</w:t>
      </w:r>
      <w:r>
        <w:t xml:space="preserve"> </w:t>
      </w:r>
      <w:r>
        <w:t xml:space="preserve">Sostituzione dei comunicati stampa politici con</w:t>
      </w:r>
      <w:r>
        <w:t xml:space="preserve"> </w:t>
      </w:r>
      <w:r>
        <w:rPr>
          <w:iCs/>
          <w:i/>
        </w:rPr>
        <w:t xml:space="preserve">Executive Summary</w:t>
      </w:r>
      <w:r>
        <w:t xml:space="preserve"> </w:t>
      </w:r>
      <w:r>
        <w:t xml:space="preserve">tecnici e report d’impatto aperti.</w:t>
      </w:r>
    </w:p>
    <w:p>
      <w:r>
        <w:pict>
          <v:rect style="width:0;height:1.5pt" o:hralign="center" o:hrstd="t" o:hr="t"/>
        </w:pict>
      </w:r>
    </w:p>
    <w:bookmarkEnd w:id="53"/>
    <w:bookmarkEnd w:id="54"/>
    <w:bookmarkStart w:id="58" w:name="Xc337b8e17173229c5b77032286e2b1df9df7da7"/>
    <w:p>
      <w:pPr>
        <w:pStyle w:val="Heading2"/>
      </w:pPr>
      <w:r>
        <w:rPr>
          <w:rStyle w:val="SectionNumber"/>
        </w:rPr>
        <w:t xml:space="preserve">1.9</w:t>
      </w:r>
      <w:r>
        <w:tab/>
      </w:r>
      <w:r>
        <w:t xml:space="preserve">PARTE F: GIUSTIZIA PREVENTIVA, CULTURA INFRASTRUTTURALE E MANIFATTURA 5.0</w:t>
      </w:r>
      <w:r>
        <w:t xml:space="preserve"> </w:t>
      </w:r>
      <w:r>
        <w:rPr>
          <w:iCs/>
          <w:i/>
        </w:rPr>
        <w:t xml:space="preserve">(Nota: riordinata per sequenza logica)</w:t>
      </w:r>
    </w:p>
    <w:bookmarkStart w:id="55" w:name="Xa71a6ddfe4e80867d82e227085eda181de837e8"/>
    <w:p>
      <w:pPr>
        <w:pStyle w:val="Heading3"/>
      </w:pPr>
      <w:r>
        <w:rPr>
          <w:rStyle w:val="SectionNumber"/>
        </w:rPr>
        <w:t xml:space="preserve">1.9.1</w:t>
      </w:r>
      <w:r>
        <w:tab/>
      </w:r>
      <w:r>
        <w:t xml:space="preserve">PILASTRO 21: Giustizia Algoritmica Predittiva e Abbattimento del Backlog Civile</w:t>
      </w:r>
    </w:p>
    <w:p>
      <w:pPr>
        <w:numPr>
          <w:ilvl w:val="0"/>
          <w:numId w:val="1021"/>
        </w:numPr>
        <w:pStyle w:val="Compact"/>
      </w:pPr>
      <w:r>
        <w:rPr>
          <w:bCs/>
          <w:b/>
        </w:rPr>
        <w:t xml:space="preserve">Decongestionamento tramite Smart Contract:</w:t>
      </w:r>
      <w:r>
        <w:t xml:space="preserve"> </w:t>
      </w:r>
      <w:r>
        <w:t xml:space="preserve">Digitalizzazione e automazione dei contratti commerciali standardizzati su blockchain. In caso di controversia societaria o di fornitura, l’esecuzione delle penali o la risoluzione dei nodi contrattuali avviene tramite</w:t>
      </w:r>
      <w:r>
        <w:t xml:space="preserve"> </w:t>
      </w:r>
      <w:r>
        <w:rPr>
          <w:iCs/>
          <w:i/>
        </w:rPr>
        <w:t xml:space="preserve">oracoli algoritmici</w:t>
      </w:r>
      <w:r>
        <w:t xml:space="preserve"> </w:t>
      </w:r>
      <w:r>
        <w:t xml:space="preserve">pubblici, riducendo del 40% il ricorso ai tribunali civili.</w:t>
      </w:r>
    </w:p>
    <w:p>
      <w:pPr>
        <w:numPr>
          <w:ilvl w:val="0"/>
          <w:numId w:val="1021"/>
        </w:numPr>
        <w:pStyle w:val="Compact"/>
      </w:pPr>
      <w:r>
        <w:rPr>
          <w:bCs/>
          <w:b/>
        </w:rPr>
        <w:t xml:space="preserve">Assegnazione dei Carichi e Rischio Prescrizione:</w:t>
      </w:r>
      <w:r>
        <w:t xml:space="preserve"> </w:t>
      </w:r>
      <w:r>
        <w:t xml:space="preserve">Un modello matematico analizza in tempo reale i flussi delle cause nei singoli tribunali, riallocando automaticamente i magistrati d’ufficio e i fondi operativi verso le sedi in sovraccarico. Il sistema segnala preventivamente i fascicoli a rischio prescrizione per priorizzare l’agenda d’udienza umana.</w:t>
      </w:r>
    </w:p>
    <w:p>
      <w:pPr>
        <w:numPr>
          <w:ilvl w:val="0"/>
          <w:numId w:val="1021"/>
        </w:numPr>
        <w:pStyle w:val="Compact"/>
      </w:pPr>
      <w:r>
        <w:rPr>
          <w:bCs/>
          <w:b/>
        </w:rPr>
        <w:t xml:space="preserve">Data-Mining Giurisprudenziale:</w:t>
      </w:r>
      <w:r>
        <w:t xml:space="preserve"> </w:t>
      </w:r>
      <w:r>
        <w:t xml:space="preserve">Introduzione di un motore di ricerca semantico centralizzato per i magistrati, che indicizza e sintetizza la giurisprudenza pregressa e di Cassazione. L’obiettivo è standardizzare gli orientamenti giudiziari, riducendo l’imprevedibilità delle sentenze e scoraggiando i ricorsi pretestuosi. La decisione finale resta di esclusiva pertinenza della magistratura umana.</w:t>
      </w:r>
    </w:p>
    <w:bookmarkEnd w:id="55"/>
    <w:bookmarkStart w:id="56" w:name="X78ea822ab110e130ed82ee29176bf6e875005ce"/>
    <w:p>
      <w:pPr>
        <w:pStyle w:val="Heading3"/>
      </w:pPr>
      <w:r>
        <w:rPr>
          <w:rStyle w:val="SectionNumber"/>
        </w:rPr>
        <w:t xml:space="preserve">1.9.2</w:t>
      </w:r>
      <w:r>
        <w:tab/>
      </w:r>
      <w:r>
        <w:t xml:space="preserve">PILASTRO 22: Manifattura 5.0, Simbiotica Industriale e PMI Connesse</w:t>
      </w:r>
    </w:p>
    <w:p>
      <w:pPr>
        <w:numPr>
          <w:ilvl w:val="0"/>
          <w:numId w:val="1022"/>
        </w:numPr>
        <w:pStyle w:val="Compact"/>
      </w:pPr>
      <w:r>
        <w:rPr>
          <w:bCs/>
          <w:b/>
        </w:rPr>
        <w:t xml:space="preserve">Reti d’Impresa a Supply-Chain Integrata:</w:t>
      </w:r>
      <w:r>
        <w:t xml:space="preserve"> </w:t>
      </w:r>
      <w:r>
        <w:t xml:space="preserve">Per difendere la competitività delle PMI metalmeccaniche, tessili e chimiche, lo Stato finanzia la creazione di ecosistemi digitali protetti. Un’architettura predittiva centrale ottimizza l’approvvigionamento collettivo delle materie prime e della logistica, permettendo alle micro-imprese di fare massa critica sui mercati globali come un unico grande player industriale.</w:t>
      </w:r>
    </w:p>
    <w:p>
      <w:pPr>
        <w:numPr>
          <w:ilvl w:val="0"/>
          <w:numId w:val="1022"/>
        </w:numPr>
        <w:pStyle w:val="Compact"/>
      </w:pPr>
      <w:r>
        <w:rPr>
          <w:bCs/>
          <w:b/>
        </w:rPr>
        <w:t xml:space="preserve">Poli di Simbiotica Industriale (Zero Scarti):</w:t>
      </w:r>
      <w:r>
        <w:t xml:space="preserve"> </w:t>
      </w:r>
      <w:r>
        <w:t xml:space="preserve">Mappatura digitale dei flussi di scarto industriale. I distretti produttivi vengono riorganizzati affinché i residui termici, chimici o plastici di un’azienda siano convogliati automaticamente come input energetico o materia prima secondaria per la fabbrica adiacente.</w:t>
      </w:r>
    </w:p>
    <w:p>
      <w:pPr>
        <w:numPr>
          <w:ilvl w:val="0"/>
          <w:numId w:val="1022"/>
        </w:numPr>
        <w:pStyle w:val="Compact"/>
      </w:pPr>
      <w:r>
        <w:rPr>
          <w:bCs/>
          <w:b/>
        </w:rPr>
        <w:t xml:space="preserve">Fondo Manifattura Additiva:</w:t>
      </w:r>
      <w:r>
        <w:t xml:space="preserve"> </w:t>
      </w:r>
      <w:r>
        <w:t xml:space="preserve">Finanziamenti agevolati condizionati al ROI per la riconversione dei macchinari tradizionali in centri di produzione 3D industriale avanzata (stampa additiva), azzerando la dipendenza dalle filiere di fornitura extra-UE e riducendo i costi di magazzino.</w:t>
      </w:r>
    </w:p>
    <w:bookmarkEnd w:id="56"/>
    <w:bookmarkStart w:id="57" w:name="X7dccd883979e932f5019dcd4d5949e3a25718eb"/>
    <w:p>
      <w:pPr>
        <w:pStyle w:val="Heading3"/>
      </w:pPr>
      <w:r>
        <w:rPr>
          <w:rStyle w:val="SectionNumber"/>
        </w:rPr>
        <w:t xml:space="preserve">1.9.3</w:t>
      </w:r>
      <w:r>
        <w:tab/>
      </w:r>
      <w:r>
        <w:t xml:space="preserve">PILASTRO 23: Valorizzazione Industriale del Patrimonio Culturale e Flussi Quantitativi</w:t>
      </w:r>
    </w:p>
    <w:p>
      <w:pPr>
        <w:numPr>
          <w:ilvl w:val="0"/>
          <w:numId w:val="1023"/>
        </w:numPr>
        <w:pStyle w:val="Compact"/>
      </w:pPr>
      <w:r>
        <w:rPr>
          <w:bCs/>
          <w:b/>
        </w:rPr>
        <w:t xml:space="preserve">Digital Twin dei Beni Culturali:</w:t>
      </w:r>
      <w:r>
        <w:t xml:space="preserve"> </w:t>
      </w:r>
      <w:r>
        <w:t xml:space="preserve">Digitalizzazione in 3D ad altissima definizione dell’intero patrimonio museale e archeologico italiano. Creazione di una piattaforma di fruizione globale in realtà virtuale con monetizzazione tramite micro-transazioni digitali gestite dallo Stato, i cui proventi sono vincolati al restauro fisico dei siti meno redditizi.</w:t>
      </w:r>
    </w:p>
    <w:p>
      <w:pPr>
        <w:numPr>
          <w:ilvl w:val="0"/>
          <w:numId w:val="1023"/>
        </w:numPr>
        <w:pStyle w:val="Compact"/>
      </w:pPr>
      <w:r>
        <w:rPr>
          <w:bCs/>
          <w:b/>
        </w:rPr>
        <w:t xml:space="preserve">Algoritmo Anti-Overtourism e Flussi Turistici:</w:t>
      </w:r>
      <w:r>
        <w:t xml:space="preserve"> </w:t>
      </w:r>
      <w:r>
        <w:t xml:space="preserve">Gestione dei flussi turistici nelle città d’arte tramite algoritmi di</w:t>
      </w:r>
      <w:r>
        <w:t xml:space="preserve"> </w:t>
      </w:r>
      <w:r>
        <w:rPr>
          <w:iCs/>
          <w:i/>
        </w:rPr>
        <w:t xml:space="preserve">dynamic pricing</w:t>
      </w:r>
      <w:r>
        <w:t xml:space="preserve"> </w:t>
      </w:r>
      <w:r>
        <w:t xml:space="preserve">dei ticket di</w:t>
      </w:r>
      <w:r>
        <w:t xml:space="preserve"> </w:t>
      </w:r>
      <w:r>
        <w:rPr>
          <w:bCs/>
          <w:b/>
        </w:rPr>
        <w:t xml:space="preserve">accesso</w:t>
      </w:r>
      <w:r>
        <w:t xml:space="preserve"> </w:t>
      </w:r>
      <w:r>
        <w:t xml:space="preserve">e delle concessioni di trasporto, basati sulla saturazione in tempo reale dello spazio urbano. Dispersione automatica dei flussi verso i poli museali secondari tramite incentivi fiscali istantanei sull’app del turista.</w:t>
      </w:r>
    </w:p>
    <w:p>
      <w:pPr>
        <w:numPr>
          <w:ilvl w:val="0"/>
          <w:numId w:val="1023"/>
        </w:numPr>
        <w:pStyle w:val="Compact"/>
      </w:pPr>
      <w:r>
        <w:rPr>
          <w:bCs/>
          <w:b/>
        </w:rPr>
        <w:t xml:space="preserve">Smart Contract per il Mecenatismo Privato:</w:t>
      </w:r>
      <w:r>
        <w:t xml:space="preserve"> </w:t>
      </w:r>
      <w:r>
        <w:t xml:space="preserve">Sblocco dei beni archeologici e monumentali attualmente non accessibili al pubblico tramite concessioni a tempo regolate da contratti digitali trasparenti. I partner privati finanziano il recupero e gestiscono i servizi accessori (biglietteria, bookshop) mantenendo la proprietà pubblica del bene, con penali automatiche in caso di mancata manutenzione o deviazione dai KPI di tutela.</w:t>
      </w:r>
    </w:p>
    <w:p>
      <w:r>
        <w:pict>
          <v:rect style="width:0;height:1.5pt" o:hralign="center" o:hrstd="t" o:hr="t"/>
        </w:pict>
      </w:r>
    </w:p>
    <w:bookmarkEnd w:id="57"/>
    <w:bookmarkEnd w:id="58"/>
    <w:bookmarkStart w:id="61" w:name="X9ed17c10bfd5a42c29618d06356e4d18b51bafb"/>
    <w:p>
      <w:pPr>
        <w:pStyle w:val="Heading2"/>
      </w:pPr>
      <w:r>
        <w:rPr>
          <w:rStyle w:val="SectionNumber"/>
        </w:rPr>
        <w:t xml:space="preserve">1.10</w:t>
      </w:r>
      <w:r>
        <w:tab/>
      </w:r>
      <w:r>
        <w:t xml:space="preserve">PARTE G: EQUILIBRIO TERRITORIALE, WELFARE COMPRENSIVO E INCLUSIONE</w:t>
      </w:r>
    </w:p>
    <w:bookmarkStart w:id="59" w:name="Xcfa924a00c622e92db1beecc4f8573b8632fc46"/>
    <w:p>
      <w:pPr>
        <w:pStyle w:val="Heading3"/>
      </w:pPr>
      <w:r>
        <w:rPr>
          <w:rStyle w:val="SectionNumber"/>
        </w:rPr>
        <w:t xml:space="preserve">1.10.1</w:t>
      </w:r>
      <w:r>
        <w:tab/>
      </w:r>
      <w:r>
        <w:t xml:space="preserve">PILASTRO 24: Sblocco del Mezzogiorno: Le ZES Tecnologiche del Mediterraneo</w:t>
      </w:r>
    </w:p>
    <w:p>
      <w:pPr>
        <w:numPr>
          <w:ilvl w:val="0"/>
          <w:numId w:val="1024"/>
        </w:numPr>
        <w:pStyle w:val="Compact"/>
      </w:pPr>
      <w:r>
        <w:rPr>
          <w:bCs/>
          <w:b/>
        </w:rPr>
        <w:t xml:space="preserve">Infrastrutturazione Quantistica e Cavi Dati:</w:t>
      </w:r>
      <w:r>
        <w:t xml:space="preserve"> </w:t>
      </w:r>
      <w:r>
        <w:t xml:space="preserve">Sfruttando la centralità geografica del Sud Italia, il Mezzogiorno viene eletto Hub di Calcolo e Data-Storage d’Europa. Finanziamento prioritario per lo sbarco dei cavi dati sottomarini internazionali in Sicilia e Puglia, connessi a una dorsale in fibra ottica di ultima generazione e a tre nuovi data-center quantistici di Stato.</w:t>
      </w:r>
    </w:p>
    <w:p>
      <w:pPr>
        <w:numPr>
          <w:ilvl w:val="0"/>
          <w:numId w:val="1024"/>
        </w:numPr>
        <w:pStyle w:val="Compact"/>
      </w:pPr>
      <w:r>
        <w:rPr>
          <w:bCs/>
          <w:b/>
        </w:rPr>
        <w:t xml:space="preserve">ZES Algoritmiche Energetiche:</w:t>
      </w:r>
      <w:r>
        <w:t xml:space="preserve"> </w:t>
      </w:r>
      <w:r>
        <w:t xml:space="preserve">Esenzione totale IRES per 10 anni per le aziende ad alta tecnologia che si insediano nel raggio di 50 km dai punti di snodo del SoutH2 Corridor e dei parchi eolici/solari del Sud, accoppiando la disponibilità di energia pulita a costo zero alla produzione industriale avanzata.</w:t>
      </w:r>
    </w:p>
    <w:p>
      <w:pPr>
        <w:numPr>
          <w:ilvl w:val="0"/>
          <w:numId w:val="1024"/>
        </w:numPr>
        <w:pStyle w:val="Compact"/>
      </w:pPr>
      <w:r>
        <w:rPr>
          <w:bCs/>
          <w:b/>
        </w:rPr>
        <w:t xml:space="preserve">Superamento Storico dei LEP:</w:t>
      </w:r>
      <w:r>
        <w:t xml:space="preserve"> </w:t>
      </w:r>
      <w:r>
        <w:t xml:space="preserve">L’allocazione dei fondi infrastrutturali stradali, ferroviari e idrici non seguirà più la logica della spesa storica, ma una funzione di ottimizzazione geometrica volta a uguagliare i tempi medi di trasporto merci e passeggeri tra Nord e Sud entro 7 anni, commissariando immediatamente le stazioni appaltanti locali inefficienti.</w:t>
      </w:r>
    </w:p>
    <w:bookmarkEnd w:id="59"/>
    <w:bookmarkStart w:id="60" w:name="Xf3b5a0637608036df52eb06ebb27b3c05d0a72c"/>
    <w:p>
      <w:pPr>
        <w:pStyle w:val="Heading3"/>
      </w:pPr>
      <w:r>
        <w:rPr>
          <w:rStyle w:val="SectionNumber"/>
        </w:rPr>
        <w:t xml:space="preserve">1.10.2</w:t>
      </w:r>
      <w:r>
        <w:tab/>
      </w:r>
      <w:r>
        <w:t xml:space="preserve">PILASTRO 25: Inclusione Computazionale, Domotica di Stato e Welfare Predittivo</w:t>
      </w:r>
    </w:p>
    <w:p>
      <w:pPr>
        <w:numPr>
          <w:ilvl w:val="0"/>
          <w:numId w:val="1025"/>
        </w:numPr>
        <w:pStyle w:val="Compact"/>
      </w:pPr>
      <w:r>
        <w:rPr>
          <w:bCs/>
          <w:b/>
        </w:rPr>
        <w:t xml:space="preserve">Welfare Predittivo e Allocazione Dinamica:</w:t>
      </w:r>
      <w:r>
        <w:t xml:space="preserve"> </w:t>
      </w:r>
      <w:r>
        <w:t xml:space="preserve">Abolizione delle trafile burocratiche per il riconoscimento delle indennità di fragilità. Incrociando i dati delle cartelle cliniche digitali (Pilastro 11) e dell’INPS, l’assegnazione dei sussidi, dei presidi medici e dell’assistenza domiciliare scatta in modalità</w:t>
      </w:r>
      <w:r>
        <w:t xml:space="preserve"> </w:t>
      </w:r>
      <w:r>
        <w:rPr>
          <w:iCs/>
          <w:i/>
        </w:rPr>
        <w:t xml:space="preserve">push</w:t>
      </w:r>
      <w:r>
        <w:t xml:space="preserve"> </w:t>
      </w:r>
      <w:r>
        <w:t xml:space="preserve">(automatica) senza richiesta del cittadino, azzerando i tempi d’attesa e gli intermediari.</w:t>
      </w:r>
    </w:p>
    <w:p>
      <w:pPr>
        <w:numPr>
          <w:ilvl w:val="0"/>
          <w:numId w:val="1025"/>
        </w:numPr>
        <w:pStyle w:val="Compact"/>
      </w:pPr>
      <w:r>
        <w:rPr>
          <w:bCs/>
          <w:b/>
        </w:rPr>
        <w:t xml:space="preserve">Piano Nazionale Domotica Assistiva:</w:t>
      </w:r>
      <w:r>
        <w:t xml:space="preserve"> </w:t>
      </w:r>
      <w:r>
        <w:t xml:space="preserve">Il superamento delle barriere architettoniche viene trattato come un problema ingegneristico di massa.</w:t>
      </w:r>
      <w:r>
        <w:t xml:space="preserve"> </w:t>
      </w:r>
      <w:r>
        <w:rPr>
          <w:bCs/>
          <w:b/>
        </w:rPr>
        <w:t xml:space="preserve">Finanziamento diretto</w:t>
      </w:r>
      <w:r>
        <w:t xml:space="preserve"> </w:t>
      </w:r>
      <w:r>
        <w:t xml:space="preserve">per la trasformazione degli alloggi di cittadini con gravi disabilità in ambienti intelligenti IoT (automazione di porte, sanitari, letti e monitoraggio biometrico non invasivo connesso alla centrale medica), riducendo l’istituzionalizzazione ospedaliera e potenziando l’autonomia personale.</w:t>
      </w:r>
    </w:p>
    <w:p>
      <w:pPr>
        <w:numPr>
          <w:ilvl w:val="0"/>
          <w:numId w:val="1025"/>
        </w:numPr>
        <w:pStyle w:val="Compact"/>
      </w:pPr>
      <w:r>
        <w:rPr>
          <w:bCs/>
          <w:b/>
        </w:rPr>
        <w:t xml:space="preserve">Integrazione Lavorativa Assistita dall’IA:</w:t>
      </w:r>
      <w:r>
        <w:t xml:space="preserve"> </w:t>
      </w:r>
      <w:r>
        <w:t xml:space="preserve">Creazione di una piattaforma pubblica di</w:t>
      </w:r>
      <w:r>
        <w:t xml:space="preserve"> </w:t>
      </w:r>
      <w:r>
        <w:rPr>
          <w:iCs/>
          <w:i/>
        </w:rPr>
        <w:t xml:space="preserve">coaching occupazionale adattivo</w:t>
      </w:r>
      <w:r>
        <w:t xml:space="preserve">. L’intelligenza artificiale analizza le competenze e le limitazioni funzionali del lavoratore con disabilità, progettando l’adeguamento hardware/software della postazione di lavoro in azienda e incrociando i dati in tempo reale con le richieste delle imprese che godono del taglio del cuneo STEM (Pilastro 14).</w:t>
      </w:r>
    </w:p>
    <w:p>
      <w:r>
        <w:pict>
          <v:rect style="width:0;height:1.5pt" o:hralign="center" o:hrstd="t" o:hr="t"/>
        </w:pict>
      </w:r>
    </w:p>
    <w:bookmarkEnd w:id="60"/>
    <w:bookmarkEnd w:id="61"/>
    <w:bookmarkStart w:id="62" w:name="Xe40008ae483c77ca3baf604d94f7269554e5f21"/>
    <w:p>
      <w:pPr>
        <w:pStyle w:val="Heading2"/>
      </w:pPr>
      <w:r>
        <w:rPr>
          <w:rStyle w:val="SectionNumber"/>
        </w:rPr>
        <w:t xml:space="preserve">1.11</w:t>
      </w:r>
      <w:r>
        <w:tab/>
      </w:r>
      <w:r>
        <w:t xml:space="preserve">PARTE H: MATRICE DI SOSTENIBILITÀ FINANZIARIA PLURIENNALE</w:t>
      </w:r>
    </w:p>
    <w:p>
      <w:pPr>
        <w:pStyle w:val="FirstParagraph"/>
      </w:pPr>
      <w:r>
        <w:t xml:space="preserve">Bilancio programmatico dinamico a scaglioni condizionati per garantire la stabilità dei mercati finanziari: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Voce di Spesa Pubblica (Uscite Annue a Regime)</w:t>
            </w:r>
          </w:p>
        </w:tc>
        <w:tc>
          <w:tcPr/>
          <w:p>
            <w:pPr>
              <w:pStyle w:val="Compact"/>
              <w:jc w:val="left"/>
            </w:pPr>
            <w:r>
              <w:t xml:space="preserve">Canale di Copertura Finanziaria Strutturale (Entrate/Risparmi)</w:t>
            </w:r>
          </w:p>
        </w:tc>
        <w:tc>
          <w:tcPr/>
          <w:p>
            <w:pPr>
              <w:pStyle w:val="Compact"/>
              <w:jc w:val="left"/>
            </w:pPr>
            <w:r>
              <w:t xml:space="preserve">Vincolo di Sblocco e Monitoraggio</w:t>
            </w:r>
          </w:p>
        </w:tc>
        <w:tc>
          <w:tcPr/>
          <w:p>
            <w:pPr>
              <w:pStyle w:val="Compact"/>
              <w:jc w:val="left"/>
            </w:pPr>
            <w:r>
              <w:t xml:space="preserve">Impatto Deficit</w:t>
            </w:r>
          </w:p>
        </w:tc>
      </w:tr>
      <w:tr>
        <w:tc>
          <w:tcPr/>
          <w:p>
            <w:pPr>
              <w:pStyle w:val="Compact"/>
              <w:jc w:val="left"/>
            </w:pPr>
            <w:r>
              <w:rPr>
                <w:bCs/>
                <w:b/>
              </w:rPr>
              <w:t xml:space="preserve">Piano Energia SMR e Hub Idrogeno</w:t>
            </w:r>
            <w:r>
              <w:rPr>
                <w:iCs/>
                <w:i/>
              </w:rPr>
              <w:t xml:space="preserve">(~12 mld/anno)</w:t>
            </w:r>
          </w:p>
        </w:tc>
        <w:tc>
          <w:tcPr/>
          <w:p>
            <w:pPr>
              <w:pStyle w:val="Compact"/>
              <w:jc w:val="left"/>
            </w:pPr>
            <w:r>
              <w:t xml:space="preserve">Rimodulazione spesa militare dall’1,5% al 1% del PIL (Liberati 10,5 mld/anno). Quota residua coperta da tariffe commerciali dei Green Bond.</w:t>
            </w:r>
          </w:p>
        </w:tc>
        <w:tc>
          <w:tcPr/>
          <w:p>
            <w:pPr>
              <w:pStyle w:val="Compact"/>
              <w:jc w:val="left"/>
            </w:pPr>
            <w:r>
              <w:rPr>
                <w:bCs/>
                <w:b/>
              </w:rPr>
              <w:t xml:space="preserve">Immediato</w:t>
            </w:r>
            <w:r>
              <w:t xml:space="preserve">. Cantiere vincolato a decreto emergenziale.</w:t>
            </w:r>
          </w:p>
        </w:tc>
        <w:tc>
          <w:tcPr/>
          <w:p>
            <w:pPr>
              <w:pStyle w:val="Compact"/>
              <w:jc w:val="left"/>
            </w:pPr>
            <w:r>
              <w:rPr>
                <w:bCs/>
                <w:b/>
              </w:rPr>
              <w:t xml:space="preserve">0%</w:t>
            </w:r>
          </w:p>
        </w:tc>
      </w:tr>
      <w:tr>
        <w:tc>
          <w:tcPr/>
          <w:p>
            <w:pPr>
              <w:pStyle w:val="Compact"/>
              <w:jc w:val="left"/>
            </w:pPr>
            <w:r>
              <w:rPr>
                <w:bCs/>
                <w:b/>
              </w:rPr>
              <w:t xml:space="preserve">Piano Ricerca e Spazio (Fino a 4% PIL)</w:t>
            </w:r>
            <w:r>
              <w:rPr>
                <w:iCs/>
                <w:i/>
              </w:rPr>
              <w:t xml:space="preserve">(Progressione: +9 mld/anno fino a ~45 mld)</w:t>
            </w:r>
          </w:p>
        </w:tc>
        <w:tc>
          <w:tcPr/>
          <w:p>
            <w:pPr>
              <w:pStyle w:val="Compact"/>
              <w:jc w:val="left"/>
            </w:pPr>
            <w:r>
              <w:t xml:space="preserve">1. Tassa del 15% sui profitti pubblicitari estratti da Big Tech (Pilastro 19).</w:t>
            </w:r>
            <w:r>
              <w:t xml:space="preserve">2. Risparmi correnti PA derivanti da automazione e centralizzazione dei processi via IA.</w:t>
            </w:r>
          </w:p>
        </w:tc>
        <w:tc>
          <w:tcPr/>
          <w:p>
            <w:pPr>
              <w:pStyle w:val="Compact"/>
              <w:jc w:val="left"/>
            </w:pPr>
            <w:r>
              <w:rPr>
                <w:bCs/>
                <w:b/>
              </w:rPr>
              <w:t xml:space="preserve">Scaglionato</w:t>
            </w:r>
            <w:r>
              <w:t xml:space="preserve">. Lo sblocco dello scaglione dell’anno successivo avviene solo dopo certificazione Corte dei Conti sui risparmi PA dell’anno precedente.</w:t>
            </w:r>
          </w:p>
        </w:tc>
        <w:tc>
          <w:tcPr/>
          <w:p>
            <w:pPr>
              <w:pStyle w:val="Compact"/>
              <w:jc w:val="left"/>
            </w:pPr>
            <w:r>
              <w:rPr>
                <w:bCs/>
                <w:b/>
              </w:rPr>
              <w:t xml:space="preserve">0%</w:t>
            </w:r>
          </w:p>
        </w:tc>
      </w:tr>
      <w:tr>
        <w:tc>
          <w:tcPr/>
          <w:p>
            <w:pPr>
              <w:pStyle w:val="Compact"/>
              <w:jc w:val="left"/>
            </w:pPr>
            <w:r>
              <w:rPr>
                <w:bCs/>
                <w:b/>
              </w:rPr>
              <w:t xml:space="preserve">Sviluppo Infrastrutture, ZES e IoT</w:t>
            </w:r>
            <w:r>
              <w:rPr>
                <w:iCs/>
                <w:i/>
              </w:rPr>
              <w:t xml:space="preserve">(~8 mld/anno)</w:t>
            </w:r>
          </w:p>
        </w:tc>
        <w:tc>
          <w:tcPr/>
          <w:p>
            <w:pPr>
              <w:pStyle w:val="Compact"/>
              <w:jc w:val="left"/>
            </w:pPr>
            <w:r>
              <w:t xml:space="preserve">Liquidazione del Patrimonio Immobiliare Statale Morto (Pilastro 6), canoni parametrici delle concessioni algoritmiche (Pilastro 3) e royalty del Digital Twin culturale (Pilastro 23).</w:t>
            </w:r>
          </w:p>
        </w:tc>
        <w:tc>
          <w:tcPr/>
          <w:p>
            <w:pPr>
              <w:pStyle w:val="Compact"/>
              <w:jc w:val="left"/>
            </w:pPr>
            <w:r>
              <w:rPr>
                <w:bCs/>
                <w:b/>
              </w:rPr>
              <w:t xml:space="preserve">Flessibile</w:t>
            </w:r>
            <w:r>
              <w:t xml:space="preserve">. Spesa parametrata all’andamento delle aste dei beni inutilizzati e monetizzazione dei beni culturali.</w:t>
            </w:r>
          </w:p>
        </w:tc>
        <w:tc>
          <w:tcPr/>
          <w:p>
            <w:pPr>
              <w:pStyle w:val="Compact"/>
              <w:jc w:val="left"/>
            </w:pPr>
            <w:r>
              <w:rPr>
                <w:bCs/>
                <w:b/>
              </w:rPr>
              <w:t xml:space="preserve">0%</w:t>
            </w:r>
          </w:p>
        </w:tc>
      </w:tr>
      <w:tr>
        <w:tc>
          <w:tcPr/>
          <w:p>
            <w:pPr>
              <w:pStyle w:val="Compact"/>
              <w:jc w:val="left"/>
            </w:pPr>
            <w:r>
              <w:rPr>
                <w:bCs/>
                <w:b/>
              </w:rPr>
              <w:t xml:space="preserve">Welfare, Scuola 60/40, Inclusione e Asili Nido</w:t>
            </w:r>
            <w:r>
              <w:rPr>
                <w:iCs/>
                <w:i/>
              </w:rPr>
              <w:t xml:space="preserve">(~6 mld/anno)</w:t>
            </w:r>
          </w:p>
        </w:tc>
        <w:tc>
          <w:tcPr/>
          <w:p>
            <w:pPr>
              <w:pStyle w:val="Compact"/>
              <w:jc w:val="left"/>
            </w:pPr>
            <w:r>
              <w:t xml:space="preserve">1.</w:t>
            </w:r>
            <w:r>
              <w:t xml:space="preserve"> </w:t>
            </w:r>
            <w:r>
              <w:rPr>
                <w:bCs/>
                <w:b/>
              </w:rPr>
              <w:t xml:space="preserve">Prudenziale:</w:t>
            </w:r>
            <w:r>
              <w:t xml:space="preserve"> </w:t>
            </w:r>
            <w:r>
              <w:t xml:space="preserve">Recupero calcolato sul</w:t>
            </w:r>
            <w:r>
              <w:t xml:space="preserve"> </w:t>
            </w:r>
            <w:r>
              <w:rPr>
                <w:bCs/>
                <w:b/>
              </w:rPr>
              <w:t xml:space="preserve">30% del gap di compliance</w:t>
            </w:r>
            <w:r>
              <w:t xml:space="preserve"> </w:t>
            </w:r>
            <w:r>
              <w:t xml:space="preserve">stimato dal MEF tramite tracciabilità e incrocio dati (Pilastro 4 e 25).</w:t>
            </w:r>
            <w:r>
              <w:t xml:space="preserve">2. Riallocazione del 15% dei Sussidi Ambientalmente Dannosi (SAD) censiti dal MASE.</w:t>
            </w:r>
          </w:p>
        </w:tc>
        <w:tc>
          <w:tcPr/>
          <w:p>
            <w:pPr>
              <w:pStyle w:val="Compact"/>
              <w:jc w:val="left"/>
            </w:pPr>
            <w:r>
              <w:rPr>
                <w:bCs/>
                <w:b/>
              </w:rPr>
              <w:t xml:space="preserve">Immediato</w:t>
            </w:r>
            <w:r>
              <w:t xml:space="preserve">. La quota derivante dai SAD garantisce la copertura di base immediata indipendentemente dal recupero evasione.</w:t>
            </w:r>
          </w:p>
        </w:tc>
        <w:tc>
          <w:tcPr/>
          <w:p>
            <w:pPr>
              <w:pStyle w:val="Compact"/>
              <w:jc w:val="left"/>
            </w:pPr>
            <w:r>
              <w:rPr>
                <w:bCs/>
                <w:b/>
              </w:rPr>
              <w:t xml:space="preserve">0%</w:t>
            </w:r>
          </w:p>
        </w:tc>
      </w:tr>
    </w:tbl>
    <w:p>
      <w:r>
        <w:pict>
          <v:rect style="width:0;height:1.5pt" o:hralign="center" o:hrstd="t" o:hr="t"/>
        </w:pict>
      </w:r>
    </w:p>
    <w:bookmarkEnd w:id="62"/>
    <w:bookmarkStart w:id="63" w:name="Xb8fe61a6f36193a73cd01dc41b7238c11d18eb3"/>
    <w:p>
      <w:pPr>
        <w:pStyle w:val="Heading2"/>
      </w:pPr>
      <w:r>
        <w:rPr>
          <w:rStyle w:val="SectionNumber"/>
        </w:rPr>
        <w:t xml:space="preserve">1.12</w:t>
      </w:r>
      <w:r>
        <w:tab/>
      </w:r>
      <w:r>
        <w:t xml:space="preserve">CONCLUSIONE: Il Tabellone di Marcia dell’Innovazione</w:t>
      </w:r>
    </w:p>
    <w:p>
      <w:pPr>
        <w:pStyle w:val="FirstParagraph"/>
      </w:pPr>
      <w:r>
        <w:t xml:space="preserve">Il Sistema Operativo Italia non cerca il consenso emotivo, ma l’ottimizzazione empirica delle condizioni sistemiche del Paese. L’efficacia di questo programma non si misura sull’indice di gradimento retorico, ma su metriche di posizionamento economico e infrastrutturale standardizzate su base internazionale.</w:t>
      </w:r>
    </w:p>
    <w:p>
      <w:pPr>
        <w:pStyle w:val="BodyText"/>
      </w:pPr>
      <w:r>
        <w:t xml:space="preserve">L’obiettivo esecutivo dell’intero impianto normativo è portare l’Italia dall’attuale status di innovatore moderato (34ª posizione globale) al posizionamento stabile all’interno della Top 10 dello European Innovation Scoreboard (EIS) entro i primi 10 anni. Rendiamo l’Italia un’infrastruttura d’avanguardia attraverso la scienza, l’istruzione, la tecnologia e la responsabilità pubblica. La transizione verso l’efficienza non è un’opzione ideologica, è un’esigenza matematica.</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2026-06-05T16:58:15Z</dcterms:created>
  <dcterms:modified xsi:type="dcterms:W3CDTF">2026-06-05T16:58:15Z</dcterms:modified>
</cp:coreProperties>
</file>

<file path=docProps/custom.xml><?xml version="1.0" encoding="utf-8"?>
<Properties xmlns="http://schemas.openxmlformats.org/officeDocument/2006/custom-properties" xmlns:vt="http://schemas.openxmlformats.org/officeDocument/2006/docPropsVTypes"/>
</file>