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COVID-19</w:t>
      </w:r>
      <w:hyperlink r:id="rId6">
        <w:r w:rsidDel="00000000" w:rsidR="00000000" w:rsidRPr="00000000">
          <w:rPr>
            <w:color w:val="0b0080"/>
            <w:sz w:val="21"/>
            <w:szCs w:val="21"/>
            <w:vertAlign w:val="superscript"/>
            <w:rtl w:val="0"/>
          </w:rPr>
          <w:t xml:space="preserve">nota 2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​ (acrónimo del </w:t>
      </w:r>
      <w:hyperlink r:id="rId7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inglés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coronavirus disease 2019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),</w:t>
      </w:r>
      <w:hyperlink r:id="rId8">
        <w:r w:rsidDel="00000000" w:rsidR="00000000" w:rsidRPr="00000000">
          <w:rPr>
            <w:color w:val="0b0080"/>
            <w:sz w:val="21"/>
            <w:szCs w:val="21"/>
            <w:vertAlign w:val="superscript"/>
            <w:rtl w:val="0"/>
          </w:rPr>
          <w:t xml:space="preserve">4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​ también conocida como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enfermedad por coronavirus</w:t>
      </w:r>
      <w:hyperlink r:id="rId9">
        <w:r w:rsidDel="00000000" w:rsidR="00000000" w:rsidRPr="00000000">
          <w:rPr>
            <w:color w:val="0b0080"/>
            <w:sz w:val="21"/>
            <w:szCs w:val="21"/>
            <w:vertAlign w:val="superscript"/>
            <w:rtl w:val="0"/>
          </w:rPr>
          <w:t xml:space="preserve">3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​ o, incorrectamente, como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neumonía por coronavirus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</w:t>
      </w:r>
      <w:hyperlink r:id="rId10">
        <w:r w:rsidDel="00000000" w:rsidR="00000000" w:rsidRPr="00000000">
          <w:rPr>
            <w:color w:val="0b0080"/>
            <w:sz w:val="21"/>
            <w:szCs w:val="21"/>
            <w:vertAlign w:val="superscript"/>
            <w:rtl w:val="0"/>
          </w:rPr>
          <w:t xml:space="preserve">nota 1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​ es una </w:t>
      </w:r>
      <w:hyperlink r:id="rId11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enfermedad infecciosa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causada por el virus </w:t>
      </w:r>
      <w:hyperlink r:id="rId12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SARS-CoV-2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.</w:t>
      </w:r>
      <w:hyperlink r:id="rId13">
        <w:r w:rsidDel="00000000" w:rsidR="00000000" w:rsidRPr="00000000">
          <w:rPr>
            <w:color w:val="0b0080"/>
            <w:sz w:val="21"/>
            <w:szCs w:val="21"/>
            <w:vertAlign w:val="superscript"/>
            <w:rtl w:val="0"/>
          </w:rPr>
          <w:t xml:space="preserve">9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​</w:t>
      </w:r>
      <w:hyperlink r:id="rId14">
        <w:r w:rsidDel="00000000" w:rsidR="00000000" w:rsidRPr="00000000">
          <w:rPr>
            <w:color w:val="0b0080"/>
            <w:sz w:val="21"/>
            <w:szCs w:val="21"/>
            <w:vertAlign w:val="superscript"/>
            <w:rtl w:val="0"/>
          </w:rPr>
          <w:t xml:space="preserve">10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​ Se detectó por primera vez en la ciudad china de </w:t>
      </w:r>
      <w:hyperlink r:id="rId15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Wuhan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(</w:t>
      </w:r>
      <w:hyperlink r:id="rId16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provincia de Hubei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), en diciembre de 2019.</w:t>
      </w:r>
      <w:hyperlink r:id="rId17">
        <w:r w:rsidDel="00000000" w:rsidR="00000000" w:rsidRPr="00000000">
          <w:rPr>
            <w:color w:val="0b0080"/>
            <w:sz w:val="21"/>
            <w:szCs w:val="21"/>
            <w:vertAlign w:val="superscript"/>
            <w:rtl w:val="0"/>
          </w:rPr>
          <w:t xml:space="preserve">11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​</w:t>
      </w:r>
      <w:hyperlink r:id="rId18">
        <w:r w:rsidDel="00000000" w:rsidR="00000000" w:rsidRPr="00000000">
          <w:rPr>
            <w:color w:val="0b0080"/>
            <w:sz w:val="21"/>
            <w:szCs w:val="21"/>
            <w:vertAlign w:val="superscript"/>
            <w:rtl w:val="0"/>
          </w:rPr>
          <w:t xml:space="preserve">12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​ Habiendo llegado a más de 100 territorios, el 11 de marzo de 2020 la </w:t>
      </w:r>
      <w:hyperlink r:id="rId19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Organización Mundial de la Salud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la declaró </w:t>
      </w:r>
      <w:hyperlink r:id="rId20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pandemia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.</w:t>
      </w:r>
      <w:hyperlink r:id="rId21">
        <w:r w:rsidDel="00000000" w:rsidR="00000000" w:rsidRPr="00000000">
          <w:rPr>
            <w:color w:val="0b0080"/>
            <w:sz w:val="21"/>
            <w:szCs w:val="21"/>
            <w:vertAlign w:val="superscript"/>
            <w:rtl w:val="0"/>
          </w:rPr>
          <w:t xml:space="preserve">13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02">
      <w:pPr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Produce síntomas similares a los de la </w:t>
      </w:r>
      <w:hyperlink r:id="rId22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gripe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, entre los que se incluyen </w:t>
      </w:r>
      <w:hyperlink r:id="rId23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fiebre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, </w:t>
      </w:r>
      <w:hyperlink r:id="rId24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tos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seca,</w:t>
      </w:r>
      <w:hyperlink r:id="rId25">
        <w:r w:rsidDel="00000000" w:rsidR="00000000" w:rsidRPr="00000000">
          <w:rPr>
            <w:color w:val="0b0080"/>
            <w:sz w:val="21"/>
            <w:szCs w:val="21"/>
            <w:vertAlign w:val="superscript"/>
            <w:rtl w:val="0"/>
          </w:rPr>
          <w:t xml:space="preserve">14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​ </w:t>
      </w:r>
      <w:hyperlink r:id="rId26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disnea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, </w:t>
      </w:r>
      <w:hyperlink r:id="rId27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mialgia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y </w:t>
      </w:r>
      <w:hyperlink r:id="rId28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fatiga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.</w:t>
      </w:r>
      <w:hyperlink r:id="rId29">
        <w:r w:rsidDel="00000000" w:rsidR="00000000" w:rsidRPr="00000000">
          <w:rPr>
            <w:color w:val="0b0080"/>
            <w:sz w:val="21"/>
            <w:szCs w:val="21"/>
            <w:vertAlign w:val="superscript"/>
            <w:rtl w:val="0"/>
          </w:rPr>
          <w:t xml:space="preserve">15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​</w:t>
      </w:r>
      <w:hyperlink r:id="rId30">
        <w:r w:rsidDel="00000000" w:rsidR="00000000" w:rsidRPr="00000000">
          <w:rPr>
            <w:color w:val="0b0080"/>
            <w:sz w:val="21"/>
            <w:szCs w:val="21"/>
            <w:vertAlign w:val="superscript"/>
            <w:rtl w:val="0"/>
          </w:rPr>
          <w:t xml:space="preserve">16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​ En casos graves se caracteriza por producir </w:t>
      </w:r>
      <w:hyperlink r:id="rId31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neumonía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, </w:t>
      </w:r>
      <w:hyperlink r:id="rId32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síndrome de dificultad respiratoria aguda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,</w:t>
      </w:r>
      <w:hyperlink r:id="rId33">
        <w:r w:rsidDel="00000000" w:rsidR="00000000" w:rsidRPr="00000000">
          <w:rPr>
            <w:color w:val="0b0080"/>
            <w:sz w:val="21"/>
            <w:szCs w:val="21"/>
            <w:vertAlign w:val="superscript"/>
            <w:rtl w:val="0"/>
          </w:rPr>
          <w:t xml:space="preserve">17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​ </w:t>
      </w:r>
      <w:hyperlink r:id="rId34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sepsis</w:t>
        </w:r>
      </w:hyperlink>
      <w:hyperlink r:id="rId35">
        <w:r w:rsidDel="00000000" w:rsidR="00000000" w:rsidRPr="00000000">
          <w:rPr>
            <w:color w:val="0b0080"/>
            <w:sz w:val="21"/>
            <w:szCs w:val="21"/>
            <w:vertAlign w:val="superscript"/>
            <w:rtl w:val="0"/>
          </w:rPr>
          <w:t xml:space="preserve">18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​ y </w:t>
      </w:r>
      <w:hyperlink r:id="rId36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choque séptico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que conduce a alrededor del 3 % de los infectados a la muerte.</w:t>
      </w:r>
      <w:r w:rsidDel="00000000" w:rsidR="00000000" w:rsidRPr="00000000">
        <w:rPr>
          <w:color w:val="222222"/>
          <w:sz w:val="21"/>
          <w:szCs w:val="21"/>
          <w:vertAlign w:val="superscript"/>
          <w:rtl w:val="0"/>
        </w:rPr>
        <w:t xml:space="preserve">[</w:t>
      </w:r>
      <w:hyperlink r:id="rId37">
        <w:r w:rsidDel="00000000" w:rsidR="00000000" w:rsidRPr="00000000">
          <w:rPr>
            <w:i w:val="1"/>
            <w:color w:val="0b0080"/>
            <w:sz w:val="21"/>
            <w:szCs w:val="21"/>
            <w:vertAlign w:val="superscript"/>
            <w:rtl w:val="0"/>
          </w:rPr>
          <w:t xml:space="preserve">cita requerida</w:t>
        </w:r>
      </w:hyperlink>
      <w:r w:rsidDel="00000000" w:rsidR="00000000" w:rsidRPr="00000000">
        <w:rPr>
          <w:color w:val="222222"/>
          <w:sz w:val="21"/>
          <w:szCs w:val="21"/>
          <w:vertAlign w:val="superscript"/>
          <w:rtl w:val="0"/>
        </w:rPr>
        <w:t xml:space="preserve">]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No existe tratamiento específico; las medidas terapéuticas principales consisten en aliviar los síntomas y mantener las funciones vitales.</w:t>
      </w:r>
      <w:hyperlink r:id="rId38">
        <w:r w:rsidDel="00000000" w:rsidR="00000000" w:rsidRPr="00000000">
          <w:rPr>
            <w:color w:val="0b0080"/>
            <w:sz w:val="21"/>
            <w:szCs w:val="21"/>
            <w:vertAlign w:val="superscript"/>
            <w:rtl w:val="0"/>
          </w:rPr>
          <w:t xml:space="preserve">15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03">
      <w:pPr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La transmisión del </w:t>
      </w:r>
      <w:hyperlink r:id="rId39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SARS-CoV-2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se produce mediante pequeñas gotas —</w:t>
      </w:r>
      <w:hyperlink r:id="rId40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microgotas de Flügge</w:t>
        </w:r>
      </w:hyperlink>
      <w:hyperlink r:id="rId41">
        <w:r w:rsidDel="00000000" w:rsidR="00000000" w:rsidRPr="00000000">
          <w:rPr>
            <w:color w:val="0b0080"/>
            <w:sz w:val="21"/>
            <w:szCs w:val="21"/>
            <w:vertAlign w:val="superscript"/>
            <w:rtl w:val="0"/>
          </w:rPr>
          <w:t xml:space="preserve">19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​— que se emiten al hablar, estornudar, toser o </w:t>
      </w:r>
      <w:hyperlink r:id="rId42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espirar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, que al ser despedidas por un portador (que puede no tener síntomas de la enfermedad o estar incubándola)</w:t>
      </w:r>
      <w:hyperlink r:id="rId43">
        <w:r w:rsidDel="00000000" w:rsidR="00000000" w:rsidRPr="00000000">
          <w:rPr>
            <w:color w:val="0b0080"/>
            <w:sz w:val="21"/>
            <w:szCs w:val="21"/>
            <w:vertAlign w:val="superscript"/>
            <w:rtl w:val="0"/>
          </w:rPr>
          <w:t xml:space="preserve">20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​ pasan directamente a otra persona mediante la inhalación, o quedan sobre los objetos y superficies que rodean al emisor, y luego, a través de las manos, que lo recogen del ambiente contaminado, toman contacto con las membranas mucosas orales, nasales y oculares, al tocarse la boca, la nariz o los ojos.</w:t>
      </w:r>
      <w:hyperlink r:id="rId44">
        <w:r w:rsidDel="00000000" w:rsidR="00000000" w:rsidRPr="00000000">
          <w:rPr>
            <w:color w:val="0b0080"/>
            <w:sz w:val="21"/>
            <w:szCs w:val="21"/>
            <w:vertAlign w:val="superscript"/>
            <w:rtl w:val="0"/>
          </w:rPr>
          <w:t xml:space="preserve">21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​</w:t>
      </w:r>
      <w:hyperlink r:id="rId45">
        <w:r w:rsidDel="00000000" w:rsidR="00000000" w:rsidRPr="00000000">
          <w:rPr>
            <w:color w:val="0b0080"/>
            <w:sz w:val="21"/>
            <w:szCs w:val="21"/>
            <w:vertAlign w:val="superscript"/>
            <w:rtl w:val="0"/>
          </w:rPr>
          <w:t xml:space="preserve">22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​ Esta última es la principal vía de propagación, ya que el virus puede permanecer viable hasta por días en los </w:t>
      </w:r>
      <w:hyperlink r:id="rId46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fómites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(cualquier objeto carente de vida, o sustancia, que si se contamina con algún patógeno es capaz de transferirlo de un individuo a otro).</w:t>
      </w:r>
      <w:hyperlink r:id="rId47">
        <w:r w:rsidDel="00000000" w:rsidR="00000000" w:rsidRPr="00000000">
          <w:rPr>
            <w:color w:val="0b0080"/>
            <w:sz w:val="21"/>
            <w:szCs w:val="21"/>
            <w:vertAlign w:val="superscript"/>
            <w:rtl w:val="0"/>
          </w:rPr>
          <w:t xml:space="preserve">20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04">
      <w:pPr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Los síntomas aparecen entre dos y catorce días, con un promedio de cinco días, después de la exposición al virus.</w:t>
      </w:r>
      <w:hyperlink r:id="rId48">
        <w:r w:rsidDel="00000000" w:rsidR="00000000" w:rsidRPr="00000000">
          <w:rPr>
            <w:color w:val="0b0080"/>
            <w:sz w:val="21"/>
            <w:szCs w:val="21"/>
            <w:vertAlign w:val="superscript"/>
            <w:rtl w:val="0"/>
          </w:rPr>
          <w:t xml:space="preserve">23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​</w:t>
      </w:r>
      <w:hyperlink r:id="rId49">
        <w:r w:rsidDel="00000000" w:rsidR="00000000" w:rsidRPr="00000000">
          <w:rPr>
            <w:color w:val="0b0080"/>
            <w:sz w:val="21"/>
            <w:szCs w:val="21"/>
            <w:vertAlign w:val="superscript"/>
            <w:rtl w:val="0"/>
          </w:rPr>
          <w:t xml:space="preserve">24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​</w:t>
      </w:r>
      <w:hyperlink r:id="rId50">
        <w:r w:rsidDel="00000000" w:rsidR="00000000" w:rsidRPr="00000000">
          <w:rPr>
            <w:color w:val="0b0080"/>
            <w:sz w:val="21"/>
            <w:szCs w:val="21"/>
            <w:vertAlign w:val="superscript"/>
            <w:rtl w:val="0"/>
          </w:rPr>
          <w:t xml:space="preserve">25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​</w:t>
      </w:r>
      <w:hyperlink r:id="rId51">
        <w:r w:rsidDel="00000000" w:rsidR="00000000" w:rsidRPr="00000000">
          <w:rPr>
            <w:color w:val="0b0080"/>
            <w:sz w:val="21"/>
            <w:szCs w:val="21"/>
            <w:vertAlign w:val="superscript"/>
            <w:rtl w:val="0"/>
          </w:rPr>
          <w:t xml:space="preserve">26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​ Existe evidencia limitada que sugiere que el virus podría transmitirse uno o dos días antes de que se tengan síntomas, ya que la </w:t>
      </w:r>
      <w:hyperlink r:id="rId52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viremia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alcanza un pico al final del período de </w:t>
      </w:r>
      <w:hyperlink r:id="rId53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incubación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.</w:t>
      </w:r>
      <w:hyperlink r:id="rId54">
        <w:r w:rsidDel="00000000" w:rsidR="00000000" w:rsidRPr="00000000">
          <w:rPr>
            <w:color w:val="0b0080"/>
            <w:sz w:val="21"/>
            <w:szCs w:val="21"/>
            <w:vertAlign w:val="superscript"/>
            <w:rtl w:val="0"/>
          </w:rPr>
          <w:t xml:space="preserve">27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​</w:t>
      </w:r>
      <w:hyperlink r:id="rId55">
        <w:r w:rsidDel="00000000" w:rsidR="00000000" w:rsidRPr="00000000">
          <w:rPr>
            <w:color w:val="0b0080"/>
            <w:sz w:val="21"/>
            <w:szCs w:val="21"/>
            <w:vertAlign w:val="superscript"/>
            <w:rtl w:val="0"/>
          </w:rPr>
          <w:t xml:space="preserve">28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​El contagio se puede prevenir con el </w:t>
      </w:r>
      <w:hyperlink r:id="rId56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lavado de manos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frecuente, o en su defecto la desinfección de las mismas con </w:t>
      </w:r>
      <w:hyperlink r:id="rId57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alcohol en gel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, cubriendo la boca al toser o estornudar, ya sea con la sangradura (parte hundida del brazo opuesta al codo) o con un pañuelo y evitando el contacto cercano con otras personas,</w:t>
      </w:r>
      <w:hyperlink r:id="rId58">
        <w:r w:rsidDel="00000000" w:rsidR="00000000" w:rsidRPr="00000000">
          <w:rPr>
            <w:color w:val="0b0080"/>
            <w:sz w:val="21"/>
            <w:szCs w:val="21"/>
            <w:vertAlign w:val="superscript"/>
            <w:rtl w:val="0"/>
          </w:rPr>
          <w:t xml:space="preserve">21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​ entre otras medidas profilácticas, como el uso de mascarillas. La OMS desaconsejaba en marzo la utilización de </w:t>
      </w:r>
      <w:hyperlink r:id="rId59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máscara quirúrgica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por la población sana, </w:t>
      </w:r>
      <w:hyperlink r:id="rId60">
        <w:r w:rsidDel="00000000" w:rsidR="00000000" w:rsidRPr="00000000">
          <w:rPr>
            <w:color w:val="0b0080"/>
            <w:sz w:val="21"/>
            <w:szCs w:val="21"/>
            <w:vertAlign w:val="superscript"/>
            <w:rtl w:val="0"/>
          </w:rPr>
          <w:t xml:space="preserve">29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​</w:t>
      </w:r>
      <w:hyperlink r:id="rId61">
        <w:r w:rsidDel="00000000" w:rsidR="00000000" w:rsidRPr="00000000">
          <w:rPr>
            <w:color w:val="0b0080"/>
            <w:sz w:val="21"/>
            <w:szCs w:val="21"/>
            <w:vertAlign w:val="superscript"/>
            <w:rtl w:val="0"/>
          </w:rPr>
          <w:t xml:space="preserve">30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​ en abril la OMS consideró que era una medida aceptable en algunos países. </w:t>
      </w:r>
      <w:hyperlink r:id="rId62">
        <w:r w:rsidDel="00000000" w:rsidR="00000000" w:rsidRPr="00000000">
          <w:rPr>
            <w:color w:val="0b0080"/>
            <w:sz w:val="21"/>
            <w:szCs w:val="21"/>
            <w:vertAlign w:val="superscript"/>
            <w:rtl w:val="0"/>
          </w:rPr>
          <w:t xml:space="preserve">31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​No obstante, ciertos expertos recomiendan el uso de máscaras quirúrgicas basados en estudios sobre la Influenza </w:t>
      </w:r>
      <w:hyperlink r:id="rId63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H1N1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, donde muestran que podrían ayudar a reducir la exposición al virus.</w:t>
      </w:r>
      <w:hyperlink r:id="rId64">
        <w:r w:rsidDel="00000000" w:rsidR="00000000" w:rsidRPr="00000000">
          <w:rPr>
            <w:color w:val="0b0080"/>
            <w:sz w:val="21"/>
            <w:szCs w:val="21"/>
            <w:vertAlign w:val="superscript"/>
            <w:rtl w:val="0"/>
          </w:rPr>
          <w:t xml:space="preserve">32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​ Los </w:t>
      </w:r>
      <w:hyperlink r:id="rId65">
        <w:r w:rsidDel="00000000" w:rsidR="00000000" w:rsidRPr="00000000">
          <w:rPr>
            <w:color w:val="0b0080"/>
            <w:sz w:val="21"/>
            <w:szCs w:val="21"/>
            <w:rtl w:val="0"/>
          </w:rPr>
          <w:t xml:space="preserve">CDC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recomiendan el uso de mascarillas de tela, no médicas.</w:t>
      </w:r>
      <w:hyperlink r:id="rId66">
        <w:r w:rsidDel="00000000" w:rsidR="00000000" w:rsidRPr="00000000">
          <w:rPr>
            <w:color w:val="0b0080"/>
            <w:sz w:val="21"/>
            <w:szCs w:val="21"/>
            <w:vertAlign w:val="superscript"/>
            <w:rtl w:val="0"/>
          </w:rPr>
          <w:t xml:space="preserve">33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s.wikipedia.org/wiki/Gotas_de_Fl%C3%BCgge" TargetMode="External"/><Relationship Id="rId42" Type="http://schemas.openxmlformats.org/officeDocument/2006/relationships/hyperlink" Target="https://es.wikipedia.org/wiki/Exhalaci%C3%B3n" TargetMode="External"/><Relationship Id="rId41" Type="http://schemas.openxmlformats.org/officeDocument/2006/relationships/hyperlink" Target="https://es.wikipedia.org/wiki/COVID-19#cite_note-Flugge-21" TargetMode="External"/><Relationship Id="rId44" Type="http://schemas.openxmlformats.org/officeDocument/2006/relationships/hyperlink" Target="https://es.wikipedia.org/wiki/COVID-19#cite_note-garea-23" TargetMode="External"/><Relationship Id="rId43" Type="http://schemas.openxmlformats.org/officeDocument/2006/relationships/hyperlink" Target="https://es.wikipedia.org/wiki/COVID-19#cite_note-Intramed-22" TargetMode="External"/><Relationship Id="rId46" Type="http://schemas.openxmlformats.org/officeDocument/2006/relationships/hyperlink" Target="https://es.wikipedia.org/wiki/F%C3%B3mite" TargetMode="External"/><Relationship Id="rId45" Type="http://schemas.openxmlformats.org/officeDocument/2006/relationships/hyperlink" Target="https://es.wikipedia.org/wiki/COVID-19#cite_note-Peng_et_al._2020-2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COVID-19#cite_note-Fund%C3%A9u-4" TargetMode="External"/><Relationship Id="rId48" Type="http://schemas.openxmlformats.org/officeDocument/2006/relationships/hyperlink" Target="https://es.wikipedia.org/wiki/COVID-19#cite_note-WHO-advice2-25" TargetMode="External"/><Relationship Id="rId47" Type="http://schemas.openxmlformats.org/officeDocument/2006/relationships/hyperlink" Target="https://es.wikipedia.org/wiki/COVID-19#cite_note-Intramed-22" TargetMode="External"/><Relationship Id="rId49" Type="http://schemas.openxmlformats.org/officeDocument/2006/relationships/hyperlink" Target="https://es.wikipedia.org/wiki/COVID-19#cite_note-CDC_symptoms-26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COVID-19#cite_note-5" TargetMode="External"/><Relationship Id="rId7" Type="http://schemas.openxmlformats.org/officeDocument/2006/relationships/hyperlink" Target="https://es.wikipedia.org/wiki/Idioma_ingl%C3%A9s" TargetMode="External"/><Relationship Id="rId8" Type="http://schemas.openxmlformats.org/officeDocument/2006/relationships/hyperlink" Target="https://es.wikipedia.org/wiki/COVID-19#cite_note-WHO-6" TargetMode="External"/><Relationship Id="rId31" Type="http://schemas.openxmlformats.org/officeDocument/2006/relationships/hyperlink" Target="https://es.wikipedia.org/wiki/Neumon%C3%ADa" TargetMode="External"/><Relationship Id="rId30" Type="http://schemas.openxmlformats.org/officeDocument/2006/relationships/hyperlink" Target="https://es.wikipedia.org/wiki/COVID-19#cite_note-Health_AU-18" TargetMode="External"/><Relationship Id="rId33" Type="http://schemas.openxmlformats.org/officeDocument/2006/relationships/hyperlink" Target="https://es.wikipedia.org/wiki/COVID-19#cite_note-19" TargetMode="External"/><Relationship Id="rId32" Type="http://schemas.openxmlformats.org/officeDocument/2006/relationships/hyperlink" Target="https://es.wikipedia.org/wiki/S%C3%ADndrome_de_dificultad_respiratoria_aguda" TargetMode="External"/><Relationship Id="rId35" Type="http://schemas.openxmlformats.org/officeDocument/2006/relationships/hyperlink" Target="https://es.wikipedia.org/wiki/COVID-19#cite_note-20" TargetMode="External"/><Relationship Id="rId34" Type="http://schemas.openxmlformats.org/officeDocument/2006/relationships/hyperlink" Target="https://es.wikipedia.org/wiki/Sepsis" TargetMode="External"/><Relationship Id="rId37" Type="http://schemas.openxmlformats.org/officeDocument/2006/relationships/hyperlink" Target="https://es.wikipedia.org/wiki/Wikipedia:Verificabilidad" TargetMode="External"/><Relationship Id="rId36" Type="http://schemas.openxmlformats.org/officeDocument/2006/relationships/hyperlink" Target="https://es.wikipedia.org/wiki/Shock_s%C3%A9ptico" TargetMode="External"/><Relationship Id="rId39" Type="http://schemas.openxmlformats.org/officeDocument/2006/relationships/hyperlink" Target="https://es.wikipedia.org/wiki/SARS-CoV-2" TargetMode="External"/><Relationship Id="rId38" Type="http://schemas.openxmlformats.org/officeDocument/2006/relationships/hyperlink" Target="https://es.wikipedia.org/wiki/COVID-19#cite_note-Q&amp;A-17" TargetMode="External"/><Relationship Id="rId62" Type="http://schemas.openxmlformats.org/officeDocument/2006/relationships/hyperlink" Target="https://es.wikipedia.org/wiki/COVID-19#cite_note-33" TargetMode="External"/><Relationship Id="rId61" Type="http://schemas.openxmlformats.org/officeDocument/2006/relationships/hyperlink" Target="https://es.wikipedia.org/wiki/COVID-19#cite_note-32" TargetMode="External"/><Relationship Id="rId20" Type="http://schemas.openxmlformats.org/officeDocument/2006/relationships/hyperlink" Target="https://es.wikipedia.org/wiki/Pandemia" TargetMode="External"/><Relationship Id="rId64" Type="http://schemas.openxmlformats.org/officeDocument/2006/relationships/hyperlink" Target="https://es.wikipedia.org/wiki/COVID-19#cite_note-34" TargetMode="External"/><Relationship Id="rId63" Type="http://schemas.openxmlformats.org/officeDocument/2006/relationships/hyperlink" Target="https://es.wikipedia.org/wiki/H1N1" TargetMode="External"/><Relationship Id="rId22" Type="http://schemas.openxmlformats.org/officeDocument/2006/relationships/hyperlink" Target="https://es.wikipedia.org/wiki/Gripe" TargetMode="External"/><Relationship Id="rId66" Type="http://schemas.openxmlformats.org/officeDocument/2006/relationships/hyperlink" Target="https://es.wikipedia.org/wiki/COVID-19#cite_note-35" TargetMode="External"/><Relationship Id="rId21" Type="http://schemas.openxmlformats.org/officeDocument/2006/relationships/hyperlink" Target="https://es.wikipedia.org/wiki/COVID-19#cite_note-WHOpandemic2-15" TargetMode="External"/><Relationship Id="rId65" Type="http://schemas.openxmlformats.org/officeDocument/2006/relationships/hyperlink" Target="https://es.wikipedia.org/wiki/Centros_para_el_Control_y_Prevenci%C3%B3n_de_Enfermedades" TargetMode="External"/><Relationship Id="rId24" Type="http://schemas.openxmlformats.org/officeDocument/2006/relationships/hyperlink" Target="https://es.wikipedia.org/wiki/Tos" TargetMode="External"/><Relationship Id="rId23" Type="http://schemas.openxmlformats.org/officeDocument/2006/relationships/hyperlink" Target="https://es.wikipedia.org/wiki/Fiebre" TargetMode="External"/><Relationship Id="rId60" Type="http://schemas.openxmlformats.org/officeDocument/2006/relationships/hyperlink" Target="https://es.wikipedia.org/wiki/COVID-19#cite_note-31" TargetMode="External"/><Relationship Id="rId26" Type="http://schemas.openxmlformats.org/officeDocument/2006/relationships/hyperlink" Target="https://es.wikipedia.org/wiki/Disnea" TargetMode="External"/><Relationship Id="rId25" Type="http://schemas.openxmlformats.org/officeDocument/2006/relationships/hyperlink" Target="https://es.wikipedia.org/wiki/COVID-19#cite_note-tosseca-16" TargetMode="External"/><Relationship Id="rId28" Type="http://schemas.openxmlformats.org/officeDocument/2006/relationships/hyperlink" Target="https://es.wikipedia.org/wiki/Cansancio" TargetMode="External"/><Relationship Id="rId27" Type="http://schemas.openxmlformats.org/officeDocument/2006/relationships/hyperlink" Target="https://es.wikipedia.org/wiki/Mialgia" TargetMode="External"/><Relationship Id="rId29" Type="http://schemas.openxmlformats.org/officeDocument/2006/relationships/hyperlink" Target="https://es.wikipedia.org/wiki/COVID-19#cite_note-Q&amp;A-17" TargetMode="External"/><Relationship Id="rId51" Type="http://schemas.openxmlformats.org/officeDocument/2006/relationships/hyperlink" Target="https://es.wikipedia.org/wiki/COVID-19#cite_note-28" TargetMode="External"/><Relationship Id="rId50" Type="http://schemas.openxmlformats.org/officeDocument/2006/relationships/hyperlink" Target="https://es.wikipedia.org/wiki/COVID-19#cite_note-LaiShih2020-27" TargetMode="External"/><Relationship Id="rId53" Type="http://schemas.openxmlformats.org/officeDocument/2006/relationships/hyperlink" Target="https://es.wikipedia.org/wiki/COVID-19#Incubaci%C3%B3n" TargetMode="External"/><Relationship Id="rId52" Type="http://schemas.openxmlformats.org/officeDocument/2006/relationships/hyperlink" Target="https://es.wikipedia.org/wiki/Viremia" TargetMode="External"/><Relationship Id="rId11" Type="http://schemas.openxmlformats.org/officeDocument/2006/relationships/hyperlink" Target="https://es.wikipedia.org/wiki/Enfermedad_infecciosa" TargetMode="External"/><Relationship Id="rId55" Type="http://schemas.openxmlformats.org/officeDocument/2006/relationships/hyperlink" Target="https://es.wikipedia.org/wiki/COVID-19#cite_note-30" TargetMode="External"/><Relationship Id="rId10" Type="http://schemas.openxmlformats.org/officeDocument/2006/relationships/hyperlink" Target="https://es.wikipedia.org/wiki/COVID-19#cite_note-neumon%C3%ADa-3" TargetMode="External"/><Relationship Id="rId54" Type="http://schemas.openxmlformats.org/officeDocument/2006/relationships/hyperlink" Target="https://es.wikipedia.org/wiki/COVID-19#cite_note-Anderson-29" TargetMode="External"/><Relationship Id="rId13" Type="http://schemas.openxmlformats.org/officeDocument/2006/relationships/hyperlink" Target="https://es.wikipedia.org/wiki/COVID-19#cite_note-Gorbalenya-11" TargetMode="External"/><Relationship Id="rId57" Type="http://schemas.openxmlformats.org/officeDocument/2006/relationships/hyperlink" Target="https://es.wikipedia.org/wiki/Alcohol_en_gel" TargetMode="External"/><Relationship Id="rId12" Type="http://schemas.openxmlformats.org/officeDocument/2006/relationships/hyperlink" Target="https://es.wikipedia.org/wiki/SARS-CoV-2" TargetMode="External"/><Relationship Id="rId56" Type="http://schemas.openxmlformats.org/officeDocument/2006/relationships/hyperlink" Target="https://es.wikipedia.org/wiki/Lavado_de_manos" TargetMode="External"/><Relationship Id="rId15" Type="http://schemas.openxmlformats.org/officeDocument/2006/relationships/hyperlink" Target="https://es.wikipedia.org/wiki/Wuhan" TargetMode="External"/><Relationship Id="rId59" Type="http://schemas.openxmlformats.org/officeDocument/2006/relationships/hyperlink" Target="https://es.wikipedia.org/wiki/M%C3%A1scara_quir%C3%BArgica" TargetMode="External"/><Relationship Id="rId14" Type="http://schemas.openxmlformats.org/officeDocument/2006/relationships/hyperlink" Target="https://es.wikipedia.org/wiki/COVID-19#cite_note-12" TargetMode="External"/><Relationship Id="rId58" Type="http://schemas.openxmlformats.org/officeDocument/2006/relationships/hyperlink" Target="https://es.wikipedia.org/wiki/COVID-19#cite_note-garea-23" TargetMode="External"/><Relationship Id="rId17" Type="http://schemas.openxmlformats.org/officeDocument/2006/relationships/hyperlink" Target="https://es.wikipedia.org/wiki/COVID-19#cite_note-HuiEtAlJan2020-13" TargetMode="External"/><Relationship Id="rId16" Type="http://schemas.openxmlformats.org/officeDocument/2006/relationships/hyperlink" Target="https://es.wikipedia.org/wiki/Provincia_de_Hubei" TargetMode="External"/><Relationship Id="rId19" Type="http://schemas.openxmlformats.org/officeDocument/2006/relationships/hyperlink" Target="https://es.wikipedia.org/wiki/Organizaci%C3%B3n_Mundial_de_la_Salud" TargetMode="External"/><Relationship Id="rId18" Type="http://schemas.openxmlformats.org/officeDocument/2006/relationships/hyperlink" Target="https://es.wikipedia.org/wiki/COVID-19#cite_note-WHOQ&amp;A27Jan202-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