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ENTREGABLE – SEMANA 2</w:t>
      </w:r>
    </w:p>
    <w:p>
      <w:pPr>
        <w:jc w:val="center"/>
      </w:pPr>
      <w:r>
        <w:rPr>
          <w:b/>
          <w:sz w:val="26"/>
        </w:rPr>
        <w:t>Pruebas de software y SCRUM: requisitos, criterios y planificación</w:t>
      </w:r>
    </w:p>
    <w:p>
      <w:pPr>
        <w:jc w:val="center"/>
      </w:pPr>
      <w:r>
        <w:t>Caso integrador: EntregaSegura</w:t>
      </w:r>
    </w:p>
    <w:p>
      <w:pPr>
        <w:pStyle w:val="Heading1"/>
      </w:pPr>
      <w:r>
        <w:t>1. Objetivo</w:t>
      </w:r>
    </w:p>
    <w:p>
      <w:r>
        <w:t>Convertir necesidades del caso EntregaSegura en requisitos, historias de usuario y criterios verificables, identificar riesgos y construir la primera versión del plan de pruebas y su matriz de trazabilidad.</w:t>
      </w:r>
    </w:p>
    <w:p>
      <w:pPr>
        <w:pStyle w:val="Heading1"/>
      </w:pPr>
      <w:r>
        <w:t>2. Historia de usuario</w:t>
      </w:r>
    </w:p>
    <w:p>
      <w:r>
        <w:t>HU-ENT-01</w:t>
      </w:r>
    </w:p>
    <w:p>
      <w:r>
        <w:t>Como mensajero, quiero registrar la entrega con evidencia fotográfica para que la entidad pueda demostrar que el medicamento fue recibido.</w:t>
      </w:r>
    </w:p>
    <w:p>
      <w:pPr>
        <w:pStyle w:val="Heading1"/>
      </w:pPr>
      <w:r>
        <w:t>3. Criterios de aceptación</w:t>
      </w:r>
    </w:p>
    <w:p>
      <w:pPr>
        <w:pStyle w:val="ListBullet"/>
      </w:pPr>
      <w:r>
        <w:t>CA-01 – Confirmación con evidencia: Dado que el mensajero está autenticado y la orden está asignada a su usuario, cuando adjunta una fotografía válida y selecciona Confirmar entrega, entonces el sistema registra fecha, usuario y evidencia, cambia el estado a ENTREGADA y evita un segundo registro.</w:t>
      </w:r>
    </w:p>
    <w:p>
      <w:pPr>
        <w:pStyle w:val="ListBullet"/>
      </w:pPr>
      <w:r>
        <w:t>CA-02 – Autorización: Dado que la orden no está asignada al mensajero, cuando intenta abrir el detalle mediante una URL conocida, entonces el sistema rechaza el acceso y no expone datos de la orden.</w:t>
      </w:r>
    </w:p>
    <w:p>
      <w:pPr>
        <w:pStyle w:val="ListBullet"/>
      </w:pPr>
      <w:r>
        <w:t>CA-03 – Sin conectividad: Dado que no existe conectividad al confirmar, cuando el usuario realiza la acción, entonces la aplicación informa el estado, evita duplicidad y permite reintentar según el diseño acordado.</w:t>
      </w:r>
    </w:p>
    <w:p>
      <w:pPr>
        <w:pStyle w:val="Heading1"/>
      </w:pPr>
      <w:r>
        <w:t>4. Definition of Ready (acuerdo complementario)</w:t>
      </w:r>
    </w:p>
    <w:p>
      <w:pPr>
        <w:pStyle w:val="ListBullet"/>
      </w:pPr>
      <w:r>
        <w:t>Historia entendida.</w:t>
      </w:r>
    </w:p>
    <w:p>
      <w:pPr>
        <w:pStyle w:val="ListBullet"/>
      </w:pPr>
      <w:r>
        <w:t>Criterios revisados.</w:t>
      </w:r>
    </w:p>
    <w:p>
      <w:pPr>
        <w:pStyle w:val="ListBullet"/>
      </w:pPr>
      <w:r>
        <w:t>Riesgos identificados.</w:t>
      </w:r>
    </w:p>
    <w:p>
      <w:pPr>
        <w:pStyle w:val="ListBullet"/>
      </w:pPr>
      <w:r>
        <w:t>Dependencias visibles.</w:t>
      </w:r>
    </w:p>
    <w:p>
      <w:pPr>
        <w:pStyle w:val="ListBullet"/>
      </w:pPr>
      <w:r>
        <w:t>Datos y diseño disponibles en el nivel necesario.</w:t>
      </w:r>
    </w:p>
    <w:p>
      <w:pPr>
        <w:pStyle w:val="Heading1"/>
      </w:pPr>
      <w:r>
        <w:t>5. Definition of Done</w:t>
      </w:r>
    </w:p>
    <w:p>
      <w:pPr>
        <w:pStyle w:val="ListBullet"/>
      </w:pPr>
      <w:r>
        <w:t>Código revisado.</w:t>
      </w:r>
    </w:p>
    <w:p>
      <w:pPr>
        <w:pStyle w:val="ListBullet"/>
      </w:pPr>
      <w:r>
        <w:t>Pruebas unitarias y API aprobadas.</w:t>
      </w:r>
    </w:p>
    <w:p>
      <w:pPr>
        <w:pStyle w:val="ListBullet"/>
      </w:pPr>
      <w:r>
        <w:t>Criterios satisfechos.</w:t>
      </w:r>
    </w:p>
    <w:p>
      <w:pPr>
        <w:pStyle w:val="ListBullet"/>
      </w:pPr>
      <w:r>
        <w:t>Defectos críticos cerrados.</w:t>
      </w:r>
    </w:p>
    <w:p>
      <w:pPr>
        <w:pStyle w:val="ListBullet"/>
      </w:pPr>
      <w:r>
        <w:t>Seguridad básica validada.</w:t>
      </w:r>
    </w:p>
    <w:p>
      <w:pPr>
        <w:pStyle w:val="ListBullet"/>
      </w:pPr>
      <w:r>
        <w:t>Evidencia y documentación actualizadas.</w:t>
      </w:r>
    </w:p>
    <w:p>
      <w:pPr>
        <w:pStyle w:val="Heading1"/>
      </w:pPr>
      <w:r>
        <w:t>6.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ID</w:t>
            </w:r>
          </w:p>
        </w:tc>
        <w:tc>
          <w:tcPr>
            <w:tcW w:type="dxa" w:w="1680"/>
          </w:tcPr>
          <w:p>
            <w:r>
              <w:t>Riesgo</w:t>
            </w:r>
          </w:p>
        </w:tc>
        <w:tc>
          <w:tcPr>
            <w:tcW w:type="dxa" w:w="1680"/>
          </w:tcPr>
          <w:p>
            <w:r>
              <w:t>Prob.</w:t>
            </w:r>
          </w:p>
        </w:tc>
        <w:tc>
          <w:tcPr>
            <w:tcW w:type="dxa" w:w="1680"/>
          </w:tcPr>
          <w:p>
            <w:r>
              <w:t>Impacto</w:t>
            </w:r>
          </w:p>
        </w:tc>
        <w:tc>
          <w:tcPr>
            <w:tcW w:type="dxa" w:w="1680"/>
          </w:tcPr>
          <w:p>
            <w:r>
              <w:t>Exposición</w:t>
            </w:r>
          </w:p>
        </w:tc>
        <w:tc>
          <w:tcPr>
            <w:tcW w:type="dxa" w:w="1680"/>
          </w:tcPr>
          <w:p>
            <w:r>
              <w:t>Prioridad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6"/>
              </w:rPr>
              <w:t>RSK-01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Entrega sin evidencia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Muy alta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6"/>
              </w:rPr>
              <w:t>RSK-02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Acceso a órdenes ajenas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Muy alta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6"/>
              </w:rPr>
              <w:t>RSK-03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Registro duplicado por doble clic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1680"/>
            <w:vAlign w:val="top"/>
          </w:tcPr>
          <w:p>
            <w:r>
              <w:rPr>
                <w:sz w:val="16"/>
              </w:rPr>
              <w:t>RSK-04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Texto desalineado en escritorio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680"/>
            <w:vAlign w:val="top"/>
          </w:tcPr>
          <w:p>
            <w:r>
              <w:rPr>
                <w:sz w:val="16"/>
              </w:rPr>
              <w:t>Baja</w:t>
            </w:r>
          </w:p>
        </w:tc>
      </w:tr>
    </w:tbl>
    <w:p>
      <w:pPr>
        <w:pStyle w:val="Heading1"/>
      </w:pPr>
      <w:r>
        <w:t>7. Estrategia de pruebas</w:t>
      </w:r>
    </w:p>
    <w:p>
      <w:r>
        <w:t>Se priorizan riesgos de seguridad, evidencia y duplicidad. Se consideran niveles unitario, integración, sistema/end-to-end y aceptación según la necesidad. Se contemplan pruebas funcionales, de autorización, regresión y no funcionales cuando el alcance lo permita.</w:t>
      </w:r>
    </w:p>
    <w:p>
      <w:pPr>
        <w:pStyle w:val="Heading1"/>
      </w:pPr>
      <w:r>
        <w:t>8. Plan de pruebas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Sección</w:t>
            </w:r>
          </w:p>
        </w:tc>
        <w:tc>
          <w:tcPr>
            <w:tcW w:type="dxa" w:w="5040"/>
          </w:tcPr>
          <w:p>
            <w:r>
              <w:t>Definición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Identificación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Producto: EntregaSegura. Versión: v1. Responsable: equipo. Fecha: completar.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Objetivo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Obtener evidencia sobre el cumplimiento de criterios y tratar primero los riesgos de mayor exposición.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Alcance incluido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Autenticación, autorización por rol y confirmación de entrega con evidencia.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Fuera de alcance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Facturación, integración con operadores logísticos y carga masiva.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Base de prueba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Historias, criterios, prototipos, API, reglas de negocio y datos sintéticos.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Riesgos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RSK-01 a RSK-04, priorizados por exposición.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Enfoque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Pruebas unitarias, integración, sistema/end-to-end, aceptación, regresión y no funcionales según riesgo.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Ambiente y datos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Computador, navegador, conexión, dispositivo Android representativo y datos ficticios.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Roles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Definir quién analiza, diseña, ejecuta, corrige y aprueba.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Criterios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Entrada: requisitos revisados y ambiente/datos disponibles. Suspensión: ambiente inestable o bloqueo significativo. Salida: críticos ejecutados, cero críticos abiertos y riesgos residuales aceptados.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Entregables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Plan v1, matriz, evidencias, defectos y resultados.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Definir hitos y capacidad del equipo.</w:t>
            </w:r>
          </w:p>
        </w:tc>
      </w:tr>
    </w:tbl>
    <w:p>
      <w:pPr>
        <w:pStyle w:val="Heading1"/>
      </w:pPr>
      <w:r>
        <w:t>9. Matriz de trazabilidad – Semana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Historia/Requisito</w:t>
            </w:r>
          </w:p>
        </w:tc>
        <w:tc>
          <w:tcPr>
            <w:tcW w:type="dxa" w:w="1440"/>
          </w:tcPr>
          <w:p>
            <w:r>
              <w:t>Criterio</w:t>
            </w:r>
          </w:p>
        </w:tc>
        <w:tc>
          <w:tcPr>
            <w:tcW w:type="dxa" w:w="1440"/>
          </w:tcPr>
          <w:p>
            <w:r>
              <w:t>Riesgo</w:t>
            </w:r>
          </w:p>
        </w:tc>
        <w:tc>
          <w:tcPr>
            <w:tcW w:type="dxa" w:w="1440"/>
          </w:tcPr>
          <w:p>
            <w:r>
              <w:t>Condición/Caso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Defecto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TR-01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HU-ENT-01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CA-01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RSK-01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Confirmar con foto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Base definida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TR-02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HU-ENT-01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CA-02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RSK-02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Acceso a orden ajena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Base definida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TR-03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HU-ENT-01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CA-03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RSK-03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Reintento sin duplicidad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Base definida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1"/>
      </w:pPr>
      <w:r>
        <w:t>10. Criterios de entrada, suspensión, reanudación y salida</w:t>
      </w:r>
    </w:p>
    <w:p>
      <w:pPr>
        <w:pStyle w:val="ListBullet"/>
      </w:pPr>
      <w:r>
        <w:t>Entrada: historias y criterios revisados; ambiente desplegado; usuarios y datos disponibles; versión identificada.</w:t>
      </w:r>
    </w:p>
    <w:p>
      <w:pPr>
        <w:pStyle w:val="ListBullet"/>
      </w:pPr>
      <w:r>
        <w:t>Suspensión: ambiente inestable; bloqueo de autenticación; datos corruptos; más del 30% de casos bloqueados por la misma causa.</w:t>
      </w:r>
    </w:p>
    <w:p>
      <w:pPr>
        <w:pStyle w:val="ListBullet"/>
      </w:pPr>
      <w:r>
        <w:t>Reanudación: corrección desplegada; smoke test aprobado; datos restaurados; incidente documentado.</w:t>
      </w:r>
    </w:p>
    <w:p>
      <w:pPr>
        <w:pStyle w:val="ListBullet"/>
      </w:pPr>
      <w:r>
        <w:t>Salida: 100% de casos críticos ejecutados; cero defectos críticos abiertos; riesgos residuales aceptados y resultados comunicados.</w:t>
      </w:r>
    </w:p>
    <w:p>
      <w:pPr>
        <w:pStyle w:val="Heading1"/>
      </w:pPr>
      <w:r>
        <w:t>11. Checklist de Semana 2</w:t>
      </w:r>
    </w:p>
    <w:p>
      <w:pPr>
        <w:pStyle w:val="ListBullet"/>
      </w:pPr>
      <w:r>
        <w:t>Historias con rol, capacidad y beneficio.</w:t>
      </w:r>
    </w:p>
    <w:p>
      <w:pPr>
        <w:pStyle w:val="ListBullet"/>
      </w:pPr>
      <w:r>
        <w:t>Criterios observables y comprobables.</w:t>
      </w:r>
    </w:p>
    <w:p>
      <w:pPr>
        <w:pStyle w:val="ListBullet"/>
      </w:pPr>
      <w:r>
        <w:t>Escenarios positivos, negativos y alternos.</w:t>
      </w:r>
    </w:p>
    <w:p>
      <w:pPr>
        <w:pStyle w:val="ListBullet"/>
      </w:pPr>
      <w:r>
        <w:t>Requisitos no funcionales con contexto y umbral cuando apliquen.</w:t>
      </w:r>
    </w:p>
    <w:p>
      <w:pPr>
        <w:pStyle w:val="ListBullet"/>
      </w:pPr>
      <w:r>
        <w:t>DoD con medidas de calidad.</w:t>
      </w:r>
    </w:p>
    <w:p>
      <w:pPr>
        <w:pStyle w:val="ListBullet"/>
      </w:pPr>
      <w:r>
        <w:t>Alcance y exclusiones definidos.</w:t>
      </w:r>
    </w:p>
    <w:p>
      <w:pPr>
        <w:pStyle w:val="ListBullet"/>
      </w:pPr>
      <w:r>
        <w:t>Riesgos conectados con pruebas.</w:t>
      </w:r>
    </w:p>
    <w:p>
      <w:pPr>
        <w:pStyle w:val="ListBullet"/>
      </w:pPr>
      <w:r>
        <w:t>Matriz consistente.</w:t>
      </w:r>
    </w:p>
    <w:p>
      <w:pPr>
        <w:pStyle w:val="ListBullet"/>
      </w:pPr>
      <w:r>
        <w:t>Ambientes, datos, roles y criterios viables.</w:t>
      </w:r>
    </w:p>
    <w:p>
      <w:pPr>
        <w:pStyle w:val="ListBullet"/>
      </w:pPr>
      <w:r>
        <w:t>Identificadores y control de versión.</w:t>
      </w:r>
    </w:p>
    <w:p>
      <w:r>
        <w:t>Nota: esta entrega corresponde a la planificación. Los casos detallados, técnicas de diseño, ejecución y defectos se desarrollan en Semana 3.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