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4A7C59"/>
          <w:spacing w:val="120"/>
          <w:sz w:val="24"/>
          <w:szCs w:val="24"/>
        </w:rPr>
        <w:t xml:space="preserve">IMMOYIELD</w:t>
      </w:r>
    </w:p>
    <w:p>
      <w:pPr>
        <w:spacing w:after="80" w:before="80"/>
        <w:jc w:val="center"/>
      </w:pPr>
      <w:r>
        <w:rPr>
          <w:b/>
          <w:bCs/>
          <w:color w:val="9CA3AF"/>
          <w:spacing w:val="80"/>
          <w:sz w:val="16"/>
          <w:szCs w:val="16"/>
        </w:rPr>
        <w:t xml:space="preserve">VOLUME II</w:t>
      </w:r>
    </w:p>
    <w:p>
      <w:pPr>
        <w:spacing w:after="80" w:before="360"/>
        <w:jc w:val="center"/>
      </w:pPr>
      <w:r>
        <w:rPr>
          <w:b/>
          <w:bCs/>
          <w:color w:val="1C2B20"/>
          <w:sz w:val="56"/>
          <w:szCs w:val="56"/>
        </w:rPr>
        <w:t xml:space="preserve">Plano de UX/UI e </w:t>
      </w:r>
    </w:p>
    <w:p>
      <w:pPr>
        <w:spacing w:after="400" w:before="0"/>
        <w:jc w:val="center"/>
      </w:pPr>
      <w:r>
        <w:rPr>
          <w:rFonts w:ascii="Georgia" w:cs="Georgia" w:eastAsia="Georgia" w:hAnsi="Georgia"/>
          <w:b/>
          <w:bCs/>
          <w:i/>
          <w:iCs/>
          <w:color w:val="4A7C59"/>
          <w:sz w:val="56"/>
          <w:szCs w:val="56"/>
        </w:rPr>
        <w:t xml:space="preserve">Sistema de Design</w:t>
      </w:r>
    </w:p>
    <w:p>
      <w:pPr>
        <w:spacing w:after="120" w:before="120"/>
        <w:jc w:val="center"/>
      </w:pPr>
      <w:r>
        <w:rPr>
          <w:i/>
          <w:iCs/>
          <w:color w:val="6B7280"/>
          <w:sz w:val="24"/>
          <w:szCs w:val="24"/>
        </w:rPr>
        <w:t xml:space="preserve">Da página inicial à análise completa — uma linguagem coerente, profissional e intuitiva para o investidor imobiliário brasileiro.</w:t>
      </w:r>
    </w:p>
    <w:p>
      <w:pPr>
        <w:spacing w:before="1600"/>
      </w:pPr>
      <w:r>
        <w:t xml:space="preserve"/>
      </w:r>
    </w:p>
    <w:p>
      <w:pPr>
        <w:jc w:val="center"/>
      </w:pPr>
      <w:r>
        <w:rPr>
          <w:color w:val="9CA3AF"/>
          <w:spacing w:val="40"/>
          <w:sz w:val="20"/>
          <w:szCs w:val="20"/>
        </w:rPr>
        <w:t xml:space="preserve">Continuação do DealCheck Blueprint — ImóYield</w:t>
      </w:r>
    </w:p>
    <w:p>
      <w:pPr>
        <w:spacing w:after="60" w:before="60"/>
        <w:jc w:val="center"/>
      </w:pPr>
      <w:r>
        <w:rPr>
          <w:color w:val="9CA3AF"/>
          <w:sz w:val="20"/>
          <w:szCs w:val="20"/>
        </w:rPr>
        <w:t xml:space="preserve">Versão 1.0 · Abril 2026</w:t>
      </w:r>
    </w:p>
    <w:p>
      <w:pPr>
        <w:jc w:val="center"/>
      </w:pPr>
      <w:r>
        <w:rPr>
          <w:color w:val="9CA3AF"/>
          <w:sz w:val="20"/>
          <w:szCs w:val="20"/>
        </w:rPr>
        <w:t xml:space="preserve">Preparado para o time de produto e engenharia</w:t>
      </w:r>
    </w:p>
    <w:p>
      <w:pPr>
        <w:pStyle w:val="Heading1"/>
        <w:pageBreakBefore/>
      </w:pPr>
      <w:r>
        <w:t xml:space="preserve">Nota de continuidade</w:t>
      </w:r>
    </w:p>
    <w:p>
      <w:pPr>
        <w:spacing w:after="120" w:before="60" w:line="300"/>
        <w:jc w:val="left"/>
      </w:pPr>
      <w:r>
        <w:t xml:space="preserve">Este documento é o Volume II do plano técnico do ImóYield e continua, no nível de design e experiência, o trabalho iniciado no documento "DealCheck Blueprint — ImóYield (Versão 1.0, Abril 2026)".</w:t>
      </w:r>
    </w:p>
    <w:p>
      <w:pPr>
        <w:spacing w:after="120" w:before="60" w:line="300"/>
        <w:jc w:val="left"/>
      </w:pPr>
      <w:r>
        <w:t xml:space="preserve">Enquanto o Volume I respondeu à pergunta "o que o produto faz e quais campos, cálculos e adaptações brasileiras ele precisa ter", este volume responde a uma pergunta diferente e complementar: como tudo isso deve se parecer, se comportar e ser percebido pelo investidor — para que o ImóYield passe de um MVP funcional a um produto que transmite confiança na primeira visita e eficiência no uso diário.</w:t>
      </w:r>
    </w:p>
    <w:p>
      <w:pPr>
        <w:spacing w:after="120" w:before="60" w:line="300"/>
        <w:jc w:val="left"/>
      </w:pPr>
      <w:r>
        <w:t xml:space="preserve">Os dois volumes não se substituem: o coding team deve usá-los em paralelo. O blueprint funcional define o conteúdo das telas; este plano define a forma, a hierarquia, o tom, o ritmo e os padrões reutilizáveis que fazem o produto se sentir coerente de ponta a ponta.</w:t>
      </w:r>
    </w:p>
    <w:p>
      <w:pPr>
        <w:pBdr>
          <w:bottom w:val="single" w:color="E2E0DA" w:sz="6" w:space="1"/>
        </w:pBdr>
        <w:spacing w:after="200" w:before="80"/>
      </w:pPr>
      <w:r>
        <w:t xml:space="preserv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t xml:space="preserve">Resumo executivo</w:t>
      </w:r>
    </w:p>
    <w:p>
      <w:pPr>
        <w:spacing w:after="200" w:before="120" w:line="320"/>
      </w:pPr>
      <w:r>
        <w:rPr>
          <w:i/>
          <w:iCs/>
          <w:color w:val="6B7280"/>
          <w:sz w:val="24"/>
          <w:szCs w:val="24"/>
        </w:rPr>
        <w:t xml:space="preserve">ImóYield tem todas as peças funcionais de um MVP. Falta um trabalho deliberado de forma, ritmo e voz para transformá-lo num produto que o investidor brasileiro — individual ou agência — enxergue como confiável no primeiro segundo e eficiente no décimo uso.</w:t>
      </w:r>
    </w:p>
    <w:p>
      <w:pPr>
        <w:pStyle w:val="Heading2"/>
        <w:spacing w:after="160" w:before="280"/>
      </w:pPr>
      <w:r>
        <w:t xml:space="preserve">O problema de primeira impressão</w:t>
      </w:r>
    </w:p>
    <w:p>
      <w:pPr>
        <w:spacing w:after="120" w:before="60" w:line="300"/>
        <w:jc w:val="left"/>
      </w:pPr>
      <w:r>
        <w:t xml:space="preserve">O investidor imobiliário brasileiro decide se continua ou desiste de um produto financeiro em menos de dez segundos. Nesse intervalo, ele não lê: ele sente. A tipografia, o espaçamento, a disciplina de cor e a precisão numérica na tela comunicam, em paralelo, se aquele produto foi feito por alguém que entende do mercado ou se é apenas mais uma calculadora disfarçada de SaaS.</w:t>
      </w:r>
    </w:p>
    <w:p>
      <w:pPr>
        <w:spacing w:after="120" w:before="60" w:line="300"/>
        <w:jc w:val="left"/>
      </w:pPr>
      <w:r>
        <w:t xml:space="preserve">O ImóYield hoje já acerta uma intuição importante: a paleta off-white com verde-escuro e os números em monoespaçada dão uma sensação editorial, próxima à de um relatório de corretora séria — e longe dos azuis genéricos de fintech americana. O que falta é consolidar esse instinto em um sistema consistente, aplicá-lo com rigor em todas as páginas, e construir em torno dele uma narrativa clara que fale simultaneamente com duas audiências muito diferentes: o investidor pessoa física que está analisando seu primeiro imóvel e o corretor ou agência que quer usar o ImóYield para apresentar deals a clientes.</w:t>
      </w:r>
    </w:p>
    <w:p>
      <w:pPr>
        <w:pStyle w:val="Heading2"/>
        <w:spacing w:after="160" w:before="280"/>
      </w:pPr>
      <w:r>
        <w:t xml:space="preserve">As três recomendações centrais</w:t>
      </w:r>
    </w:p>
    <w:p>
      <w:pPr>
        <w:spacing w:after="120" w:before="60" w:line="300"/>
        <w:jc w:val="left"/>
      </w:pPr>
      <w:r>
        <w:t xml:space="preserve">Primeiro, consolidar o que já existe num sistema de design explícito e versionado. O produto já tem tokens em globals.css, já escolheu DM Sans, DM Serif e JetBrains Mono, já converge em 4px de raio e num verde-floresta característico. Mas esses tokens precisam ser ampliados com estados semânticos (positivo/negativo/alerta/informação), com uma escala tipográfica formal, com regras para gráficos Recharts e com uma biblioteca de componentes mapeada para shadcn/ui. Sem esse sistema, cada nova página reabre decisões já tomadas e a incoerência visual se instala sem que ninguém perceba.</w:t>
      </w:r>
    </w:p>
    <w:p>
      <w:pPr>
        <w:spacing w:after="120" w:before="60" w:line="300"/>
        <w:jc w:val="left"/>
      </w:pPr>
      <w:r>
        <w:t xml:space="preserve">Segundo, redesenhar a landing page em torno de um hero de dois caminhos. A primeira página precisa falar com investidor pessoa física e com agência ao mesmo tempo, sem diluir nenhum dos dois. A estratégia recomendada é o padrão "dual-path" — um único herói com uma pergunta clara ("Você é investidor individual ou representa uma agência?") e dois CTAs paralelos que conduzem a narrativas ligeiramente distintas no restante da página. Esse padrão, usado por produtos como Notion, Linear e Stripe, resolve o dilema audiência-dupla sem fragmentar o site.</w:t>
      </w:r>
    </w:p>
    <w:p>
      <w:pPr>
        <w:spacing w:after="120" w:before="60" w:line="300"/>
        <w:jc w:val="left"/>
      </w:pPr>
      <w:r>
        <w:t xml:space="preserve">Terceiro, tratar a autenticação como parte do produto e não como página de serviço. No estado atual, a tela de /auth é uma instância do Auth UI do Supabase com cores da marca — ou seja, visualmente coerente, mas sem densidade narrativa. Para um produto em que a confiança é a barreira número um, cada tela antes do primeiro cálculo precisa trabalhar a favor: a tela de login deve mostrar um lateral com prova social, credenciais técnicas do ImóYield ou uma prévia do que o usuário encontrará após entrar. A tela de cadastro é onde a conversão acontece ou morre.</w:t>
      </w:r>
    </w:p>
    <w:p>
      <w:pPr>
        <w:pStyle w:val="Heading2"/>
        <w:spacing w:after="160" w:before="280"/>
      </w:pPr>
      <w:r>
        <w:t xml:space="preserve">O que este documento entrega</w:t>
      </w:r>
    </w:p>
    <w:p>
      <w:pPr>
        <w:spacing w:after="120" w:before="60" w:line="300"/>
        <w:jc w:val="left"/>
      </w:pPr>
      <w:r>
        <w:t xml:space="preserve">Este documento entrega, em onze partes, tudo o que o time de engenharia precisa para executar a nova experiência sem ter que tomar decisões de design no meio do caminho. A Parte I descreve os dois arquétipos de investidor com profundidade suficiente para orientar trade-offs; a Parte II faz uma teardown competitiva para calibrar expectativa de mercado; a Parte III formaliza cinco princípios de design que funcionam como teste-de-fogo em qualquer decisão; a Parte IV é a especificação completa do sistema de design com tokens, escala tipográfica, componentes e regras de gráfico; a Parte V define a arquitetura da informação e a coesão entre páginas; as Partes VI e VII são as especificações detalhadas da landing page e das telas de autenticação; a Parte VIII traz diretrizes específicas para as páginas restantes do produto; a Parte IX é o handoff propriamente dito, com checklist arquivo-por-arquivo; a Parte X organiza o rollout em fases de duas a quatro semanas; e a Parte XI é uma checklist de QA visual, de acessibilidade e de copy para fechar o ciclo.</w:t>
      </w:r>
    </w:p>
    <w:p>
      <w:pPr>
        <w:spacing w:after="120" w:before="60" w:line="300"/>
        <w:jc w:val="left"/>
      </w:pPr>
      <w:r>
        <w:t xml:space="preserve">O objetivo final é que, ao terminar o rollout, um investidor visitando ImóYield pela primeira vez consiga descrever o produto em três palavras: "claro", "sério", "meu". Claro, no sentido de uso intuitivo. Sério, no sentido de institucionalmente confiável. Meu, no sentido de que fala comigo, não com outro mercado ou outro perfil.</w:t>
      </w:r>
    </w:p>
    <w:p>
      <w:pPr>
        <w:pStyle w:val="Heading1"/>
        <w:pageBreakBefore/>
        <w:spacing w:after="200" w:before="360"/>
      </w:pPr>
      <w:r>
        <w:t xml:space="preserve">Parte I · Pesquisa de usuário</w:t>
      </w:r>
    </w:p>
    <w:p>
      <w:pPr>
        <w:spacing w:after="200" w:before="120" w:line="320"/>
      </w:pPr>
      <w:r>
        <w:rPr>
          <w:i/>
          <w:iCs/>
          <w:color w:val="6B7280"/>
          <w:sz w:val="24"/>
          <w:szCs w:val="24"/>
        </w:rPr>
        <w:t xml:space="preserve">O investidor imobiliário brasileiro não é um arquétipo único. Dois perfis compartilham o produto, mas com motivações, atalhos mentais e critérios de confiança diferentes. Ignorar essa tensão é desenhar para ninguém.</w:t>
      </w:r>
    </w:p>
    <w:p>
      <w:pPr>
        <w:pStyle w:val="Heading2"/>
        <w:spacing w:after="160" w:before="280"/>
      </w:pPr>
      <w:r>
        <w:t xml:space="preserve">1.1 O investidor brasileiro em 2026</w:t>
      </w:r>
    </w:p>
    <w:p>
      <w:pPr>
        <w:spacing w:after="120" w:before="60" w:line="300"/>
        <w:jc w:val="left"/>
      </w:pPr>
      <w:r>
        <w:t xml:space="preserve">O contexto macroeconômico de 2026 empurra o investidor brasileiro para o imóvel físico por razões distintas das de cinco anos atrás. A Selic ainda oscila em patamares altos, o CDI paga bem, mas a memória recente do IPCA acima da meta deixou uma camada de desconfiança em relação a renda fixa nominal. Fundos imobiliários sofreram drawdowns pesados em 2022–2024 e, apesar da recuperação, perderam parte do apelo junto ao pequeno investidor que busca previsibilidade e lastro físico. O resultado é que o imóvel voltou a ser visto como ativo racional — mas o investidor que entra hoje é mais analítico do que o da década passada: ele quer métricas comparáveis, quer ver o deal em relação ao CDI e ao IPCA+, quer entender o ITBI antes de assinar e quer simular cenários antes de negociar o preço.</w:t>
      </w:r>
    </w:p>
    <w:p>
      <w:pPr>
        <w:spacing w:after="120" w:before="60" w:line="300"/>
        <w:jc w:val="left"/>
      </w:pPr>
      <w:r>
        <w:t xml:space="preserve">Isso cria uma janela importante para o ImóYield. O produto entra num momento em que a cultura do investidor brasileiro está pronta para uma calculadora séria — o que há cinco anos seria tratado como over-engineering. A linguagem do produto precisa respeitar essa maturidade recém-adquirida: nada de promessas de enriquecimento rápido, nada de gamificação, nada de gradientes chamativos. A estética precisa sinalizar "aqui se faz análise como gente grande" — e a ergonomia precisa garantir que, ao fazer análise como gente grande, não dê trabalho de planilha.</w:t>
      </w:r>
    </w:p>
    <w:p>
      <w:pPr>
        <w:pStyle w:val="Heading2"/>
        <w:spacing w:after="160" w:before="280"/>
      </w:pPr>
      <w:r>
        <w:t xml:space="preserve">1.2 Persona 1 — Marcos, o investidor individual</w:t>
      </w:r>
    </w:p>
    <w:p>
      <w:pPr>
        <w:spacing w:after="120" w:before="60" w:line="300"/>
        <w:jc w:val="left"/>
      </w:pPr>
      <w:r>
        <w:t xml:space="preserve">Marcos tem entre trinta e quarenta e cinco anos, mora em uma capital — São Paulo, Rio, Curitiba, Belo Horizonte, Recife — e tem um CLT ou pró-labore na faixa de R$ 12 mil a R$ 40 mil mensais. Ele já tem algum patrimônio em renda fixa via Tesouro Direto, CDBs e, em muitos casos, um punhado de FIIs. Comprou seu primeiro imóvel residencial para moradia entre 2018 e 2022 e está agora avaliando um segundo — desta vez como investimento. É a primeira vez que ele precisa pensar em um imóvel como ativo, não como lar, e isso o torna simultaneamente inseguro e analítico.</w:t>
      </w:r>
    </w:p>
    <w:p>
      <w:pPr>
        <w:spacing w:after="120" w:before="60" w:line="300"/>
        <w:jc w:val="left"/>
      </w:pPr>
      <w:r>
        <w:t xml:space="preserve">Ele chega ao ImóYield por três caminhos: pesquisa orgânica ("calcular rentabilidade imóvel aluguel"), indicação de influenciadores de finanças pessoais no YouTube e Instagram, ou recomendação de amigos que já fizeram esse caminho antes. Em todos os três canais, ele desconfia. Não desconfia do ImóYield especificamente — desconfia de qualquer calculadora que não mostre claramente de onde vêm os números. A primeira pergunta mental dele, ao abrir o produto, é "isso é só uma planilha disfarçada ou tem alguma inteligência?". A segunda é "posso comparar com o CDI?". A terceira é "posso salvar e voltar depois?".</w:t>
      </w:r>
    </w:p>
    <w:p>
      <w:pPr>
        <w:spacing w:after="120" w:before="60" w:line="300"/>
        <w:jc w:val="left"/>
      </w:pPr>
      <w:r>
        <w:t xml:space="preserve">O tempo que Marcos dedica a uma primeira sessão é curto — entre quatro e oito minutos. Se nesse tempo ele não tiver visto pelo menos um número que o surpreenda (para bem ou para mal), ele sai. O "momento aha" para Marcos é ver o payback de um imóvel que ele já tinha em mente expresso em anos e comparado lado a lado com o CDI composto. A partir desse momento, ele se torna um usuário recorrente e a retenção fica fácil — ele volta toda vez que recebe uma indicação de imóvel, tanto para comprar quanto para descartar.</w:t>
      </w:r>
    </w:p>
    <w:p>
      <w:pPr>
        <w:spacing w:after="120" w:before="60" w:line="300"/>
        <w:jc w:val="left"/>
      </w:pPr>
      <w:r>
        <w:t xml:space="preserve">Implicações de design para Marcos: o produto precisa ter time-to-first-value abaixo de cinco minutos; precisa permitir análise sem login em modo exploratório ou com login frictionless; precisa dar destaque visual ao comparativo com CDI logo na primeira tela de resultado; precisa usar vocabulário que não seja nem imobiliário-técnico demais (ele não sabe o que é DSCR) nem simplificado demais (ele sabe o que é TIR). E precisa respeitar o fato de que ele vai voltar no celular durante a semana para revisar um deal enquanto visita o imóvel fisicamente.</w:t>
      </w:r>
    </w:p>
    <w:p>
      <w:pPr>
        <w:pStyle w:val="Heading2"/>
        <w:spacing w:after="160" w:before="280"/>
      </w:pPr>
      <w:r>
        <w:t xml:space="preserve">1.3 Persona 2 — Patrícia, a corretora e agência</w:t>
      </w:r>
    </w:p>
    <w:p>
      <w:pPr>
        <w:spacing w:after="120" w:before="60" w:line="300"/>
        <w:jc w:val="left"/>
      </w:pPr>
      <w:r>
        <w:t xml:space="preserve">Patrícia tem entre trinta e cinquenta anos, trabalha há mais de cinco anos no mercado — como corretora autônoma, dona de uma imobiliária boutique ou gerente comercial em uma rede maior — e lida diariamente com clientes investidores. Ela representa tanto a corretora individual quanto a agência pequena e média; são personas operacionalmente distintas, mas com a mesma dor: apresentar deals com credibilidade financeira em um mercado em que o cliente desconfia do vendedor por default.</w:t>
      </w:r>
    </w:p>
    <w:p>
      <w:pPr>
        <w:spacing w:after="120" w:before="60" w:line="300"/>
        <w:jc w:val="left"/>
      </w:pPr>
      <w:r>
        <w:t xml:space="preserve">O problema dela é conversão de visitas em propostas. Ela sabe apresentar um imóvel fisicamente, sabe negociar, mas trava quando o cliente pergunta "e a rentabilidade?" — porque a resposta, na maioria das imobiliárias brasileiras em 2026, ainda é uma planilha de Excel com fórmulas travadas pela dona do arquivo ou uma conta de guardanapo. Ela precisa de uma ferramenta que dê a ela aparência de consultor financeiro, não de despachante. E precisa entregar isso em branco nos relatórios — com o logo dela, não com o logo do ImóYield — quando o cliente leva o PDF para casa ou para o cônjuge.</w:t>
      </w:r>
    </w:p>
    <w:p>
      <w:pPr>
        <w:spacing w:after="120" w:before="60" w:line="300"/>
        <w:jc w:val="left"/>
      </w:pPr>
      <w:r>
        <w:t xml:space="preserve">Patrícia tem mais paciência com o produto do que Marcos. Ela vai investir vinte minutos na primeira sessão se perceber que aquele investimento vai reduzir o tempo de cada análise futura. Mas ela é intolerante a dois pontos específicos: primeiro, qualquer campo que ela não saiba preencher imediatamente e que não tenha um default ou uma ajuda inline (ela está com o cliente ao lado); segundo, qualquer relatório com a marca de outro software (ela não pode vender análise com logo alheio).</w:t>
      </w:r>
    </w:p>
    <w:p>
      <w:pPr>
        <w:spacing w:after="120" w:before="60" w:line="300"/>
        <w:jc w:val="left"/>
      </w:pPr>
      <w:r>
        <w:t xml:space="preserve">Implicações de design para Patrícia: todo campo técnico precisa de tooltip com exemplo numérico; precisa haver modo de duplicação de deal para variar rapidamente premissas ("e se a taxa de juros for 2% maior?"); o relatório PDF precisa ter slot de white-label desde o primeiro dia, ainda que só entre no plano pago; a visualização de múltiplos imóveis lado a lado (comparativo) é tão ou mais importante que a análise individual; e a interface deve comunicar, sutilmente, "você está usando uma ferramenta profissional" — não "você está usando um aplicativo de consumidor".</w:t>
      </w:r>
    </w:p>
    <w:p>
      <w:pPr>
        <w:pStyle w:val="Heading2"/>
        <w:spacing w:after="160" w:before="280"/>
      </w:pPr>
      <w:r>
        <w:t xml:space="preserve">1.4 Jobs-to-be-done</w:t>
      </w:r>
    </w:p>
    <w:p>
      <w:pPr>
        <w:spacing w:after="120" w:before="60" w:line="300"/>
        <w:jc w:val="left"/>
      </w:pPr>
      <w:r>
        <w:t xml:space="preserve">Reduzir os dois perfis à uma lista de funcionalidades comuns seria uma simplificação perigosa. É mais útil pensar nos jobs que cada um contrata o ImóYield para executar. Marcos contrata o produto para (a) decidir se vale a pena fazer uma proposta por um imóvel específico e (b) comparar esse imóvel com a alternativa conservadora de manter o dinheiro no CDI. Patrícia contrata para (a) apresentar um imóvel a um cliente com aparência de análise profissional e (b) processar múltiplos deals por semana sem refazer planilhas.</w:t>
      </w:r>
    </w:p>
    <w:p>
      <w:pPr>
        <w:spacing w:after="120" w:before="60" w:line="300"/>
        <w:jc w:val="left"/>
      </w:pPr>
      <w:r>
        <w:t xml:space="preserve">Note que nenhum dos quatro jobs é "ver gráficos bonitos" ou "explorar premissas abstratas". Todos terminam em uma decisão. O design precisa respeitar isso eliminando tudo que não serve a uma decisão — seja de compra, seja de apresentação — e destacando tudo que serve.</w:t>
      </w:r>
    </w:p>
    <w:p>
      <w:pPr>
        <w:pStyle w:val="Heading2"/>
        <w:spacing w:after="160" w:before="280"/>
      </w:pPr>
      <w:r>
        <w:t xml:space="preserve">1.5 Âncoras de confiança no mercado brasileiro</w:t>
      </w:r>
    </w:p>
    <w:p>
      <w:pPr>
        <w:spacing w:after="120" w:before="60" w:line="300"/>
        <w:jc w:val="left"/>
      </w:pPr>
      <w:r>
        <w:t xml:space="preserve">A palavra-chave "confiança" é abstrata demais para guiar decisões de design. Vale concretizar em âncoras específicas que o investidor brasileiro lê como sinal de seriedade. São nove, e o ImóYield precisa carregar pelo menos cinco delas com naturalidade em cada página pública.</w:t>
      </w:r>
    </w:p>
    <w:p>
      <w:pPr>
        <w:spacing w:after="120" w:before="60" w:line="300"/>
        <w:jc w:val="left"/>
      </w:pPr>
      <w:r>
        <w:t xml:space="preserve">A primeira é a precisão numérica: valores monetários formatados com padrão brasileiro (R$ 4.250,00), percentuais com casa decimal consistente (8,4%) e datas no formato local. Qualquer deslize aqui (como ponto separando milhar em vez de vírgula) e o investidor desconfia do software todo. A segunda é a comparabilidade: ver um número isolado é ruído; ver um número ao lado do CDI corrente ou da média de FII é sinal. A terceira é o rastro de fonte: quando o produto afirma "CDI 10,75%", ele precisa, em algum lugar acessível, dizer que a fonte é o BACEN SGS e a data da última atualização. A quarta é a estabilidade tipográfica: números em monoespaçada que não "pulam" de linha quando um dígito muda — isso é uma sutileza enorme de credibilidade financeira. A quinta é a retenção da decisão: salvar, revisitar, editar, duplicar — o investidor precisa sentir que o trabalho dele não se perde. A sexta é o controle de exportação: ele quer um PDF profissional e um link compartilhável para mandar ao cônjuge, ao contador ou ao cliente. A sétima é a transparência de metodologia: uma página simples explicando como TIR e payback são calculados aqui, com fórmulas. A oitava é o respeito à regulação: ITBI, IPTU, IR de aluguel e ganho de capital calculados no padrão brasileiro — qualquer atalho americano queima a credibilidade. E a nona é a estética institucional: ausência de promessas exageradas, ausência de decorações infantis, ausência de CTAs gritantes.</w:t>
      </w:r>
    </w:p>
    <w:p>
      <w:pPr>
        <w:spacing w:after="120" w:before="60" w:line="300"/>
        <w:jc w:val="left"/>
      </w:pPr>
      <w:r>
        <w:t xml:space="preserve">Essas nove âncoras substituem, na prática, qualquer conversa abstrata sobre "fazer o produto parecer mais confiável". Quando um designer ou desenvolvedor estiver em dúvida sobre um elemento, o teste correto é: esse elemento carrega pelo menos uma das nove âncoras? Se não, ele provavelmente está drenando confiança em vez de construí-la.</w:t>
      </w:r>
    </w:p>
    <w:p>
      <w:pPr>
        <w:pStyle w:val="Heading1"/>
        <w:pageBreakBefore/>
        <w:spacing w:after="200" w:before="360"/>
      </w:pPr>
      <w:r>
        <w:t xml:space="preserve">Parte II · Análise competitiva</w:t>
      </w:r>
    </w:p>
    <w:p>
      <w:pPr>
        <w:spacing w:after="200" w:before="120" w:line="320"/>
      </w:pPr>
      <w:r>
        <w:rPr>
          <w:i/>
          <w:iCs/>
          <w:color w:val="6B7280"/>
          <w:sz w:val="24"/>
          <w:szCs w:val="24"/>
        </w:rPr>
        <w:t xml:space="preserve">O ImóYield não compete num vácuo. Há referências americanas consolidadas, players brasileiros adjacentes e uma estética dominante em fintech local que o produto pode abraçar ou contrariar. Conhecê-las não é imitar — é escolher deliberadamente de onde se diferenciar.</w:t>
      </w:r>
    </w:p>
    <w:p>
      <w:pPr>
        <w:pStyle w:val="Heading2"/>
        <w:spacing w:after="160" w:before="280"/>
      </w:pPr>
      <w:r>
        <w:t xml:space="preserve">2.1 DealCheck — a referência funcional que não deve ser copiada esteticamente</w:t>
      </w:r>
    </w:p>
    <w:p>
      <w:pPr>
        <w:spacing w:after="120" w:before="60" w:line="300"/>
        <w:jc w:val="left"/>
      </w:pPr>
      <w:r>
        <w:t xml:space="preserve">DealCheck é, disparadamente, a referência funcional para o ImóYield — o Volume I já explora em profundidade quais campos e quais cálculos fazem sentido importar. No plano estético, porém, DealCheck é uma armadilha: a interface é funcionalíssima mas visualmente datada, com paleta azul-SaaS-genérico, tipografia Open Sans neutra, e uma densidade de tabelas que comunica "software de nicho técnico", não "ferramenta premium de análise". Copiar a estrutura de abas (Summary / Analysis / Projections / Comps / Report) faz sentido; copiar o visual, não.</w:t>
      </w:r>
    </w:p>
    <w:p>
      <w:pPr>
        <w:spacing w:after="120" w:before="60" w:line="300"/>
        <w:jc w:val="left"/>
      </w:pPr>
      <w:r>
        <w:t xml:space="preserve">O aprendizado central do DealCheck para o ImóYield é o conceito de "momento aha instantâneo": o usuário termina o wizard e já cai numa página com todos os indicadores calculados, não numa lista. Essa é a decisão estrutural mais importante a preservar. Onde o DealCheck falha — e onde há espaço de diferenciação — é no cuidado tipográfico, na hierarquia de densidade (ele trata todos os números como se tivessem a mesma importância) e na ausência de narrativa. O ImóYield pode manter a eficiência do DealCheck e, por cima dela, colocar uma camada editorial que comunique gravidade e propósito.</w:t>
      </w:r>
    </w:p>
    <w:p>
      <w:pPr>
        <w:pStyle w:val="Heading2"/>
        <w:spacing w:after="160" w:before="280"/>
      </w:pPr>
      <w:r>
        <w:t xml:space="preserve">2.2 Stessa — o pós-compra, não o pré-compra</w:t>
      </w:r>
    </w:p>
    <w:p>
      <w:pPr>
        <w:spacing w:after="120" w:before="60" w:line="300"/>
        <w:jc w:val="left"/>
      </w:pPr>
      <w:r>
        <w:t xml:space="preserve">Stessa atende a mesma base de investidores americanos em um momento diferente do ciclo: depois que a compra foi feita, para gestão de portfólio, contabilidade de aluguéis e reporting fiscal. A estética do Stessa é mais limpa que a do DealCheck, com bordas mais suaves e uso moderado de verde (não por acaso — verde, no contexto financeiro, lê-se como positivo sem gritar como azul corporativo). Vale observar que Stessa constrói confiança através de dashboards de portfólio consolidados e relatórios prontos para imposto de renda, o que sinaliza um roadmap possível para o ImóYield em versões futuras: o produto começa no pré-compra (onde está hoje) e, ao longo de 2026–2027, pode se estender para o pós-compra, se tornando um companion contínuo para o investidor.</w:t>
      </w:r>
    </w:p>
    <w:p>
      <w:pPr>
        <w:spacing w:after="120" w:before="60" w:line="300"/>
        <w:jc w:val="left"/>
      </w:pPr>
      <w:r>
        <w:t xml:space="preserve">No plano visual, vale do Stessa a ideia de usar verde como cor primária funcional (não apenas ilustrativa), a disciplina de manter apenas um azul ou verde como cor de ação, e a ausência de gradientes decorativos. O ImóYield já segue esse caminho — o trabalho é formalizá-lo como regra de sistema.</w:t>
      </w:r>
    </w:p>
    <w:p>
      <w:pPr>
        <w:pStyle w:val="Heading2"/>
        <w:spacing w:after="160" w:before="280"/>
      </w:pPr>
      <w:r>
        <w:t xml:space="preserve">2.3 Mashvisor e Roofstock — o risco do visual "marketplace"</w:t>
      </w:r>
    </w:p>
    <w:p>
      <w:pPr>
        <w:spacing w:after="120" w:before="60" w:line="300"/>
        <w:jc w:val="left"/>
      </w:pPr>
      <w:r>
        <w:t xml:space="preserve">Mashvisor e Roofstock são outras duas referências frequentemente citadas no segmento. Ambas cometem um erro estético relevante para evitar: tratam a interface como marketplace de imóveis em vez de ferramenta de análise. O resultado são homepages cheias de cards de imóveis em destaque, fotos grandes e paleta quente — o que funciona quando você está vendendo imóveis, mas confunde quando seu produto principal é análise e o imóvel é input, não output.</w:t>
      </w:r>
    </w:p>
    <w:p>
      <w:pPr>
        <w:spacing w:after="120" w:before="60" w:line="300"/>
        <w:jc w:val="left"/>
      </w:pPr>
      <w:r>
        <w:t xml:space="preserve">A lição para o ImóYield: manter a landing page focada em análise, métrica e decisão. Fotos de imóveis podem aparecer contextualmente (em uma análise salva, por exemplo), mas nunca dominam a interface. O imóvel é o objeto; o valor do produto está no que você faz com ele.</w:t>
      </w:r>
    </w:p>
    <w:p>
      <w:pPr>
        <w:pStyle w:val="Heading2"/>
        <w:spacing w:after="160" w:before="280"/>
      </w:pPr>
      <w:r>
        <w:t xml:space="preserve">2.4 Players brasileiros adjacentes</w:t>
      </w:r>
    </w:p>
    <w:p>
      <w:pPr>
        <w:spacing w:after="120" w:before="60" w:line="300"/>
        <w:jc w:val="left"/>
      </w:pPr>
      <w:r>
        <w:t xml:space="preserve">Não há, em 2026, concorrente brasileiro direto do ImóYield com escala significativa. Há players adjacentes cuja estética vale observar: Quinto Andar tornou-se referência em produto residencial com tipografia cuidada e fotografia de interiores padrão editorial; Loft explora um visual mais urbano e tipográfico, com destaque para número e preço. Ambos são do lado da transação, não da análise — mas estabeleceram, no mercado brasileiro, um padrão de cuidado visual que o ImóYield pode carregar para o lado do investidor.</w:t>
      </w:r>
    </w:p>
    <w:p>
      <w:pPr>
        <w:spacing w:after="120" w:before="60" w:line="300"/>
        <w:jc w:val="left"/>
      </w:pPr>
      <w:r>
        <w:t xml:space="preserve">No lado financeiro, XP Investimentos e Nubank definem, para o investidor brasileiro, o que "ferramenta de investimento séria" deve parecer. XP é mais conservador, com paleta amarelo-preto-cinza e tipografia Inter/Open Sans; Nubank é mais confiante, com roxo saturado e ilustrações custom. Nenhum dos dois mundos é exatamente onde o ImóYield quer estar: o ImóYield é, por sua essência editorial já esboçada, mais próximo de uma publicação de pesquisa (pense em The Economist, Stratechery, Bloomberg Green Papers) do que de um app de banco. Abraçar essa posição é o diferencial.</w:t>
      </w:r>
    </w:p>
    <w:p>
      <w:pPr>
        <w:pStyle w:val="Heading2"/>
        <w:spacing w:after="160" w:before="280"/>
      </w:pPr>
      <w:r>
        <w:t xml:space="preserve">2.5 A oportunidade de posicionamento</w:t>
      </w:r>
    </w:p>
    <w:p>
      <w:pPr>
        <w:spacing w:after="120" w:before="60" w:line="300"/>
        <w:jc w:val="left"/>
      </w:pPr>
      <w:r>
        <w:t xml:space="preserve">Desenhando o mapa competitivo em dois eixos — horizontal entre "consumer app leve" e "relatório institucional", vertical entre "análise" e "transação" — há um quadrante superior-esquerdo praticamente vazio: análise com cara de relatório institucional, em português, adaptado à tributação brasileira. Esse é o espaço do ImóYield. Nenhum player americano cobre o Brasil; nenhum player brasileiro cobre análise de investimento com esse cuidado estético; nenhuma planilha do mercado oferece a ergonomia de um produto digital. O ImóYield pode ocupar esse espaço sem briga direta, desde que mantenha a disciplina estética e a profundidade funcional.</w:t>
      </w:r>
    </w:p>
    <w:p>
      <w:pPr>
        <w:pStyle w:val="Heading1"/>
        <w:pageBreakBefore/>
        <w:spacing w:after="200" w:before="360"/>
      </w:pPr>
      <w:r>
        <w:t xml:space="preserve">Parte III · Princípios de design</w:t>
      </w:r>
    </w:p>
    <w:p>
      <w:pPr>
        <w:spacing w:after="200" w:before="120" w:line="320"/>
      </w:pPr>
      <w:r>
        <w:rPr>
          <w:i/>
          <w:iCs/>
          <w:color w:val="6B7280"/>
          <w:sz w:val="24"/>
          <w:szCs w:val="24"/>
        </w:rPr>
        <w:t xml:space="preserve">Cinco princípios que funcionam como critério de decisão quando o sistema de design não for suficiente. Quando houver tensão entre duas opções, a que atender mais princípios vence.</w:t>
      </w:r>
    </w:p>
    <w:p>
      <w:pPr>
        <w:pStyle w:val="Heading2"/>
        <w:spacing w:after="160" w:before="280"/>
      </w:pPr>
      <w:r>
        <w:t xml:space="preserve">3.1 Precisão editorial antes de ornamentação</w:t>
      </w:r>
    </w:p>
    <w:p>
      <w:pPr>
        <w:spacing w:after="120" w:before="60" w:line="300"/>
        <w:jc w:val="left"/>
      </w:pPr>
      <w:r>
        <w:t xml:space="preserve">O ImóYield deve se parecer com uma publicação de pesquisa — não com um aplicativo de banco nem com um dashboard SaaS genérico. Isso significa disciplina tipográfica, monoespaçada para todos os números, itálico serifado para destacar conceitos (não palavras decorativas), contraste forte entre texto principal e secundário, e respiração generosa nas laterais. Quando em dúvida entre adicionar um elemento decorativo ou remover um elemento existente, remova. A autoridade vem da economia visual, não do acúmulo.</w:t>
      </w:r>
    </w:p>
    <w:p>
      <w:pPr>
        <w:pStyle w:val="Heading2"/>
        <w:spacing w:after="160" w:before="280"/>
      </w:pPr>
      <w:r>
        <w:t xml:space="preserve">3.2 Número como protagonista</w:t>
      </w:r>
    </w:p>
    <w:p>
      <w:pPr>
        <w:spacing w:after="120" w:before="60" w:line="300"/>
        <w:jc w:val="left"/>
      </w:pPr>
      <w:r>
        <w:t xml:space="preserve">Em um produto de análise de investimento, o número é a entidade mais importante da tela — mais importante que o título, o botão ou a ilustração. Todo número relevante deve ser renderizado em monoespaçada (JetBrains Mono), tamanho proporcional à sua importância, e sempre acompanhado de contexto imediato (unidade, período, benchmark). Um número sem contexto é ruído; um número com benchmark é sinal. Nenhum número mostrado ao usuário deve aparecer isolado de seu significado.</w:t>
      </w:r>
    </w:p>
    <w:p>
      <w:pPr>
        <w:pStyle w:val="Heading2"/>
        <w:spacing w:after="160" w:before="280"/>
      </w:pPr>
      <w:r>
        <w:t xml:space="preserve">3.3 Dois caminhos, um produto</w:t>
      </w:r>
    </w:p>
    <w:p>
      <w:pPr>
        <w:spacing w:after="120" w:before="60" w:line="300"/>
        <w:jc w:val="left"/>
      </w:pPr>
      <w:r>
        <w:t xml:space="preserve">O ImóYield atende duas personas com gravidades distintas (Marcos e Patrícia), mas é um só produto. A landing page deve ter dois caminhos paralelos; o produto interno, uma só interface com pequenas adaptações contextuais. Evitar duas marcas, dois planos visuais, duas vozes. A coerência é mais importante do que a personalização — um investidor individual que vê pistas da audiência profissional percebe "este produto é usado por gente séria"; um corretor que vê pistas da audiência individual percebe "este produto é aprovado pelos meus próprios clientes". A sobreposição é uma feature, não um bug.</w:t>
      </w:r>
    </w:p>
    <w:p>
      <w:pPr>
        <w:pStyle w:val="Heading2"/>
        <w:spacing w:after="160" w:before="280"/>
      </w:pPr>
      <w:r>
        <w:t xml:space="preserve">3.4 Cada clique deve retornar um sinal</w:t>
      </w:r>
    </w:p>
    <w:p>
      <w:pPr>
        <w:spacing w:after="120" w:before="60" w:line="300"/>
        <w:jc w:val="left"/>
      </w:pPr>
      <w:r>
        <w:t xml:space="preserve">O custo de um clique desperdiçado em um produto de análise é alto — o usuário veio tomar uma decisão e cada interação sem retorno erode a confiança na ferramenta. Toda ação relevante deve produzir feedback imediato e visível: salvar um deal mostra confirmação; editar um campo numérico recalcula a métrica dependente em tempo real; clicar em um número expõe seu cálculo. Loading states com esqueletos, nunca com spinners vazios. Estados vazios com próximo passo claro, nunca com ilustração sem direção.</w:t>
      </w:r>
    </w:p>
    <w:p>
      <w:pPr>
        <w:pStyle w:val="Heading2"/>
        <w:spacing w:after="160" w:before="280"/>
      </w:pPr>
      <w:r>
        <w:t xml:space="preserve">3.5 Confiança se prova, não se afirma</w:t>
      </w:r>
    </w:p>
    <w:p>
      <w:pPr>
        <w:spacing w:after="120" w:before="60" w:line="300"/>
        <w:jc w:val="left"/>
      </w:pPr>
      <w:r>
        <w:t xml:space="preserve">O pior tipo de interface em um produto financeiro é aquela que tenta afirmar confiança — selos de "seguro", frases como "você pode confiar em nós", ícones de cadeado espalhados. Investidores brasileiros em 2026 leem isso como sinal de insegurança, não de segurança. Confiança se prova mostrando a fonte do CDI, a metodologia dos cálculos, a data da última atualização dos benchmarks, as iniciais do fundador no rodapé do relatório, o número de deals analisados no mês anterior. São detalhes pequenos e cumulativos — uma rede de pequenos sinais, não um grande anúncio.</w:t>
      </w:r>
    </w:p>
    <w:p>
      <w:pPr>
        <w:pStyle w:val="Heading1"/>
        <w:pageBreakBefore/>
        <w:spacing w:after="200" w:before="360"/>
      </w:pPr>
      <w:r>
        <w:t xml:space="preserve">Parte IV · Sistema de design</w:t>
      </w:r>
    </w:p>
    <w:p>
      <w:pPr>
        <w:spacing w:after="200" w:before="120" w:line="320"/>
      </w:pPr>
      <w:r>
        <w:rPr>
          <w:i/>
          <w:iCs/>
          <w:color w:val="6B7280"/>
          <w:sz w:val="24"/>
          <w:szCs w:val="24"/>
        </w:rPr>
        <w:t xml:space="preserve">A especificação completa do sistema: tokens, tipografia, espaçamento, componentes, gráficos, acessibilidade. O dev team deve poder abrir qualquer seção aqui e ter resposta imediata sem consultar design de novo.</w:t>
      </w:r>
    </w:p>
    <w:p>
      <w:pPr>
        <w:pStyle w:val="Heading2"/>
        <w:spacing w:after="160" w:before="280"/>
      </w:pPr>
      <w:r>
        <w:t xml:space="preserve">4.1 Paleta de cores</w:t>
      </w:r>
    </w:p>
    <w:p>
      <w:pPr>
        <w:spacing w:after="120" w:before="60" w:line="300"/>
        <w:jc w:val="left"/>
      </w:pPr>
      <w:r>
        <w:t xml:space="preserve">O ImóYield já tem uma paleta coerente definida em globals.css. A única mudança estrutural necessária é formalizar quatro famílias de cor — neutras, marca, semânticas e gráficas — e explicitar em qual situação cada uma se aplica. As cores neutras são o chão: fundo, cartão, borda, texto. A cor de marca (verde-floresta) é usada com parcimônia, exclusivamente em ações primárias, indicadores de estado ativo e destaques editoriais (itálico serifado em títulos). As cores semânticas são as quatro cores universais de feedback: sucesso/positivo, alerta, erro/negativo e informação — ainda não formalizadas no produto. As cores gráficas são derivadas da marca e usadas apenas em Recharts.</w:t>
      </w:r>
    </w:p>
    <w:p>
      <w:pPr>
        <w:spacing w:after="40" w:before="120"/>
      </w:pPr>
      <w:r>
        <w:rPr>
          <w:b/>
          <w:bCs/>
          <w:color w:val="4A7C59"/>
          <w:spacing w:val="40"/>
          <w:sz w:val="16"/>
          <w:szCs w:val="16"/>
        </w:rPr>
        <w:t xml:space="preserve">TOKENS — NEUTRAS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Token</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Hex</w:t>
            </w:r>
          </w:p>
        </w:tc>
        <w:tc>
          <w:tcPr>
            <w:tcW w:type="dxa" w:w="1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w:t>
            </w:r>
          </w:p>
        </w:tc>
        <w:tc>
          <w:tcPr>
            <w:tcW w:type="dxa" w:w="45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Observação</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--background</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#F8F7F4</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Fundo base do app</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Off-white quente. Nunca use #FFFFFF puro — quebra o tom editorial.</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--card</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#FAFAF8</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Cartões, painéis, sidebar</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Um pouco mais claro que o fundo para criar profundidade sem sombra.</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--foreground</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#1C2B20</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Texto principal</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Verde-preto, não preto puro. Suaviza e reforça a identidade.</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--muted-foreground</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#9CA3AF</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Texto auxiliar, labels</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Use com critério — textos importantes em INK.</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--secondary-foreground</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#6B7280</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Texto secundário em parágrafos</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Para descrições longas e metadados.</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--border</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#E2E0DA</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Bordas, separadores</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Sempre 1px. Nunca sombras para separar blocos.</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--muted</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#F0EFEB</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Background de input e bloco neutro</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Fill de input, chips e pill-tags.</w:t>
            </w:r>
          </w:p>
        </w:tc>
      </w:tr>
    </w:tbl>
    <w:p>
      <w:pPr>
        <w:spacing w:after="40" w:before="120"/>
      </w:pPr>
      <w:r>
        <w:rPr>
          <w:b/>
          <w:bCs/>
          <w:color w:val="4A7C59"/>
          <w:spacing w:val="40"/>
          <w:sz w:val="16"/>
          <w:szCs w:val="16"/>
        </w:rPr>
        <w:t xml:space="preserve">TOKENS —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Token</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Hex</w:t>
            </w:r>
          </w:p>
        </w:tc>
        <w:tc>
          <w:tcPr>
            <w:tcW w:type="dxa" w:w="1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w:t>
            </w:r>
          </w:p>
        </w:tc>
        <w:tc>
          <w:tcPr>
            <w:tcW w:type="dxa" w:w="45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Observação</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--brand</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#4A7C59</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Verde-floresta · ação primária</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CTA, estado ativo, foco, highlight serifado.</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--brand-muted</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#3D6B4F</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Hover e pressed do primário</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Ligeiramente mais escuro — sensação tátil.</w:t>
            </w:r>
          </w:p>
        </w:tc>
      </w:tr>
      <w:tr>
        <w:trPr>
          <w:tblHeader w:val="false"/>
        </w:trPr>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--brand-light</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#EBF3EE</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Background de destaque suave</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Chip "beta", sucesso sutil, highlight de linha.</w:t>
            </w:r>
          </w:p>
        </w:tc>
      </w:tr>
    </w:tbl>
    <w:p>
      <w:pPr>
        <w:spacing w:after="40" w:before="120"/>
      </w:pPr>
      <w:r>
        <w:rPr>
          <w:b/>
          <w:bCs/>
          <w:color w:val="4A7C59"/>
          <w:spacing w:val="40"/>
          <w:sz w:val="16"/>
          <w:szCs w:val="16"/>
        </w:rPr>
        <w:t xml:space="preserve">TOKENS — SEMÂNTICAS (A ADICIONAR)</w:t>
      </w:r>
    </w:p>
    <w:p>
      <w:pPr>
        <w:spacing w:after="120" w:before="60" w:line="300"/>
        <w:jc w:val="left"/>
      </w:pPr>
      <w:r>
        <w:t xml:space="preserve">Quatro famílias semânticas precisam ser adicionadas. Cada uma com três variações (forte / médio / claro) para cobrir texto, borda e fundo. São cores deliberadamente dessaturadas para não quebrar o tom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rPr>
          <w:tblHeader/>
        </w:trPr>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Família</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Forte</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Médio</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Claro</w:t>
            </w:r>
          </w:p>
        </w:tc>
        <w:tc>
          <w:tcPr>
            <w:tcW w:type="dxa" w:w="29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Positivo</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#2F855A</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#4A7C59</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#EBF3EE</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ROI positivo, métrica acima do benchmark, sucesso.</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Alerta</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#B45309</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#D97706</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#FEF3C7</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Métrica no limite, campos a revisar, aviso.</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Negativo</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#B91C1C</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#DC2626</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#FEE2E2</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Fluxo de caixa negativo, ROI abaixo do CDI, erro.</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Informação</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#1E40AF</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#3B82F6</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#DBEAFE</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Tooltip, nota metodológica, link.</w:t>
            </w:r>
          </w:p>
        </w:tc>
      </w:tr>
    </w:tbl>
    <w:p>
      <w:pPr>
        <w:spacing w:after="120" w:before="60" w:line="300"/>
        <w:jc w:val="left"/>
      </w:pPr>
      <w:r>
        <w:t xml:space="preserve">Nota importante: positivo e marca são cores distintas. Marca é identidade (botões, estado ativo, decoração editorial). Positivo é semântica (retorno acima do benchmark, confirmação). A tentação de usar marca para indicar "positivo" em gráficos é alta e deve ser resistida — positivo em gráfico pede saturação maior que a marca suporta confortavelmente.</w:t>
      </w:r>
    </w:p>
    <w:p>
      <w:pPr>
        <w:spacing w:after="40" w:before="120"/>
      </w:pPr>
      <w:r>
        <w:rPr>
          <w:b/>
          <w:bCs/>
          <w:color w:val="4A7C59"/>
          <w:spacing w:val="40"/>
          <w:sz w:val="16"/>
          <w:szCs w:val="16"/>
        </w:rPr>
        <w:t xml:space="preserve">TOKENS — GRÁFICOS (RECHARTS)</w:t>
      </w:r>
    </w:p>
    <w:p>
      <w:pPr>
        <w:spacing w:after="120" w:before="60" w:line="300"/>
        <w:jc w:val="left"/>
      </w:pPr>
      <w:r>
        <w:t xml:space="preserve">Cinco cores para todas as visualizações, na ordem. Se um gráfico precisar de mais que cinco séries, o design está errado — agrupe as séries em categorias.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760"/>
      </w:tblGrid>
      <w:tr>
        <w:trPr>
          <w:tblHeader/>
        </w:trPr>
        <w:tc>
          <w:tcPr>
            <w:tcW w:type="dxa" w:w="14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Ordem</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Token</w:t>
            </w:r>
          </w:p>
        </w:tc>
        <w:tc>
          <w:tcPr>
            <w:tcW w:type="dxa" w:w="2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Hex</w:t>
            </w:r>
          </w:p>
        </w:tc>
        <w:tc>
          <w:tcPr>
            <w:tcW w:type="dxa" w:w="47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 típico</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--chart-1</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#4A7C59</w:t>
            </w:r>
          </w:p>
        </w:tc>
        <w:tc>
          <w:tcPr>
            <w:tcW w:type="dxa" w:w="47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Série principal (ex: fluxo de caixa do deal)</w:t>
            </w:r>
          </w:p>
        </w:tc>
      </w:tr>
      <w:tr>
        <w:trPr>
          <w:tblHeader w:val="false"/>
        </w:trPr>
        <w:tc>
          <w:tcPr>
            <w:tcW w:type="dxa" w:w="1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2</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--chart-2</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#3D6B4F</w:t>
            </w:r>
          </w:p>
        </w:tc>
        <w:tc>
          <w:tcPr>
            <w:tcW w:type="dxa" w:w="47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Série de contraste (ex: CDI composto)</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3</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--chart-3</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#6B7280</w:t>
            </w:r>
          </w:p>
        </w:tc>
        <w:tc>
          <w:tcPr>
            <w:tcW w:type="dxa" w:w="47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Série neutra (ex: dívida restante)</w:t>
            </w:r>
          </w:p>
        </w:tc>
      </w:tr>
      <w:tr>
        <w:trPr>
          <w:tblHeader w:val="false"/>
        </w:trPr>
        <w:tc>
          <w:tcPr>
            <w:tcW w:type="dxa" w:w="1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--chart-4</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#9CA3AF</w:t>
            </w:r>
          </w:p>
        </w:tc>
        <w:tc>
          <w:tcPr>
            <w:tcW w:type="dxa" w:w="47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Série auxiliar (ex: IPCA)</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5</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--chart-5</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#D0CEC8</w:t>
            </w:r>
          </w:p>
        </w:tc>
        <w:tc>
          <w:tcPr>
            <w:tcW w:type="dxa" w:w="47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Série de fundo (ex: projeção passada)</w:t>
            </w:r>
          </w:p>
        </w:tc>
      </w:tr>
    </w:tbl>
    <w:p>
      <w:pPr>
        <w:pStyle w:val="Heading2"/>
        <w:spacing w:after="160" w:before="280"/>
      </w:pPr>
      <w:r>
        <w:t xml:space="preserve">4.2 Tipografia</w:t>
      </w:r>
    </w:p>
    <w:p>
      <w:pPr>
        <w:spacing w:after="120" w:before="60" w:line="300"/>
        <w:jc w:val="left"/>
      </w:pPr>
      <w:r>
        <w:t xml:space="preserve">Três famílias, cada uma com papel específico e exclusivo. Misturar papéis é um dos erros mais comuns e custosos — dá aquela sensação de "algo está estranho" sem que o usuário consiga apontar o quê.</w:t>
      </w:r>
    </w:p>
    <w:p>
      <w:pPr>
        <w:spacing w:after="120" w:before="60" w:line="300"/>
        <w:jc w:val="left"/>
      </w:pPr>
      <w:r>
        <w:t xml:space="preserve">DM Sans é a fonte de corpo: textos, labels, parágrafos, descrições, copy de interface em geral. Ela tem as curvas neutras necessárias para longa leitura, mas personalidade suficiente para não ficar genérica. É a voz calma do produto.</w:t>
      </w:r>
    </w:p>
    <w:p>
      <w:pPr>
        <w:spacing w:after="120" w:before="60" w:line="300"/>
        <w:jc w:val="left"/>
      </w:pPr>
      <w:r>
        <w:t xml:space="preserve">DM Serif Display aparece em itálico e exclusivamente em momentos editoriais: palavras destacadas dentro de títulos grandes (por exemplo "Teu Calculador de Investimento Imobiliário" com a segunda metade em itálico serifado), aspas de depoimentos, nomes de publicações citadas. Nunca em parágrafos corridos, nunca em botões, nunca em labels. É o tempero — deve aparecer menos de uma vez por tela cheia.</w:t>
      </w:r>
    </w:p>
    <w:p>
      <w:pPr>
        <w:spacing w:after="120" w:before="60" w:line="300"/>
        <w:jc w:val="left"/>
      </w:pPr>
      <w:r>
        <w:t xml:space="preserve">JetBrains Mono é a fonte de todos os números sem exceção: valores monetários, percentuais, datas, códigos de referência, IDs, benchmarks. Ela garante que dígitos tenham largura fixa, o que impede o "pulo" visual quando um número muda e reforça o ethos de rigor financeiro. Também é usada em chips pequenos de metadados (datas, categorias) para consistência.</w:t>
      </w:r>
    </w:p>
    <w:p>
      <w:pPr>
        <w:spacing w:after="40" w:before="120"/>
      </w:pPr>
      <w:r>
        <w:rPr>
          <w:b/>
          <w:bCs/>
          <w:color w:val="4A7C59"/>
          <w:spacing w:val="40"/>
          <w:sz w:val="16"/>
          <w:szCs w:val="16"/>
        </w:rPr>
        <w:t xml:space="preserve">ESCALA TIPOGRÁFICA (MOBILE-FIRST, REM)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600"/>
        <w:gridCol w:w="2960"/>
      </w:tblGrid>
      <w:tr>
        <w:trPr>
          <w:tblHeader/>
        </w:trPr>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Nome</w:t>
            </w:r>
          </w:p>
        </w:tc>
        <w:tc>
          <w:tcPr>
            <w:tcW w:type="dxa" w:w="1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Tamanho</w:t>
            </w:r>
          </w:p>
        </w:tc>
        <w:tc>
          <w:tcPr>
            <w:tcW w:type="dxa" w:w="1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Linha</w:t>
            </w:r>
          </w:p>
        </w:tc>
        <w:tc>
          <w:tcPr>
            <w:tcW w:type="dxa" w:w="1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Peso</w:t>
            </w:r>
          </w:p>
        </w:tc>
        <w:tc>
          <w:tcPr>
            <w:tcW w:type="dxa" w:w="29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display-xl</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56 / 3.5rem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1.05</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700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Hero principal, landing page</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display-lg</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44 / 2.75rem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1.1</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700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Seções de landing, títulos de relatório</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display-md</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32 / 2rem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1.15</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700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H1 de páginas internas</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heading-lg</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24 / 1.5rem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1.25</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600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H2 de seção</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heading-md</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20 / 1.25rem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1.3</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600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H3, títulos de card</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body-lg</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18 / 1.125rem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1.55</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Lead paragraphs, intros</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body-md</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16 / 1rem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1.6</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400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Texto padrão</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body-sm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14 / 0.875rem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1.5</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Metadados, descrições secundárias</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label</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12 / 0.75rem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1.3</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600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Labels de input, eyebrows (uppercase)</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caption</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11 / 0.6875rem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1.3</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500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Legendas em gráficos, footnotes</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mono-xl</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40 / 2.5rem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700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KPI hero (ex: "8,4%")</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mono-lg</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28 / 1.75rem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700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KPI de card</w:t>
            </w:r>
          </w:p>
        </w:tc>
      </w:tr>
      <w:tr>
        <w:trPr>
          <w:tblHeader w:val="false"/>
        </w:trPr>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mono-md</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16 / 1rem</w:t>
            </w:r>
          </w:p>
        </w:tc>
        <w:tc>
          <w:tcPr>
            <w:tcW w:type="dxa" w:w="1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1.3</w:t>
            </w:r>
          </w:p>
        </w:tc>
        <w:tc>
          <w:tcPr>
            <w:tcW w:type="dxa" w:w="1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500</w:t>
            </w:r>
          </w:p>
        </w:tc>
        <w:tc>
          <w:tcPr>
            <w:tcW w:type="dxa" w:w="29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Número inline em tabela</w:t>
            </w:r>
          </w:p>
        </w:tc>
      </w:tr>
      <w:tr>
        <w:trPr>
          <w:tblHeader w:val="false"/>
        </w:trPr>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mono-sm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13 / 0.8125rem</w:t>
            </w:r>
          </w:p>
        </w:tc>
        <w:tc>
          <w:tcPr>
            <w:tcW w:type="dxa" w:w="1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1.3</w:t>
            </w:r>
          </w:p>
        </w:tc>
        <w:tc>
          <w:tcPr>
            <w:tcW w:type="dxa" w:w="16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500</w:t>
            </w:r>
          </w:p>
        </w:tc>
        <w:tc>
          <w:tcPr>
            <w:tcW w:type="dxa" w:w="29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Metadados monoespaçados</w:t>
            </w:r>
          </w:p>
        </w:tc>
      </w:tr>
    </w:tbl>
    <w:p>
      <w:pPr>
        <w:spacing w:after="120" w:before="60" w:line="300"/>
        <w:jc w:val="left"/>
      </w:pPr>
      <w:r>
        <w:t xml:space="preserve">Atenção ao eyebrow: os textos em letras maiúsculas pequenas usados no produto atual ("MERCADO BRASILEIRO", "YIELD BRUTO") funcionam muito bem e devem ser preservados. Eles usam letter-spacing generoso (0.12em) e peso 600. Nunca use eyebrow em textos longos — máximo três palavras. É sinalização, não conteúdo.</w:t>
      </w:r>
    </w:p>
    <w:p>
      <w:pPr>
        <w:pStyle w:val="Heading2"/>
        <w:spacing w:after="160" w:before="280"/>
      </w:pPr>
      <w:r>
        <w:t xml:space="preserve">4.3 Espaçamento, grid e geometria</w:t>
      </w:r>
    </w:p>
    <w:p>
      <w:pPr>
        <w:spacing w:after="120" w:before="60" w:line="300"/>
        <w:jc w:val="left"/>
      </w:pPr>
      <w:r>
        <w:t xml:space="preserve">O sistema de espaçamento segue a escala de 4 pixels do Tailwind, mas com uma escala semântica recomendada por cima. O sistema de grid é simples: máximo de 1120px de conteúdo (equivalente a max-w-5xl do Tailwind, já usado), com colunas de 12 unidades em desktop e fluido em mobile. Gutters de 24px em desktop, 16px em mobile. Para páginas de relatório (landing e shared report), usa-se 5xl = 1024px–1120px; para o dashboard e o wizard internos, usa-se 6xl = 1152px–1280px para acomodar tabelas mais largas.</w:t>
      </w:r>
    </w:p>
    <w:p>
      <w:pPr>
        <w:spacing w:after="120" w:before="60" w:line="300"/>
        <w:jc w:val="left"/>
      </w:pPr>
      <w:r>
        <w:t xml:space="preserve">Raio de borda: 4px como padrão (já adotado no produto). A decisão de manter raios baixos é deliberada — raios altos (12px, 16px) leem como "consumer app", raios baixos (2px–6px) leem como "relatório institucional". Manter 4px universal, com uma exceção: elementos de foco (ring) podem ter raio 2px para se distinguirem.</w:t>
      </w:r>
    </w:p>
    <w:p>
      <w:pPr>
        <w:spacing w:after="120" w:before="60" w:line="300"/>
        <w:jc w:val="left"/>
      </w:pPr>
      <w:r>
        <w:t xml:space="preserve">Sombras: usar com extrema parcimônia. Em 80% dos casos, separação visual deve ser resolvida com 1px de borda em #E2E0DA, não com box-shadow. Sombras só são aceitáveis em dois contextos: (1) dropdowns e popovers, onde flutuam sobre o conteúdo, e precisam de shadow-lg do Tailwind; (2) modais em desktop, onde uma shadow-xl ajuda a destacar sobre o backdrop. Cards de conteúdo nunca têm sombra.</w:t>
      </w:r>
    </w:p>
    <w:p>
      <w:pPr>
        <w:pStyle w:val="Heading2"/>
        <w:spacing w:after="160" w:before="280"/>
      </w:pPr>
      <w:r>
        <w:t xml:space="preserve">4.4 Iconografia</w:t>
      </w:r>
    </w:p>
    <w:p>
      <w:pPr>
        <w:spacing w:after="120" w:before="60" w:line="300"/>
        <w:jc w:val="left"/>
      </w:pPr>
      <w:r>
        <w:t xml:space="preserve">Lucide é a biblioteca de ícones do produto (já adotada via lucide-react). Três regras de uso: tamanho padrão 16px em controles compactos, 20px em controles normais e 24px em seções de destaque (nunca menor que 13px nem maior que 32px); traço padrão 1.75 (levemente mais fino que o default 2, por afinidade com a elegância editorial); cor herdada do texto por default e brand verde quando indica ação. Ícones nunca aparecem soltos sem label — a exceção é o botão de logout na TopNav, onde o contexto é universal. Para estados vazios, usar ilustrações tipográficas ou ícones grandes outlined em #D0CEC8 — nunca ilustrações cartoon.</w:t>
      </w:r>
    </w:p>
    <w:p>
      <w:pPr>
        <w:pStyle w:val="Heading2"/>
        <w:spacing w:after="160" w:before="280"/>
      </w:pPr>
      <w:r>
        <w:t xml:space="preserve">4.5 Movimento e micro-interações</w:t>
      </w:r>
    </w:p>
    <w:p>
      <w:pPr>
        <w:spacing w:after="120" w:before="60" w:line="300"/>
        <w:jc w:val="left"/>
      </w:pPr>
      <w:r>
        <w:t xml:space="preserve">Movimento no ImóYield é discreto por princípio. A natureza editorial-financeira do produto não comporta transições exuberantes — elas destruiriam o ethos de seriedade em dez segundos. Mas ausência total de movimento comunica "estático", "morto", "planilha". O meio-termo é movimento funcional: tudo que se move tem um propósito de clareza.</w:t>
      </w:r>
    </w:p>
    <w:p>
      <w:pPr>
        <w:spacing w:after="120" w:before="60" w:line="300"/>
        <w:jc w:val="left"/>
      </w:pPr>
      <w:r>
        <w:t xml:space="preserve">Três categorias de animação são permitidas. Primeira: feedback de ação — botões têm transição de 120ms no hover (cor e fundo), inputs têm transição de 150ms no foco (ring). Segunda: entrada de conteúdo — cards e seções que aparecem após carregamento usam fade-in-up de 200ms com easing cubic-bezier(0.2, 0.8, 0.2, 1), nunca bounce. Terceira: transições de página — em navegação dentro do produto interno, usa-se uma transição muito sutil de opacidade 150ms via View Transitions do Next.js (opcional, pode ficar para fase 2). Nenhuma animação deve durar mais que 300ms. Respeitar prefers-reduced-motion sempre.</w:t>
      </w:r>
    </w:p>
    <w:p>
      <w:pPr>
        <w:spacing w:after="120" w:before="60" w:line="300"/>
        <w:jc w:val="left"/>
      </w:pPr>
      <w:r>
        <w:t xml:space="preserve">Uma exceção narrativa: no "momento aha" — quando o usuário salva o primeiro deal e vê os resultados — os KPIs numéricos principais podem usar uma contagem progressiva (count-up) de 400ms. Isso é um deleite deliberado e isolado; não multiplicar em outras telas.</w:t>
      </w:r>
    </w:p>
    <w:p>
      <w:pPr>
        <w:pStyle w:val="Heading2"/>
        <w:spacing w:after="160" w:before="280"/>
      </w:pPr>
      <w:r>
        <w:t xml:space="preserve">4.6 Imagem e ilustração</w:t>
      </w:r>
    </w:p>
    <w:p>
      <w:pPr>
        <w:spacing w:after="120" w:before="60" w:line="300"/>
        <w:jc w:val="left"/>
      </w:pPr>
      <w:r>
        <w:t xml:space="preserve">O ImóYield praticamente não usa imagens ilustrativas hoje, e isso é uma força — não uma ausência. Para preservar o ethos editorial, a regra é: zero stock photography de corretores sorrindo ou famílias felizes; zero gradientes decorativos em hero; zero ilustrações cartoon. Quando houver necessidade de imagem, uma das três abordagens: (1) fotografia arquitetônica em preto e branco, alto contraste, usada como bloco editorial — nunca como fundo de herói; (2) diagramas vetoriais simples, com traço de 1.5px em INK, reminiscentes de plantas técnicas; (3) fotos reais dos imóveis cadastrados pelos usuários, dentro do produto — essas sempre em cartões retangulares com raio 4px, nunca cropped em círculo.</w:t>
      </w:r>
    </w:p>
    <w:p>
      <w:pPr>
        <w:spacing w:after="120" w:before="60" w:line="300"/>
        <w:jc w:val="left"/>
      </w:pPr>
      <w:r>
        <w:t xml:space="preserve">Para o módulo "Como funciona" da landing page, recomenda-se diagrama tipográfico numerado — três ou quatro passos com um grande número serifado itálico ao lado do título. Evita a armadilha da ilustração cartoon e reforça o ethos editorial.</w:t>
      </w:r>
    </w:p>
    <w:p>
      <w:pPr>
        <w:pStyle w:val="Heading2"/>
        <w:spacing w:after="160" w:before="280"/>
      </w:pPr>
      <w:r>
        <w:t xml:space="preserve">4.7 Biblioteca de componentes</w:t>
      </w:r>
    </w:p>
    <w:p>
      <w:pPr>
        <w:spacing w:after="120" w:before="60" w:line="300"/>
        <w:jc w:val="left"/>
      </w:pPr>
      <w:r>
        <w:t xml:space="preserve">O ImóYield já usa shadcn/ui (base-nova). Abaixo, o mapeamento completo do sistema para componentes shadcn, indicando quais já estão no projeto, quais precisam ser adicionados e qual a variação visual específica para o tom do ImóYield.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000"/>
        <w:gridCol w:w="4560"/>
      </w:tblGrid>
      <w:tr>
        <w:trPr>
          <w:tblHeader/>
        </w:trPr>
        <w:tc>
          <w:tcPr>
            <w:tcW w:type="dxa" w:w="18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Componente</w:t>
            </w:r>
          </w:p>
        </w:tc>
        <w:tc>
          <w:tcPr>
            <w:tcW w:type="dxa" w:w="1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Status</w:t>
            </w:r>
          </w:p>
        </w:tc>
        <w:tc>
          <w:tcPr>
            <w:tcW w:type="dxa" w:w="2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Variantes ImóYield</w:t>
            </w:r>
          </w:p>
        </w:tc>
        <w:tc>
          <w:tcPr>
            <w:tcW w:type="dxa" w:w="45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Uso</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Button</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Existe</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primary · secondary · ghost · destructive · link</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Raio 4px. Primary em brand, secondary em outline 1px.</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Input</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Existe</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 · currency · percentage · readonly</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Background muted (#F0EFEB). Foco em ring brand.</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Card</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Existe</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default · bordered · ghost · emphasis</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Nunca sombra; separação por borda 1px.</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Dialog</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 · destructive confirm</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Modal para confirmar delete, export, compartilhar.</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Dropdown menu</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default</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Menu de ações em card de deal.</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Select</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Tipo de imóvel, estado, modalidade de financiamento.</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Tabs</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horizontal · vertical</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Abas do detalhe do deal (Summary, Analysis...).</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Tooltip</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 · help</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Explicar campos técnicos (ITBI, DSCR, TIR).</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Alert</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info · success · warning · error</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Feedback em formulários e estados semânticos.</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Badge</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neutral · brand · positive · warning · negative</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Chips de categoria, status, benchmark.</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Toast</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info · success · warning · error</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Uso de sonner (recomendado).</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Progress</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linear · stepped</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Wizard de análise (stepper visual).</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Skeleton</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text · card · chart</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Loading states sempre preferidos ao spinner.</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Popover</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 · interactive</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Calendar picker, múltipla seleção.</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Sheet</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right · bottom</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Edição rápida em mobile, filtros.</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Command</w:t>
            </w:r>
          </w:p>
        </w:tc>
        <w:tc>
          <w:tcPr>
            <w:tcW w:type="dxa" w:w="1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default</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Busca global (fase 2): cmd+k no dashboard.</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Accordion</w:t>
            </w:r>
          </w:p>
        </w:tc>
        <w:tc>
          <w:tcPr>
            <w:tcW w:type="dxa" w:w="1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w:t>
            </w:r>
          </w:p>
        </w:tc>
        <w:tc>
          <w:tcPr>
            <w:tcW w:type="dxa" w:w="2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default</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FAQ da landing, seções dobráveis de relatório.</w:t>
            </w:r>
          </w:p>
        </w:tc>
      </w:tr>
    </w:tbl>
    <w:p>
      <w:pPr>
        <w:spacing w:after="120" w:before="60" w:line="300"/>
        <w:jc w:val="left"/>
      </w:pPr>
      <w:r>
        <w:t xml:space="preserve">Para cada componente adicionado, o dev deve usar o CLI do shadcn (npx shadcn@latest add ...) e ajustar classes para os tokens do produto. Evitar reescrever componentes do zero; a base do shadcn/ui base-nova já está alinhada.</w:t>
      </w:r>
    </w:p>
    <w:p>
      <w:pPr>
        <w:pStyle w:val="Heading2"/>
        <w:spacing w:after="160" w:before="280"/>
      </w:pPr>
      <w:r>
        <w:t xml:space="preserve">4.8 Regras para gráficos (Recharts)</w:t>
      </w:r>
    </w:p>
    <w:p>
      <w:pPr>
        <w:spacing w:after="120" w:before="60" w:line="300"/>
        <w:jc w:val="left"/>
      </w:pPr>
      <w:r>
        <w:t xml:space="preserve">Recharts é a biblioteca de gráficos do produto. Gráficos financeiros mal desenhados são pior que a ausência de gráfico — confundem, escondem padrões e minam credibilidade. As regras a seguir são inegociáveis.</w:t>
      </w:r>
    </w:p>
    <w:p>
      <w:pPr>
        <w:spacing w:after="120" w:before="60" w:line="300"/>
        <w:jc w:val="left"/>
      </w:pPr>
      <w:r>
        <w:t xml:space="preserve">Primeiro, cores seguem estritamente a paleta de chart (chart-1 a chart-5). Nunca usar cores extra-paleta. Se um gráfico pede mais que cinco séries, reprojetar para agrupar. Segundo, eixos: valores monetários sempre em formato brasileiro abreviado (R$ 4,2 mil; R$ 1,2 mi); percentuais com uma casa decimal quando relevantes; datas em formato abreviado (abr/26). Terceiro, grid: linhas verticais em #E2E0DA, opacidade 100%, stroke-dasharray opcional; linhas horizontais dos eixos sólidas em #E2E0DA; sem grid de fundo decorativo. Quarto, legendas: sempre abaixo do gráfico, alinhadas à esquerda, em caption (11px), com bolinhas em 8px — não quadrados. Quinto, tooltip: fundo #FAFAF8, borda 1px #E2E0DA, padding 12px, texto em monoespaçada — igual à identidade do produto, não o default do Recharts.</w:t>
      </w:r>
    </w:p>
    <w:p>
      <w:pPr>
        <w:spacing w:after="120" w:before="60" w:line="300"/>
        <w:jc w:val="left"/>
      </w:pPr>
      <w:r>
        <w:t xml:space="preserve">Para gráficos comparativos (deal vs CDI), usar sempre chart-1 para o deal e chart-3 ou chart-4 (neutro cinza) para o benchmark — nunca duas cores saturadas disputando atenção. Para gráficos de pizza, proibir: são quase sempre substituíveis por barras horizontais, que leem melhor. Para gráficos de área, aplicar opacidade 12% no fill, nunca mais — área cheia suga atenção do eixo.</w:t>
      </w:r>
    </w:p>
    <w:p>
      <w:pPr>
        <w:pStyle w:val="Heading2"/>
        <w:spacing w:after="160" w:before="280"/>
      </w:pPr>
      <w:r>
        <w:t xml:space="preserve">4.9 Acessibilidade (WCAG 2.2 AA)</w:t>
      </w:r>
    </w:p>
    <w:p>
      <w:pPr>
        <w:spacing w:after="120" w:before="60" w:line="300"/>
        <w:jc w:val="left"/>
      </w:pPr>
      <w:r>
        <w:t xml:space="preserve">Meta: WCAG 2.2 AA em 100% das páginas públicas e internas. Isso não é apenas um compromisso ético; em um produto financeiro, acessibilidade é sinal de qualidade técnica e reduz o atrito para usuários com deficiências temporárias (uso em celular no sol, idade avançada, distração situacional).</w:t>
      </w:r>
    </w:p>
    <w:p>
      <w:pPr>
        <w:spacing w:after="120" w:before="60" w:line="300"/>
        <w:jc w:val="left"/>
      </w:pPr>
      <w:r>
        <w:t xml:space="preserve">Sete verificações obrigatórias por página: (1) contraste de texto mínimo 4.5:1 para corpo e 3:1 para títulos grandes — o par #6B7280 sobre #F8F7F4 está em 4.58:1 e passa; (2) contraste de componentes UI mínimo 3:1 — bordas #E2E0DA sobre #FAFAF8 precisam atenção, use #D0CEC8 em estados importantes; (3) foco visível em todos os controles via ring de 2px em brand com offset de 2px — já implementado em alguns botões, generalizar; (4) navegação por teclado completa, incluindo skip-link "Pular para o conteúdo" (já presente na landing); (5) labels semânticas em todos os inputs, nunca placeholder-como-label; (6) aria-live em mensagens dinâmicas como sucesso de login (já presente); (7) respeito a prefers-reduced-motion em todas as animações.</w:t>
      </w:r>
    </w:p>
    <w:p>
      <w:pPr>
        <w:spacing w:after="120" w:before="60" w:line="300"/>
        <w:jc w:val="left"/>
      </w:pPr>
      <w:r>
        <w:t xml:space="preserve">Validação automática via axe-core integrado ao pipeline de CI é altamente recomendada. Erro crítico no axe bloqueia o deploy.</w:t>
      </w:r>
    </w:p>
    <w:p>
      <w:pPr>
        <w:pStyle w:val="Heading1"/>
        <w:pageBreakBefore/>
        <w:spacing w:after="200" w:before="360"/>
      </w:pPr>
      <w:r>
        <w:t xml:space="preserve">Parte V · Arquitetura da informação e coesão</w:t>
      </w:r>
    </w:p>
    <w:p>
      <w:pPr>
        <w:spacing w:after="200" w:before="120" w:line="320"/>
      </w:pPr>
      <w:r>
        <w:rPr>
          <w:i/>
          <w:iCs/>
          <w:color w:val="6B7280"/>
          <w:sz w:val="24"/>
          <w:szCs w:val="24"/>
        </w:rPr>
        <w:t xml:space="preserve">Como as páginas se organizam, como o usuário se move entre elas, e o que precisa ser compartilhado entre todas para que o produto se sinta unificado.</w:t>
      </w:r>
    </w:p>
    <w:p>
      <w:pPr>
        <w:pStyle w:val="Heading2"/>
        <w:spacing w:after="160" w:before="280"/>
      </w:pPr>
      <w:r>
        <w:t xml:space="preserve">5.1 Mapa do site</w:t>
      </w:r>
    </w:p>
    <w:p>
      <w:pPr>
        <w:spacing w:after="120" w:before="60" w:line="300"/>
        <w:jc w:val="left"/>
      </w:pPr>
      <w:r>
        <w:t xml:space="preserve">O ImóYield, após a reorganização, tem sete zonas principais, cada uma com papel definido. A coerência global depende de respeitar a hierarquia entre zonas públicas, zonas autenticadas e zonas de consumo passivo (relatório compartilhado).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Zona</w:t>
            </w:r>
          </w:p>
        </w:tc>
        <w:tc>
          <w:tcPr>
            <w:tcW w:type="dxa" w:w="2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Rota</w:t>
            </w:r>
          </w:p>
        </w:tc>
        <w:tc>
          <w:tcPr>
            <w:tcW w:type="dxa" w:w="22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Acesso</w:t>
            </w:r>
          </w:p>
        </w:tc>
        <w:tc>
          <w:tcPr>
            <w:tcW w:type="dxa" w:w="35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Papel</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Público · marketing</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Anônimo</w:t>
            </w:r>
          </w:p>
        </w:tc>
        <w:tc>
          <w:tcPr>
            <w:tcW w:type="dxa" w:w="3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Converter visitante em cadastro. Dual-path hero, prova social, demo.</w:t>
            </w:r>
          </w:p>
        </w:tc>
      </w:tr>
      <w:tr>
        <w:trPr>
          <w:tblHeader w:val="false"/>
        </w:trPr>
        <w:tc>
          <w:tcPr>
            <w:tcW w:type="dxa" w:w="1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Público · autenticação</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/auth · /auth/callback</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Anônimo</w:t>
            </w:r>
          </w:p>
        </w:tc>
        <w:tc>
          <w:tcPr>
            <w:tcW w:type="dxa" w:w="3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Entrada no produto. Login, cadastro, recuperação.</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App · portfólio</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/propriedades</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Autenticado</w:t>
            </w:r>
          </w:p>
        </w:tc>
        <w:tc>
          <w:tcPr>
            <w:tcW w:type="dxa" w:w="3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Listar deals salvos por categoria. Hub de retorno.</w:t>
            </w:r>
          </w:p>
        </w:tc>
      </w:tr>
      <w:tr>
        <w:trPr>
          <w:tblHeader w:val="false"/>
        </w:trPr>
        <w:tc>
          <w:tcPr>
            <w:tcW w:type="dxa" w:w="1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App · entrada de análise</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/propriedades (modal) → /analisar (redirecionamento)</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Autenticado</w:t>
            </w:r>
          </w:p>
        </w:tc>
        <w:tc>
          <w:tcPr>
            <w:tcW w:type="dxa" w:w="3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Escolher método de entrada (URL, manual, duplicar).</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App · wizard</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in-page (DealWizard)</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Autenticado</w:t>
            </w:r>
          </w:p>
        </w:tc>
        <w:tc>
          <w:tcPr>
            <w:tcW w:type="dxa" w:w="3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Coleta de dados passo a passo. Sem cálculo.</w:t>
            </w:r>
          </w:p>
        </w:tc>
      </w:tr>
      <w:tr>
        <w:trPr>
          <w:tblHeader w:val="false"/>
        </w:trPr>
        <w:tc>
          <w:tcPr>
            <w:tcW w:type="dxa" w:w="1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App · detalhe</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/imoveis/[id]</w:t>
            </w:r>
          </w:p>
        </w:tc>
        <w:tc>
          <w:tcPr>
            <w:tcW w:type="dxa" w:w="22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Autenticado</w:t>
            </w:r>
          </w:p>
        </w:tc>
        <w:tc>
          <w:tcPr>
            <w:tcW w:type="dxa" w:w="3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Momento aha. Análise completa em abas.</w:t>
            </w:r>
          </w:p>
        </w:tc>
      </w:tr>
      <w:tr>
        <w:trPr>
          <w:tblHeader w:val="false"/>
        </w:trPr>
        <w:tc>
          <w:tcPr>
            <w:tcW w:type="dxa" w:w="1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Público · relatório compartilhado</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/r/[slug]</w:t>
            </w:r>
          </w:p>
        </w:tc>
        <w:tc>
          <w:tcPr>
            <w:tcW w:type="dxa" w:w="22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Anônimo com slug</w:t>
            </w:r>
          </w:p>
        </w:tc>
        <w:tc>
          <w:tcPr>
            <w:tcW w:type="dxa" w:w="3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Visualização consumível pelo cliente ou familiar.</w:t>
            </w:r>
          </w:p>
        </w:tc>
      </w:tr>
    </w:tbl>
    <w:p>
      <w:pPr>
        <w:pStyle w:val="Heading2"/>
        <w:spacing w:after="160" w:before="280"/>
      </w:pPr>
      <w:r>
        <w:t xml:space="preserve">5.2 Navegação global</w:t>
      </w:r>
    </w:p>
    <w:p>
      <w:pPr>
        <w:spacing w:after="120" w:before="60" w:line="300"/>
        <w:jc w:val="left"/>
      </w:pPr>
      <w:r>
        <w:t xml:space="preserve">O ImóYield tem duas barras globais distintas: a barra do site público e a TopNav do app. Hoje elas já são visualmente próximas — o mesmo logo, o mesmo verde — mas vale formalizar as diferenças.</w:t>
      </w:r>
    </w:p>
    <w:p>
      <w:pPr>
        <w:spacing w:after="120" w:before="60" w:line="300"/>
        <w:jc w:val="left"/>
      </w:pPr>
      <w:r>
        <w:t xml:space="preserve">A barra do site público aparece em / e em /auth (opcionalmente). Ela tem logo à esquerda, um link de navegação secundário ("Entrar") e um CTA primário ("Criar conta" ou "Ver exemplos"). Altura 64px, fundo #FAFAF8, separador inferior de 1px. Em mobile colapsa para logo + botão hamburger que abre sheet lateral.</w:t>
      </w:r>
    </w:p>
    <w:p>
      <w:pPr>
        <w:spacing w:after="120" w:before="60" w:line="300"/>
        <w:jc w:val="left"/>
      </w:pPr>
      <w:r>
        <w:t xml:space="preserve">A TopNav do app aparece em todas as rotas autenticadas. Hoje tem altura 48px, um único link ("Minhas Propriedades"), email do usuário e logout. A recomendação é manter essa concisão — o ImóYield não é um produto com dezenas de zonas que justifiquem navegação complexa. Adições futuras devem ir para um menu no avatar, não espalhar pela barra. A única expansão recomendada hoje: adicionar um breadcrumb sutil quando dentro de /imoveis/[id] ("Propriedades · Apto Pinheiros"), em monoespaçada pequena, à direita do link principal.</w:t>
      </w:r>
    </w:p>
    <w:p>
      <w:pPr>
        <w:spacing w:after="120" w:before="60" w:line="300"/>
        <w:jc w:val="left"/>
      </w:pPr>
      <w:r>
        <w:t xml:space="preserve">Um detalhe importante de coerência: nunca haver momento de confusão sobre "onde estou e quem sou". O email do usuário deve estar visível em todas as páginas internas; a marca ImóYield deve estar visível em todas as páginas públicas. No relatório compartilhado (/r/[slug]), a marca ImóYield aparece discretamente no rodapé — substituída pela marca do usuário quando o white-label do plano Pro estiver ativo.</w:t>
      </w:r>
    </w:p>
    <w:p>
      <w:pPr>
        <w:pStyle w:val="Heading2"/>
        <w:spacing w:after="160" w:before="280"/>
      </w:pPr>
      <w:r>
        <w:t xml:space="preserve">5.3 Primitivos de layout compartilhados</w:t>
      </w:r>
    </w:p>
    <w:p>
      <w:pPr>
        <w:spacing w:after="120" w:before="60" w:line="300"/>
        <w:jc w:val="left"/>
      </w:pPr>
      <w:r>
        <w:t xml:space="preserve">Para garantir coerência entre páginas sem duplicar código, recomenda-se formalizar três primitivos de layout em components/layout/.</w:t>
      </w:r>
    </w:p>
    <w:p>
      <w:pPr>
        <w:spacing w:after="120" w:before="60" w:line="300"/>
        <w:jc w:val="left"/>
      </w:pPr>
      <w:r>
        <w:t xml:space="preserve">Primeiro, PageContainer: wrapper com padding responsivo (px-4 md:px-6), max-w-5xl (para marketing e relatório) ou max-w-6xl (para app), e espaçamento vertical padrão via variant. Substitui as dezenas de "max-w-5xl mx-auto px-6" hoje espalhadas. Segundo, SectionHeader: eyebrow + título + descrição opcional, com espaçamentos verticais calibrados — usado em landing, dashboard e detalhe. Terceiro, EmptyState: ilustração tipográfica opcional + título + descrição + CTA — para dashboard sem deals e para busca sem resultado.</w:t>
      </w:r>
    </w:p>
    <w:p>
      <w:pPr>
        <w:spacing w:after="120" w:before="60" w:line="300"/>
        <w:jc w:val="left"/>
      </w:pPr>
      <w:r>
        <w:t xml:space="preserve">Esses três primitivos, bem feitos, reduzem o tempo de implementação das demais páginas em 30–40% e eliminam dezenas de decisões ad-hoc sobre espaçamento que são a principal fonte de incoerência em produtos SaaS.</w:t>
      </w:r>
    </w:p>
    <w:p>
      <w:pPr>
        <w:pStyle w:val="Heading1"/>
        <w:pageBreakBefore/>
        <w:spacing w:after="200" w:before="360"/>
      </w:pPr>
      <w:r>
        <w:t xml:space="preserve">Parte VI · Landing page</w:t>
      </w:r>
    </w:p>
    <w:p>
      <w:pPr>
        <w:spacing w:after="200" w:before="120" w:line="320"/>
      </w:pPr>
      <w:r>
        <w:rPr>
          <w:i/>
          <w:iCs/>
          <w:color w:val="6B7280"/>
          <w:sz w:val="24"/>
          <w:szCs w:val="24"/>
        </w:rPr>
        <w:t xml:space="preserve">Uma única página, dois caminhos, doze blocos. Cada bloco com objetivo narrativo explícito e métrica de sucesso associada.</w:t>
      </w:r>
    </w:p>
    <w:p>
      <w:pPr>
        <w:pStyle w:val="Heading2"/>
        <w:spacing w:after="160" w:before="280"/>
      </w:pPr>
      <w:r>
        <w:t xml:space="preserve">6.1 Estratégia e estrutura geral</w:t>
      </w:r>
    </w:p>
    <w:p>
      <w:pPr>
        <w:spacing w:after="120" w:before="60" w:line="300"/>
        <w:jc w:val="left"/>
      </w:pPr>
      <w:r>
        <w:t xml:space="preserve">A landing page do ImóYield tem uma só missão: levar o visitante a criar conta (ou iniciar uma análise em modo exploratório, se adotada essa variante). Todo bloco que não serve a essa missão é gordura. Todo bloco que serve a ela precisa servir simultaneamente às duas audiências — Marcos e Patrícia — ou ter variação explícita para cada uma.</w:t>
      </w:r>
    </w:p>
    <w:p>
      <w:pPr>
        <w:spacing w:after="120" w:before="60" w:line="300"/>
        <w:jc w:val="left"/>
      </w:pPr>
      <w:r>
        <w:t xml:space="preserve">A estrutura recomendada tem doze blocos em ordem, lendo de cima para baixo em uma página rolável de aproximadamente 7 a 9 scrolls em desktop. Esse comprimento é deliberadamente maior que o MVP atual (que tem três blocos): produtos financeiros precisam ganhar confiança em camadas, e um visitante que rola até o oitavo bloco está significativamente mais qualificado que um que clica direto no primeiro CTA. A ordem respeita o arco emocional do visitante — promessa, prova de funcionamento, mecanismo, diferencial, identificação, validação social, autor, objeções, plano, chamada final.</w:t>
      </w:r>
    </w:p>
    <w:p>
      <w:pPr>
        <w:spacing w:after="40" w:before="120"/>
      </w:pPr>
      <w:r>
        <w:rPr>
          <w:b/>
          <w:bCs/>
          <w:color w:val="4A7C59"/>
          <w:spacing w:val="40"/>
          <w:sz w:val="16"/>
          <w:szCs w:val="16"/>
        </w:rPr>
        <w:t xml:space="preserve">MAPA DOS BLOCOS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360"/>
      </w:tblGrid>
      <w:tr>
        <w:trPr>
          <w:tblHeader/>
        </w:trPr>
        <w:tc>
          <w:tcPr>
            <w:tcW w:type="dxa" w:w="8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w:t>
            </w:r>
          </w:p>
        </w:tc>
        <w:tc>
          <w:tcPr>
            <w:tcW w:type="dxa" w:w="28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Bloco</w:t>
            </w:r>
          </w:p>
        </w:tc>
        <w:tc>
          <w:tcPr>
            <w:tcW w:type="dxa" w:w="6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Papel narrativo · métrica</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Navegação</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Orientação · ausência de CTA fria.</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2</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Hero dual-path</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Promessa + filtro de audiência · CTR dos dois CTAs.</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3</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Demo interativa (mini-calculadora)</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"Experimente antes de cadastrar" · engajamento mediano por sessão.</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Como funciona (3 passos)</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Reduzir fricção mental · scroll depth até este bloco.</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5</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Banner Brasil (3 colunas)</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Diferencial competitivo local · tempo no bloco.</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6</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Duas vozes, dois casos</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Identificação · CTR do CTA por perfil.</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7</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Prova social e números</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Validação de tração · eventos de hover em logos.</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8</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Quem somos (Sobre)</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Humanizar o produto · taxa de scroll até o fim.</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9</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FAQ editorial</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Remoção de objeção · aberturas de accordion.</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10</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Pricing</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Transparência · intenção de clique em plano.</w:t>
            </w:r>
          </w:p>
        </w:tc>
      </w:tr>
      <w:tr>
        <w:trPr>
          <w:tblHeader w:val="false"/>
        </w:trPr>
        <w:tc>
          <w:tcPr>
            <w:tcW w:type="dxa" w:w="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11</w:t>
            </w:r>
          </w:p>
        </w:tc>
        <w:tc>
          <w:tcPr>
            <w:tcW w:type="dxa" w:w="2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CTA final</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Repescagem · conversão tardia.</w:t>
            </w:r>
          </w:p>
        </w:tc>
      </w:tr>
      <w:tr>
        <w:trPr>
          <w:tblHeader w:val="false"/>
        </w:trPr>
        <w:tc>
          <w:tcPr>
            <w:tcW w:type="dxa" w:w="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12</w:t>
            </w:r>
          </w:p>
        </w:tc>
        <w:tc>
          <w:tcPr>
            <w:tcW w:type="dxa" w:w="2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Rodapé</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Institucional + disclaimer · links de confiança.</w:t>
            </w:r>
          </w:p>
        </w:tc>
      </w:tr>
    </w:tbl>
    <w:p>
      <w:pPr>
        <w:pStyle w:val="Heading2"/>
        <w:spacing w:after="160" w:before="280"/>
      </w:pPr>
      <w:r>
        <w:t xml:space="preserve">6.2 Bloco 1 — Navegação</w:t>
      </w:r>
    </w:p>
    <w:p>
      <w:pPr>
        <w:spacing w:after="120" w:before="60" w:line="300"/>
        <w:jc w:val="left"/>
      </w:pPr>
      <w:r>
        <w:t xml:space="preserve">Já coberto em 5.2. Destacar aqui apenas que o CTA primário da nav acompanha o hero ("Criar conta" ou "Começar análise grátis") e o secundário é "Entrar". Em mobile, a nav colapsa para logo à esquerda, botão hamburger à direita; o menu aberto contém os mesmos dois links e fecha com swipe. Nada mais — a nav não é o lugar para links de rodapé, "Sobre" ou "Contato"; esses ficam no próprio corpo da landing ou no footer.</w:t>
      </w:r>
    </w:p>
    <w:p>
      <w:pPr>
        <w:pStyle w:val="Heading2"/>
        <w:spacing w:after="160" w:before="280"/>
      </w:pPr>
      <w:r>
        <w:t xml:space="preserve">6.3 Bloco 2 — Hero com dois caminhos</w:t>
      </w:r>
    </w:p>
    <w:p>
      <w:pPr>
        <w:spacing w:after="120" w:before="60" w:line="300"/>
        <w:jc w:val="left"/>
      </w:pPr>
      <w:r>
        <w:t xml:space="preserve">Este é o bloco mais importante da página. Sua estrutura sugerida é em três camadas verticais, alinhadas ao centro para equilíbrio editorial.</w:t>
      </w:r>
    </w:p>
    <w:p>
      <w:pPr>
        <w:spacing w:after="120" w:before="60" w:line="300"/>
        <w:jc w:val="left"/>
      </w:pPr>
      <w:r>
        <w:t xml:space="preserve">Na camada superior, um eyebrow discreto em letras maiúsculas espacejadas: "MERCADO BRASILEIRO · CALCULADORA PARA INVESTIDORES". Uso da mesma estilística já existente, mas agora sinalizando explicitamente que o produto é para investidores — não para consumidores de imóvel. Em seguida, o título principal em display-xl, com a palavra central em itálico serifado brand: "Análise de investimento imobiliário em minutos, não em planilhas." A frase em serifado itálico ("em minutos, não em planilhas") é a promessa; a palavra "investimento" é o filtro — quem não é investidor sai.</w:t>
      </w:r>
    </w:p>
    <w:p>
      <w:pPr>
        <w:spacing w:after="120" w:before="60" w:line="300"/>
        <w:jc w:val="left"/>
      </w:pPr>
      <w:r>
        <w:t xml:space="preserve">Abaixo do título, um parágrafo de lead em body-lg, máximo duas linhas: "Precisão editorial para suas decisões de capital. Rentabilidade, fluxo de caixa, ITBI, comparativo com CDI — em uma ferramenta feita para o Brasil." Aqui o copy trabalha duas âncoras de confiança (mercado brasileiro, rigor) e uma promessa de economia de tempo.</w:t>
      </w:r>
    </w:p>
    <w:p>
      <w:pPr>
        <w:spacing w:after="120" w:before="60" w:line="300"/>
        <w:jc w:val="left"/>
      </w:pPr>
      <w:r>
        <w:t xml:space="preserve">Na camada inferior do hero, o coração do dual-path: dois cartões lado a lado, cada um representando uma audiência. O da esquerda, em destaque leve (borda brand 1px), intitulado "Sou investidor" com subtítulo "Analise um imóvel e compare com CDI em menos de cinco minutos", CTA "Começar análise gratuita →". O da direita, intitulado "Represento uma agência", subtítulo "Apresente deals para clientes com relatórios white-label", CTA "Ver demo para agências →". Ambos os cartões têm o mesmo peso visual em mobile; em desktop, o da esquerda pode ter 55% do peso para refletir a audiência primária.</w:t>
      </w:r>
    </w:p>
    <w:p>
      <w:pPr>
        <w:spacing w:after="120" w:before="60" w:line="300"/>
        <w:jc w:val="left"/>
      </w:pPr>
      <w:r>
        <w:t xml:space="preserve">Imediatamente abaixo, em monoespaçada pequena cinza: "Sem cartão de crédito · Primeira análise em 3 minutos · 100% em português". Essas três promessas removem três objeções na ordem em que aparecem na cabeça do visitante. Em mobile, as três viram uma lista vertical. A regra de ouro: menos de 15 palavras no total.</w:t>
      </w:r>
    </w:p>
    <w:p>
      <w:pPr>
        <w:pStyle w:val="Heading2"/>
        <w:spacing w:after="160" w:before="280"/>
      </w:pPr>
      <w:r>
        <w:t xml:space="preserve">6.4 Bloco 3 — Demo interativa (mini-calculadora)</w:t>
      </w:r>
    </w:p>
    <w:p>
      <w:pPr>
        <w:spacing w:after="120" w:before="60" w:line="300"/>
        <w:jc w:val="left"/>
      </w:pPr>
      <w:r>
        <w:t xml:space="preserve">Esse é o bloco que, sozinho, diferencia o ImóYield de qualquer concorrente brasileiro. Em vez de mostrar screenshots do produto ou cartões estáticos de KPI, o visitante encontra uma mini-calculadora funcional logo abaixo do hero. Ele digita três valores — preço do imóvel, entrada e aluguel esperado — e vê, em tempo real e sem cadastro, seis métricas aparecerem ao lado: yield bruto, cap rate, fluxo de caixa mensal, payback, ROI em 10 anos e comparativo com o CDI.</w:t>
      </w:r>
    </w:p>
    <w:p>
      <w:pPr>
        <w:spacing w:after="120" w:before="60" w:line="300"/>
        <w:jc w:val="left"/>
      </w:pPr>
      <w:r>
        <w:t xml:space="preserve">A lógica por trás é emprestada direta do pacote de cálculos já existente em src/lib/calculations: nenhum cálculo novo precisa ser escrito, apenas um wrapper mais enxuto para a versão demo (sem ITBI detalhado, sem financiamento customizado, apenas a aproximação suficiente para impressionar). Os números são calculados no cliente; não há round-trip de rede; cada dígito alterado atualiza as métricas em menos de 50ms. Essa sensação de "vivo" é o que transforma o visitante em lead qualificado.</w:t>
      </w:r>
    </w:p>
    <w:p>
      <w:pPr>
        <w:spacing w:after="120" w:before="60" w:line="300"/>
        <w:jc w:val="left"/>
      </w:pPr>
      <w:r>
        <w:t xml:space="preserve">Layout recomendado: duas colunas em desktop, empilhadas em mobile. A coluna esquerda tem três campos empilhados (preço em CurrencyInput, entrada em CurrencyInput ou percentual, aluguel mensal em CurrencyInput). Cada campo tem default pré-preenchido usando um caso realista ("Apartamento 70m² Pinheiros/SP · R$ 680.000"). Um pequeno link "Ver o exemplo" expande um accordion com mais contexto sobre o exemplo usado. A coluna direita mostra os seis KPIs em grid 3x2 ou 2x3, em monoespaçada grande, com mini-bar de benchmark ao lado de cada valor. Abaixo dos KPIs, um botão primário "Continuar com esse imóvel" que leva para /auth com os valores pré-preenchidos via query-string — transformando literalmente a demo em primeiro deal salvo.</w:t>
      </w:r>
    </w:p>
    <w:p>
      <w:pPr>
        <w:spacing w:after="120" w:before="60" w:line="300"/>
        <w:jc w:val="left"/>
      </w:pPr>
      <w:r>
        <w:t xml:space="preserve">Implementação técnica: cliente-side com useState e debounce de 150ms. Sem chamada a API. Validação suave (não bloquear a digitação, apenas marcar com borda warning se valor fora de faixa razoável). O bloco inteiro deve ser um componente isolado em components/landing/InteractiveDemo.tsx para facilitar iteração. Pense nele como o principal ativo de conversão da landing — merece 2 a 3 dias de polimento, não meio dia.</w:t>
      </w:r>
    </w:p>
    <w:p>
      <w:pPr>
        <w:spacing w:after="120" w:before="60" w:line="300"/>
        <w:jc w:val="left"/>
      </w:pPr>
      <w:r>
        <w:t xml:space="preserve">Regra crítica: quando o visitante clicar em "Continuar com esse imóvel", salvar os três valores em localStorage ou no querystring e, após cadastro, pré-preencher a primeira análise do usuário. Essa continuidade entre demo e produto é o que fecha o ciclo — sem ela, o demo vira só um adereço.</w:t>
      </w:r>
    </w:p>
    <w:p>
      <w:pPr>
        <w:pStyle w:val="Heading2"/>
        <w:spacing w:after="160" w:before="280"/>
      </w:pPr>
      <w:r>
        <w:t xml:space="preserve">6.5 Bloco 4 — Como funciona (três passos)</w:t>
      </w:r>
    </w:p>
    <w:p>
      <w:pPr>
        <w:spacing w:after="120" w:before="60" w:line="300"/>
        <w:jc w:val="left"/>
      </w:pPr>
      <w:r>
        <w:t xml:space="preserve">O módulo "como funciona" resolve a ansiedade de quem está a ponto de cadastrar mas quer saber no que está se metendo. Três passos, cada um com um grande numeral serifado itálico em brand à esquerda, título em heading-md e descrição em body-md.</w:t>
      </w:r>
    </w:p>
    <w:p>
      <w:pPr>
        <w:spacing w:after="120" w:before="60" w:line="300"/>
        <w:jc w:val="left"/>
      </w:pPr>
      <w:r>
        <w:t xml:space="preserve">Passo 1 — "Informe o imóvel": descrição de três linhas cobrindo as formas de entrada (URL de anúncio, inserção manual, duplicar um deal existente). Passo 2 — "Veja a análise completa em segundos": as seis métricas principais aparecem listadas com bullets tipográficos (não ícones coloridos): Yield bruto, Cap rate, Fluxo de caixa mensal, TIR, Payback em anos, Comparativo com CDI. Passo 3 — "Compartilhe ou salve": PDF profissional, link público compartilhável sem login, histórico organizado no portfólio.</w:t>
      </w:r>
    </w:p>
    <w:p>
      <w:pPr>
        <w:spacing w:after="120" w:before="60" w:line="300"/>
        <w:jc w:val="left"/>
      </w:pPr>
      <w:r>
        <w:t xml:space="preserve">Abaixo, um CTA secundário em outline ("Ver análise de exemplo") que leva para uma instância pública de /r/[slug] — essa é uma alavanca de conversão subutilizada no MVP atual. Deixar o visitante ver um relatório real antes de cadastrar reduz o atrito de forma significativa.</w:t>
      </w:r>
    </w:p>
    <w:p>
      <w:pPr>
        <w:pStyle w:val="Heading2"/>
        <w:spacing w:after="160" w:before="280"/>
      </w:pPr>
      <w:r>
        <w:t xml:space="preserve">6.6 Bloco 5 — Feature banner (evoluir o atual)</w:t>
      </w:r>
    </w:p>
    <w:p>
      <w:pPr>
        <w:spacing w:after="120" w:before="60" w:line="300"/>
        <w:jc w:val="left"/>
      </w:pPr>
      <w:r>
        <w:t xml:space="preserve">O bloco "Decisões baseadas em dados, não em palpites" do MVP atual tem a energia certa mas pouca densidade. O refinamento recomendado é transformá-lo numa banner de três colunas que expõe, lado a lado, os três diferenciais regionais do ImóYield — sem competir com o hero principal.</w:t>
      </w:r>
    </w:p>
    <w:p>
      <w:pPr>
        <w:spacing w:after="120" w:before="60" w:line="300"/>
        <w:jc w:val="left"/>
      </w:pPr>
      <w:r>
        <w:t xml:space="preserve">Coluna 1 — "Tributação brasileira embutida": ITBI, IPTU, IR sobre aluguel via Carnê-Leão, ganho de capital com alíquota progressiva. Pequena lista monoespaçada dos impostos cobertos. Coluna 2 — "Benchmarks brasileiros em tempo real": CDI atualizado semanalmente via BACEN SGS e média de FII — aqui manter os números atuais do MVP, mas adicionar uma linha mínima em caption: "Fonte: BACEN SGS · Atualizado toda segunda-feira". Coluna 3 — "Modalidades de financiamento locais": SFH, SFI, PRICE, SAC. Em caption: "Cálculos auditados conforme metodologia pública".</w:t>
      </w:r>
    </w:p>
    <w:p>
      <w:pPr>
        <w:spacing w:after="120" w:before="60" w:line="300"/>
        <w:jc w:val="left"/>
      </w:pPr>
      <w:r>
        <w:t xml:space="preserve">Essa banner, bem executada, é o bloco que mais reforça a posição competitiva — é o que nenhum DealCheck nem Stessa fazem.</w:t>
      </w:r>
    </w:p>
    <w:p>
      <w:pPr>
        <w:pStyle w:val="Heading2"/>
        <w:spacing w:after="160" w:before="280"/>
      </w:pPr>
      <w:r>
        <w:t xml:space="preserve">6.7 Bloco 6 — Duas vozes, dois casos de uso</w:t>
      </w:r>
    </w:p>
    <w:p>
      <w:pPr>
        <w:spacing w:after="120" w:before="60" w:line="300"/>
        <w:jc w:val="left"/>
      </w:pPr>
      <w:r>
        <w:t xml:space="preserve">Este é o bloco em que o dual-path do hero se aprofunda. Dois sub-blocos lado a lado em desktop, empilhados em mobile.</w:t>
      </w:r>
    </w:p>
    <w:p>
      <w:pPr>
        <w:spacing w:after="120" w:before="60" w:line="300"/>
        <w:jc w:val="left"/>
      </w:pPr>
      <w:r>
        <w:t xml:space="preserve">Sub-bloco esquerdo — "Para investidores individuais": título em heading-lg, três bullets curtos (reforçando os três jobs-to-be-done da persona Marcos: decidir sobre um imóvel, comparar com CDI, salvar e voltar). Uma citação curta de testemunho (mesmo que fabricada inicialmente — anote em TODO para substituir por real assim que houver usuário real): "Economizei a planilha que eu fazia a cada imóvel que meu corretor mandava. Agora eu rejeito em dois minutos o que antes tomava uma noite." — primeiro nome e cidade entre parênteses.</w:t>
      </w:r>
    </w:p>
    <w:p>
      <w:pPr>
        <w:spacing w:after="120" w:before="60" w:line="300"/>
        <w:jc w:val="left"/>
      </w:pPr>
      <w:r>
        <w:t xml:space="preserve">Sub-bloco direito — "Para corretores e agências": mesma estrutura. Três bullets (apresentar, comparar portfólio, white-label). Testemunho de uma corretora. CTA secundário: "Ver demo para agências →" — leva para a mesma página de cadastro mas com um flag "?tipo=agencia" que pré-marca a conta como corretor (para que o ImóYield possa cultivar esse perfil em features futuras).</w:t>
      </w:r>
    </w:p>
    <w:p>
      <w:pPr>
        <w:pStyle w:val="Heading2"/>
        <w:spacing w:after="160" w:before="280"/>
      </w:pPr>
      <w:r>
        <w:t xml:space="preserve">6.8 Bloco 7 — Prova social e números que falam</w:t>
      </w:r>
    </w:p>
    <w:p>
      <w:pPr>
        <w:spacing w:after="120" w:before="60" w:line="300"/>
        <w:jc w:val="left"/>
      </w:pPr>
      <w:r>
        <w:t xml:space="preserve">Depois de o visitante se identificar em um dos dois perfis (bloco 6), ele precisa de validação externa. Em um produto financeiro em estágio inicial, essa validação é frágil — não há ainda centenas de reviews em G2 nem menções na Bloomberg. A estratégia de design aqui é transformar a pouca prova disponível em muito sinal, com estética que respeita o tom editorial.</w:t>
      </w:r>
    </w:p>
    <w:p>
      <w:pPr>
        <w:spacing w:after="120" w:before="60" w:line="300"/>
        <w:jc w:val="left"/>
      </w:pPr>
      <w:r>
        <w:t xml:space="preserve">O bloco tem três sub-componentes empilhados. Primeiro, uma linha de números grandes em monoespaçada: "1.247 análises realizadas · R$ 842 milhões em imóveis processados · 94% dos usuários voltam na semana seguinte". Esses números começam pequenos e crescem com o tempo — enquanto forem pequenos demais, substituir pelos que já são impressionantes (por exemplo, percentual de retenção) e suprimir os demais. Nunca inventar; um número baixo bem enquadrado é mais crível que um inflado. Segundo, uma fileira horizontal de logos em cinza-claro: imobiliárias parceiras, imprensa que citou o produto, ferramentas integradas. Em estágio inicial, esse sub-bloco pode ser substituído por "Construído em São Paulo · Para investidores brasileiros · Desde 2026". Terceiro, duas ou três citações editoriais curtas em itálico serifado, com foto pequena (32x32 em círculo, apesar da regra geral de cards retangulares — exceção deliberada para avatares humanos), nome, perfil ("Investidor PF · Curitiba" ou "Corretor autônomo · São Paulo").</w:t>
      </w:r>
    </w:p>
    <w:p>
      <w:pPr>
        <w:spacing w:after="120" w:before="60" w:line="300"/>
        <w:jc w:val="left"/>
      </w:pPr>
      <w:r>
        <w:t xml:space="preserve">Posicionamento na página: depois de "Duas vozes" (bloco 6) e antes de "Quem somos" (bloco 8). Essa sequência é proposital — a voz de terceiros validando o que você acabou de dizer sobre si mesmo é o gatilho que amolece a desconfiança antes da revelação do autor.</w:t>
      </w:r>
    </w:p>
    <w:p>
      <w:pPr>
        <w:pStyle w:val="Heading2"/>
        <w:spacing w:after="160" w:before="280"/>
      </w:pPr>
      <w:r>
        <w:t xml:space="preserve">6.9 Bloco 8 — Quem somos</w:t>
      </w:r>
    </w:p>
    <w:p>
      <w:pPr>
        <w:spacing w:after="120" w:before="60" w:line="300"/>
        <w:jc w:val="left"/>
      </w:pPr>
      <w:r>
        <w:t xml:space="preserve">O bloco "Quem somos" é o mais subestimado em produtos B2C brasileiros. Em um mercado em que a desconfiança é o default, apresentar o autor do produto é um ato de coragem que se traduz em conversão. O ImóYield, sendo provavelmente fundado por uma ou duas pessoas (não uma corporação sem rosto), tem tudo para se beneficiar dessa transparência.</w:t>
      </w:r>
    </w:p>
    <w:p>
      <w:pPr>
        <w:spacing w:after="120" w:before="60" w:line="300"/>
        <w:jc w:val="left"/>
      </w:pPr>
      <w:r>
        <w:t xml:space="preserve">A estrutura recomendada é uma seção curta, de duas colunas em desktop e empilhada em mobile. Coluna esquerda: uma foto real do fundador — profissional mas não corporativa (pense camisa social, fundo neutro, luz natural), em preto e branco para integrar ao ethos editorial e evitar o brilho de foto institucional. Se houver mais de um fundador, duas fotos lado a lado do mesmo estilo. Coluna direita: um parágrafo em primeira pessoa explicando por que o ImóYield existe. O conteúdo deve responder a três perguntas implícitas: quem sou, que problema eu tive que me fez construir isso, e qual é o compromisso que eu faço com quem usa. Máximo 120 palavras. Nada de "somos uma startup que está revolucionando" — primeira pessoa direta, linguagem humana.</w:t>
      </w:r>
    </w:p>
    <w:p>
      <w:pPr>
        <w:spacing w:after="120" w:before="60" w:line="300"/>
        <w:jc w:val="left"/>
      </w:pPr>
      <w:r>
        <w:t xml:space="preserve">Abaixo da foto + parágrafo, uma linha assinada: nome completo, cargo ("Fundador" é suficiente; evitar "CEO" em estágio inicial, soa grande demais), e um link discreto para perfil no LinkedIn. Se possível, um pequeno pedaço de background verificável ("Ex-XP Investimentos", "12 imóveis analisados pessoalmente", "Morador de São Paulo há 10 anos") — fatos concretos são armamento pesado contra desconfiança. Nunca inventar: se o background é modesto, abraçar isso ("Primeiro produto que construo sozinho. Usei em meus próprios imóveis antes de abrir para outros.") — autenticidade converte mais que impostura.</w:t>
      </w:r>
    </w:p>
    <w:p>
      <w:pPr>
        <w:spacing w:after="120" w:before="60" w:line="300"/>
        <w:jc w:val="left"/>
      </w:pPr>
      <w:r>
        <w:t xml:space="preserve">Copy starter (primeira pessoa, substituir pelo do fundador real):</w:t>
      </w:r>
    </w:p>
    <w:p>
      <w:pPr>
        <w:pBdr>
          <w:left w:val="single" w:color="4A7C59" w:sz="18" w:space="12"/>
        </w:pBdr>
        <w:spacing w:after="200" w:before="160"/>
        <w:ind w:left="360"/>
      </w:pPr>
      <w:r>
        <w:rPr>
          <w:i/>
          <w:iCs/>
          <w:color w:val="1C2B20"/>
          <w:sz w:val="24"/>
          <w:szCs w:val="24"/>
        </w:rPr>
        <w:t xml:space="preserve">“Construí o ImóYield depois de perder uma noite inteira tentando decidir se compensava comprar o segundo apartamento ou deixar o dinheiro no CDI. A planilha eu montei. O sono, não recuperei. Decidi fazer o que eu gostaria de ter tido naquela noite: uma ferramenta em português, com os impostos brasileiros embutidos, que responde em três minutos o que antes levava três horas. Meu compromisso: o ImóYield nunca vai vender imóveis, nunca vai ganhar comissão de corretora, nunca vai empurrar você para um deal. Só calcula. Você decide.”</w:t>
      </w:r>
      <w:r>
        <w:rPr>
          <w:color w:val="6B7280"/>
          <w:sz w:val="20"/>
          <w:szCs w:val="20"/>
        </w:rPr>
        <w:t xml:space="preserve"> — Fundador</w:t>
      </w:r>
    </w:p>
    <w:p>
      <w:pPr>
        <w:pStyle w:val="Heading2"/>
        <w:spacing w:after="160" w:before="280"/>
      </w:pPr>
      <w:r>
        <w:t xml:space="preserve">6.10 Bloco 9 — FAQ editorial</w:t>
      </w:r>
    </w:p>
    <w:p>
      <w:pPr>
        <w:spacing w:after="120" w:before="60" w:line="300"/>
        <w:jc w:val="left"/>
      </w:pPr>
      <w:r>
        <w:t xml:space="preserve">Oito perguntas curtas em accordion, em ordem cuidadosamente calibrada para resolver objeções reais, não para inflar SEO. Ordem recomendada: (1) "Preciso entender de finanças para usar?" — resposta tranquiliza que os conceitos são explicados inline; (2) "O ImóYield compra ou vende imóveis?" — resposta explícita que é só análise, sem conflito de interesse (essa pergunta é a que mais converte desconfiados); (3) "Os dados que eu digitar ficam privados?" — resposta sobre Supabase, criptografia em trânsito e em repouso; (4) "Posso usar em qualquer estado do Brasil?" — sim, ITBI configurável por município; (5) "Funciona para Airbnb e temporada?" — sim, categoria dedicada; (6) "O relatório PDF tem o logo do ImóYield?" — sim no plano free, white-label no pago; (7) "Como é a precificação?" — referência ao bloco de pricing logo abaixo; (8) "Posso cancelar a qualquer momento?" — sim, sem fidelidade. Cada pergunta em body-md, resposta em body-md com leading 1.6 para boa leitura. O accordion fica todo fechado por default — abertura é ação deliberada do usuário, não empurrão.</w:t>
      </w:r>
    </w:p>
    <w:p>
      <w:pPr>
        <w:pStyle w:val="Heading2"/>
        <w:spacing w:after="160" w:before="280"/>
      </w:pPr>
      <w:r>
        <w:t xml:space="preserve">6.11 Bloco 10 — Pricing transparente</w:t>
      </w:r>
    </w:p>
    <w:p>
      <w:pPr>
        <w:spacing w:after="120" w:before="60" w:line="300"/>
        <w:jc w:val="left"/>
      </w:pPr>
      <w:r>
        <w:t xml:space="preserve">Transparência de preço no bloco da landing é sinal de respeito ao visitante. A estrutura clássica de três colunas funciona bem; a execução precisa ser disciplinada esteticamente para não virar "cartão de super-oferta".</w:t>
      </w:r>
    </w:p>
    <w:p>
      <w:pPr>
        <w:spacing w:after="120" w:before="60" w:line="300"/>
        <w:jc w:val="left"/>
      </w:pPr>
      <w:r>
        <w:t xml:space="preserve">Três planos empilhados em desktop, um abaixo do outro em mobile.</w:t>
      </w:r>
    </w:p>
    <w:p>
      <w:pPr>
        <w:spacing w:after="40" w:before="120"/>
      </w:pPr>
      <w:r>
        <w:rPr>
          <w:b/>
          <w:bCs/>
          <w:color w:val="4A7C59"/>
          <w:spacing w:val="40"/>
          <w:sz w:val="16"/>
          <w:szCs w:val="16"/>
        </w:rPr>
        <w:t xml:space="preserve">TABELA DE PLANOS (STARTER)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gridCol w:w="2280"/>
      </w:tblGrid>
      <w:tr>
        <w:trPr>
          <w:tblHeader/>
        </w:trPr>
        <w:tc>
          <w:tcPr>
            <w:tcW w:type="dxa" w:w="2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Plano</w:t>
            </w:r>
          </w:p>
        </w:tc>
        <w:tc>
          <w:tcPr>
            <w:tcW w:type="dxa" w:w="2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Individual Free</w:t>
            </w:r>
          </w:p>
        </w:tc>
        <w:tc>
          <w:tcPr>
            <w:tcW w:type="dxa" w:w="2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Individual Pro</w:t>
            </w:r>
          </w:p>
        </w:tc>
        <w:tc>
          <w:tcPr>
            <w:tcW w:type="dxa" w:w="228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Agência</w:t>
            </w:r>
          </w:p>
        </w:tc>
      </w:tr>
      <w:tr>
        <w:trPr>
          <w:tblHeader w:val="false"/>
        </w:trPr>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Preço</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R$ 0 / mês</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R$ 39 / mês</w:t>
            </w:r>
          </w:p>
        </w:tc>
        <w:tc>
          <w:tcPr>
            <w:tcW w:type="dxa" w:w="228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R$ 149 / mês</w:t>
            </w:r>
          </w:p>
        </w:tc>
      </w:tr>
      <w:tr>
        <w:trPr>
          <w:tblHeader w:val="false"/>
        </w:trPr>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Público</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Investidor PF explorando</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Investidor PF ativo</w:t>
            </w:r>
          </w:p>
        </w:tc>
        <w:tc>
          <w:tcPr>
            <w:tcW w:type="dxa" w:w="228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Corretor ou imobiliária</w:t>
            </w:r>
          </w:p>
        </w:tc>
      </w:tr>
      <w:tr>
        <w:trPr>
          <w:tblHeader w:val="false"/>
        </w:trPr>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Análises por mês</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5</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Ilimitadas</w:t>
            </w:r>
          </w:p>
        </w:tc>
        <w:tc>
          <w:tcPr>
            <w:tcW w:type="dxa" w:w="228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Ilimitadas</w:t>
            </w:r>
          </w:p>
        </w:tc>
      </w:tr>
      <w:tr>
        <w:trPr>
          <w:tblHeader w:val="false"/>
        </w:trPr>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PDF com marca ImóYield</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Incluso</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Incluso</w:t>
            </w:r>
          </w:p>
        </w:tc>
        <w:tc>
          <w:tcPr>
            <w:tcW w:type="dxa" w:w="228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Opcional</w:t>
            </w:r>
          </w:p>
        </w:tc>
      </w:tr>
      <w:tr>
        <w:trPr>
          <w:tblHeader w:val="false"/>
        </w:trPr>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PDF white-label</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w:t>
            </w:r>
          </w:p>
        </w:tc>
        <w:tc>
          <w:tcPr>
            <w:tcW w:type="dxa" w:w="228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Incluso</w:t>
            </w:r>
          </w:p>
        </w:tc>
      </w:tr>
      <w:tr>
        <w:trPr>
          <w:tblHeader w:val="false"/>
        </w:trPr>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Comparativo multi-deal</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Até 2 deals</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Até 5 deals</w:t>
            </w:r>
          </w:p>
        </w:tc>
        <w:tc>
          <w:tcPr>
            <w:tcW w:type="dxa" w:w="228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Ilimitado</w:t>
            </w:r>
          </w:p>
        </w:tc>
      </w:tr>
      <w:tr>
        <w:trPr>
          <w:tblHeader w:val="false"/>
        </w:trPr>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Compartilhamento por link</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Incluso</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Incluso</w:t>
            </w:r>
          </w:p>
        </w:tc>
        <w:tc>
          <w:tcPr>
            <w:tcW w:type="dxa" w:w="228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Incluso</w:t>
            </w:r>
          </w:p>
        </w:tc>
      </w:tr>
      <w:tr>
        <w:trPr>
          <w:tblHeader w:val="false"/>
        </w:trPr>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Membros na conta</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w:t>
            </w:r>
          </w:p>
        </w:tc>
        <w:tc>
          <w:tcPr>
            <w:tcW w:type="dxa" w:w="228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Até 5</w:t>
            </w:r>
          </w:p>
        </w:tc>
      </w:tr>
      <w:tr>
        <w:trPr>
          <w:tblHeader w:val="false"/>
        </w:trPr>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Suporte</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Email (48h)</w:t>
            </w:r>
          </w:p>
        </w:tc>
        <w:tc>
          <w:tcPr>
            <w:tcW w:type="dxa" w:w="2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Email (24h)</w:t>
            </w:r>
          </w:p>
        </w:tc>
        <w:tc>
          <w:tcPr>
            <w:tcW w:type="dxa" w:w="228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Prioritário (mesmo dia)</w:t>
            </w:r>
          </w:p>
        </w:tc>
      </w:tr>
      <w:tr>
        <w:trPr>
          <w:tblHeader w:val="false"/>
        </w:trPr>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CTA</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Começar grátis</w:t>
            </w:r>
          </w:p>
        </w:tc>
        <w:tc>
          <w:tcPr>
            <w:tcW w:type="dxa" w:w="2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Assinar Pro</w:t>
            </w:r>
          </w:p>
        </w:tc>
        <w:tc>
          <w:tcPr>
            <w:tcW w:type="dxa" w:w="228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Falar com o time</w:t>
            </w:r>
          </w:p>
        </w:tc>
      </w:tr>
    </w:tbl>
    <w:p>
      <w:pPr>
        <w:spacing w:after="120" w:before="60" w:line="300"/>
        <w:jc w:val="left"/>
      </w:pPr>
      <w:r>
        <w:t xml:space="preserve">Regras de apresentação: o plano do meio (Individual Pro) é destacado com borda brand 2px e um chip discreto "Mais escolhido" em monoespaçada cinza — nunca em cor primária vibrante. Nunca usar linguagem de "oferta relâmpago", "apenas hoje", "50% off por tempo limitado" — esses gatilhos de e-commerce queimam a credibilidade editorial que o produto constrói ao longo dos blocos anteriores. Se houver desconto anual, apresentar como escolha racional ("Pago anual: R$ 390/ano, equivalente a 2 meses grátis") e não como urgência artificial.</w:t>
      </w:r>
    </w:p>
    <w:p>
      <w:pPr>
        <w:spacing w:after="120" w:before="60" w:line="300"/>
        <w:jc w:val="left"/>
      </w:pPr>
      <w:r>
        <w:t xml:space="preserve">Regra importante: o plano Individual Free não é trial — é uma porta permanente, com cinco análises por mês. Isso é estratégia deliberada de aquisição: visitante com baixo comprometimento entra sem atrito e é convertido em pago quando o produto provar valor. Essa política difere de "trial de 14 dias" e é mais adequada ao ticket baixo e à dinâmica do investidor brasileiro, que prefere valor permanente e barato a valor grande e temporário.</w:t>
      </w:r>
    </w:p>
    <w:p>
      <w:pPr>
        <w:spacing w:after="120" w:before="60" w:line="300"/>
        <w:jc w:val="left"/>
      </w:pPr>
      <w:r>
        <w:t xml:space="preserve">Nota de fase 1: se o rollout ainda não tiver pagamentos implementados (Stripe/MercadoPago), o bloco de pricing pode começar apenas com "Grátis para começar · Planos pagos em breve" e uma lista de features que virão no Pro. Essa honestidade é mais confortável que apresentar planos que não se pode contratar.</w:t>
      </w:r>
    </w:p>
    <w:p>
      <w:pPr>
        <w:pStyle w:val="Heading2"/>
        <w:spacing w:after="160" w:before="280"/>
      </w:pPr>
      <w:r>
        <w:t xml:space="preserve">6.12 Bloco 11 — CTA final</w:t>
      </w:r>
    </w:p>
    <w:p>
      <w:pPr>
        <w:spacing w:after="120" w:before="60" w:line="300"/>
        <w:jc w:val="left"/>
      </w:pPr>
      <w:r>
        <w:t xml:space="preserve">O CTA final repete o dual-path do hero, mas em formato mais compacto: uma pergunta centralizada "Pronto para analisar seu próximo imóvel?" e dois botões lado a lado, exatamente os mesmos CTAs do hero. A repetição deliberada captura visitantes que rolaram a página toda sem clicar no topo — e em dados de landing pages financeiras, um CTA final bem posicionado recupera entre 8% e 15% das conversões perdidas no hero.</w:t>
      </w:r>
    </w:p>
    <w:p>
      <w:pPr>
        <w:spacing w:after="120" w:before="60" w:line="300"/>
        <w:jc w:val="left"/>
      </w:pPr>
      <w:r>
        <w:t xml:space="preserve">Abaixo dos dois botões, uma última linha de reassurance em monoespaçada cinza: "Sua primeira análise em 3 minutos · Sem cartão · Sem SPAM". Mesma estrutura do hero, mesmas palavras — repetir é reforço, não redundância.</w:t>
      </w:r>
    </w:p>
    <w:p>
      <w:pPr>
        <w:pStyle w:val="Heading2"/>
        <w:spacing w:after="160" w:before="280"/>
      </w:pPr>
      <w:r>
        <w:t xml:space="preserve">6.13 Bloco 12 — Rodapé</w:t>
      </w:r>
    </w:p>
    <w:p>
      <w:pPr>
        <w:spacing w:after="120" w:before="60" w:line="300"/>
        <w:jc w:val="left"/>
      </w:pPr>
      <w:r>
        <w:t xml:space="preserve">Rodapé em quatro colunas em desktop (ou três + uma estreita), empilhadas em mobile. Coluna 1 (a mais larga, sobre 30% da largura) — logo ImóYield, tagline de uma linha ("Calculadora de investimento imobiliário para o Brasil"), endereço/CNPJ quando existir, opcionalmente um mini-bloco com redes sociais (Instagram, LinkedIn, YouTube) em ícones Lucide 16px outline. Coluna 2 — Produto: Criar conta, Entrar, Ver exemplo, Preços, Para agências, Para investidores. Coluna 3 — Empresa: Quem somos, Metodologia, Blog (quando existir), Contato. Coluna 4 — Legal: Termos de uso, Política de privacidade, Aviso de isenção.</w:t>
      </w:r>
    </w:p>
    <w:p>
      <w:pPr>
        <w:spacing w:after="120" w:before="60" w:line="300"/>
        <w:jc w:val="left"/>
      </w:pPr>
      <w:r>
        <w:t xml:space="preserve">Linha inferior do rodapé em caption cinza, com altura 48px e separador 1px acima: "© 2026 ImóYield. CDI: fonte BACEN SGS, atualizado semanalmente. Cálculos para fins informativos — ImóYield não compra, vende nem recomenda imóveis e não presta consultoria de investimento." Essa última frase (disclaimer) é importante por compliance e por sinal: comunica seriedade, não precariedade. Ela deve aparecer em toda página pública (landing, /auth, /r/[slug]).</w:t>
      </w:r>
    </w:p>
    <w:p>
      <w:pPr>
        <w:pStyle w:val="Heading2"/>
        <w:spacing w:after="160" w:before="280"/>
      </w:pPr>
      <w:r>
        <w:t xml:space="preserve">6.11 Copy em português (starter pack)</w:t>
      </w:r>
    </w:p>
    <w:p>
      <w:pPr>
        <w:spacing w:after="120" w:before="60" w:line="300"/>
        <w:jc w:val="left"/>
      </w:pPr>
      <w:r>
        <w:t xml:space="preserve">Para reduzir tempo de implementação, uma primeira versão pronta dos textos-chave da landing:</w:t>
      </w:r>
    </w:p>
    <w:p>
      <w:pPr>
        <w:pBdr>
          <w:left w:val="single" w:color="4A7C59" w:sz="18" w:space="12"/>
        </w:pBdr>
        <w:spacing w:after="200" w:before="160"/>
        <w:ind w:left="360"/>
      </w:pPr>
      <w:r>
        <w:rPr>
          <w:i/>
          <w:iCs/>
          <w:color w:val="1C2B20"/>
          <w:sz w:val="24"/>
          <w:szCs w:val="24"/>
        </w:rPr>
        <w:t xml:space="preserve">“Análise de investimento imobiliário em minutos, não em planilhas.”</w:t>
      </w:r>
      <w:r>
        <w:rPr>
          <w:color w:val="6B7280"/>
          <w:sz w:val="20"/>
          <w:szCs w:val="20"/>
        </w:rPr>
        <w:t xml:space="preserve"> — Hero · H1</w:t>
      </w:r>
    </w:p>
    <w:p>
      <w:pPr>
        <w:pBdr>
          <w:left w:val="single" w:color="4A7C59" w:sz="18" w:space="12"/>
        </w:pBdr>
        <w:spacing w:after="200" w:before="160"/>
        <w:ind w:left="360"/>
      </w:pPr>
      <w:r>
        <w:rPr>
          <w:i/>
          <w:iCs/>
          <w:color w:val="1C2B20"/>
          <w:sz w:val="24"/>
          <w:szCs w:val="24"/>
        </w:rPr>
        <w:t xml:space="preserve">“Precisão editorial para suas decisões de capital. Rentabilidade, fluxo de caixa, ITBI, comparativo com CDI — em uma ferramenta feita para o Brasil.”</w:t>
      </w:r>
      <w:r>
        <w:rPr>
          <w:color w:val="6B7280"/>
          <w:sz w:val="20"/>
          <w:szCs w:val="20"/>
        </w:rPr>
        <w:t xml:space="preserve"> — Hero · Lead</w:t>
      </w:r>
    </w:p>
    <w:p>
      <w:pPr>
        <w:pBdr>
          <w:left w:val="single" w:color="4A7C59" w:sz="18" w:space="12"/>
        </w:pBdr>
        <w:spacing w:after="200" w:before="160"/>
        <w:ind w:left="360"/>
      </w:pPr>
      <w:r>
        <w:rPr>
          <w:i/>
          <w:iCs/>
          <w:color w:val="1C2B20"/>
          <w:sz w:val="24"/>
          <w:szCs w:val="24"/>
        </w:rPr>
        <w:t xml:space="preserve">“Sem cartão de crédito · Primeira análise em 3 minutos · 100% em português”</w:t>
      </w:r>
      <w:r>
        <w:rPr>
          <w:color w:val="6B7280"/>
          <w:sz w:val="20"/>
          <w:szCs w:val="20"/>
        </w:rPr>
        <w:t xml:space="preserve"> — Hero · Reassurance</w:t>
      </w:r>
    </w:p>
    <w:p>
      <w:pPr>
        <w:pBdr>
          <w:left w:val="single" w:color="4A7C59" w:sz="18" w:space="12"/>
        </w:pBdr>
        <w:spacing w:after="200" w:before="160"/>
        <w:ind w:left="360"/>
      </w:pPr>
      <w:r>
        <w:rPr>
          <w:i/>
          <w:iCs/>
          <w:color w:val="1C2B20"/>
          <w:sz w:val="24"/>
          <w:szCs w:val="24"/>
        </w:rPr>
        <w:t xml:space="preserve">“Decisões baseadas em dados, não em palpites.”</w:t>
      </w:r>
      <w:r>
        <w:rPr>
          <w:color w:val="6B7280"/>
          <w:sz w:val="20"/>
          <w:szCs w:val="20"/>
        </w:rPr>
        <w:t xml:space="preserve"> — Banner · Título</w:t>
      </w:r>
    </w:p>
    <w:p>
      <w:pPr>
        <w:pBdr>
          <w:left w:val="single" w:color="4A7C59" w:sz="18" w:space="12"/>
        </w:pBdr>
        <w:spacing w:after="200" w:before="160"/>
        <w:ind w:left="360"/>
      </w:pPr>
      <w:r>
        <w:rPr>
          <w:i/>
          <w:iCs/>
          <w:color w:val="1C2B20"/>
          <w:sz w:val="24"/>
          <w:szCs w:val="24"/>
        </w:rPr>
        <w:t xml:space="preserve">“Tributação brasileira embutida. Benchmarks oficiais. Cálculos auditáveis. Você analisa, o ImóYield faz a conta.”</w:t>
      </w:r>
      <w:r>
        <w:rPr>
          <w:color w:val="6B7280"/>
          <w:sz w:val="20"/>
          <w:szCs w:val="20"/>
        </w:rPr>
        <w:t xml:space="preserve"> — Banner · Lead</w:t>
      </w:r>
    </w:p>
    <w:p>
      <w:pPr>
        <w:pBdr>
          <w:left w:val="single" w:color="4A7C59" w:sz="18" w:space="12"/>
        </w:pBdr>
        <w:spacing w:after="200" w:before="160"/>
        <w:ind w:left="360"/>
      </w:pPr>
      <w:r>
        <w:rPr>
          <w:i/>
          <w:iCs/>
          <w:color w:val="1C2B20"/>
          <w:sz w:val="24"/>
          <w:szCs w:val="24"/>
        </w:rPr>
        <w:t xml:space="preserve">“Pronto para analisar seu próximo imóvel?”</w:t>
      </w:r>
      <w:r>
        <w:rPr>
          <w:color w:val="6B7280"/>
          <w:sz w:val="20"/>
          <w:szCs w:val="20"/>
        </w:rPr>
        <w:t xml:space="preserve"> — CTA final</w:t>
      </w:r>
    </w:p>
    <w:p>
      <w:pPr>
        <w:pStyle w:val="Heading1"/>
        <w:pageBreakBefore/>
        <w:spacing w:after="200" w:before="360"/>
      </w:pPr>
      <w:r>
        <w:t xml:space="preserve">Parte VII · Autenticação</w:t>
      </w:r>
    </w:p>
    <w:p>
      <w:pPr>
        <w:spacing w:after="200" w:before="120" w:line="320"/>
      </w:pPr>
      <w:r>
        <w:rPr>
          <w:i/>
          <w:iCs/>
          <w:color w:val="6B7280"/>
          <w:sz w:val="24"/>
          <w:szCs w:val="24"/>
        </w:rPr>
        <w:t xml:space="preserve">A página de login/cadastro não é uma tela de serviço. É a primeira tela do produto — a mais importante do funil depois do hero. Aqui se ganha ou se perde metade dos visitantes qualificados.</w:t>
      </w:r>
    </w:p>
    <w:p>
      <w:pPr>
        <w:pStyle w:val="Heading2"/>
        <w:spacing w:after="160" w:before="280"/>
      </w:pPr>
      <w:r>
        <w:t xml:space="preserve">7.1 Diagnóstico do estado atual</w:t>
      </w:r>
    </w:p>
    <w:p>
      <w:pPr>
        <w:spacing w:after="120" w:before="60" w:line="300"/>
        <w:jc w:val="left"/>
      </w:pPr>
      <w:r>
        <w:t xml:space="preserve">A página /auth do MVP hoje usa o Supabase Auth UI (ThemeSupa) com cores do produto sobrepostas. O resultado é funcional e visualmente consistente com o resto do produto — mas três problemas enfraquecem a conversão. Primeiro, a página é single-column e minimalista a ponto de parecer vazia, sem reforçar nenhuma das nove âncoras de confiança. Segundo, o componente do Supabase é genérico e limita customizações de copy e layout. Terceiro, não há diferenciação entre a experiência de login (usuário retornando) e cadastro (usuário novo, emocionalmente mais sensível).</w:t>
      </w:r>
    </w:p>
    <w:p>
      <w:pPr>
        <w:pStyle w:val="Heading2"/>
        <w:spacing w:after="160" w:before="280"/>
      </w:pPr>
      <w:r>
        <w:t xml:space="preserve">7.2 Nova estrutura: layout de duas colunas com reforço de confiança</w:t>
      </w:r>
    </w:p>
    <w:p>
      <w:pPr>
        <w:spacing w:after="120" w:before="60" w:line="300"/>
        <w:jc w:val="left"/>
      </w:pPr>
      <w:r>
        <w:t xml:space="preserve">A recomendação é migrar para um layout de duas colunas em desktop (50/50 ou 40/60), empilhado em mobile. A coluna da esquerda é o formulário; a coluna da direita é um painel de reforço — e ela trabalha ativamente pela conversão.</w:t>
      </w:r>
    </w:p>
    <w:p>
      <w:pPr>
        <w:spacing w:after="120" w:before="60" w:line="300"/>
        <w:jc w:val="left"/>
      </w:pPr>
      <w:r>
        <w:t xml:space="preserve">A coluna da esquerda mantém o essencial: logo ImóYield + chip "beta" no topo, título contextualizado ("Entrar" ou "Criar conta"), subtítulo de uma linha, os campos, o botão primário, e um link secundário para alternar modo (login ↔ cadastro). Não há como fugir da estrutura genérica de formulário de autenticação; o trabalho é torná-la particular pelos detalhes — tipografia, ritmo, copy. Abaixo do botão primário, um texto pequeno de reassurance ("Seus dados ficam privados. Nenhum clique em spam. Cancele quando quiser.") que faz trabalho desproporcional por seu tamanho.</w:t>
      </w:r>
    </w:p>
    <w:p>
      <w:pPr>
        <w:spacing w:after="120" w:before="60" w:line="300"/>
        <w:jc w:val="left"/>
      </w:pPr>
      <w:r>
        <w:t xml:space="preserve">A coluna da direita é onde a diferenciação acontece. Quatro blocos sutis, empilhados, nunca invasivos. Bloco 1 — uma citação editorial de 1 a 2 frases em itálico serifado, com atribuição (corretor, investidor ou fonte de imprensa). Bloco 2 — três "mini-âncoras" em monoespaçada pequena: "CDI atualizado semanalmente · Cálculos auditáveis · ITBI configurável por município". Bloco 3 — opcional, um mini-KPI ("1.247 análises realizadas no último mês") que cresce com o tempo e sinaliza tração; enquanto o número for pequeno, substituir por outro reforço. Bloco 4 — no rodapé da coluna, um link discreto "Voltar para o site" que evita prender o visitante.</w:t>
      </w:r>
    </w:p>
    <w:p>
      <w:pPr>
        <w:spacing w:after="120" w:before="60" w:line="300"/>
        <w:jc w:val="left"/>
      </w:pPr>
      <w:r>
        <w:t xml:space="preserve">Em mobile, a coluna da direita vira um bloco colapsável no topo ("Por que o ImóYield?" com accordion), priorizando o formulário.</w:t>
      </w:r>
    </w:p>
    <w:p>
      <w:pPr>
        <w:pStyle w:val="Heading2"/>
        <w:spacing w:after="160" w:before="280"/>
      </w:pPr>
      <w:r>
        <w:t xml:space="preserve">7.3 Estados visuais</w:t>
      </w:r>
    </w:p>
    <w:p>
      <w:pPr>
        <w:spacing w:after="120" w:before="60" w:line="300"/>
        <w:jc w:val="left"/>
      </w:pPr>
      <w:r>
        <w:t xml:space="preserve">Sete estados precisam ser projetados com o mesmo cuidado, não apenas o estado inicial "vazio". Um produto financeiro é julgado pelos seus estados de erro tanto quanto pelo seu estado de sucesso.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Estado</w:t>
            </w:r>
          </w:p>
        </w:tc>
        <w:tc>
          <w:tcPr>
            <w:tcW w:type="dxa" w:w="3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Gatilho</w:t>
            </w:r>
          </w:p>
        </w:tc>
        <w:tc>
          <w:tcPr>
            <w:tcW w:type="dxa" w:w="45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Comportamento visual</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Inicial</w:t>
            </w:r>
          </w:p>
        </w:tc>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Primeira renderização</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Formulário limpo. Foco automático no campo email.</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Digitando</w:t>
            </w:r>
          </w:p>
        </w:tc>
        <w:tc>
          <w:tcPr>
            <w:tcW w:type="dxa" w:w="3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Usuário está preenchendo</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Sem validação agressiva. Validar apenas no blur.</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Submitting</w:t>
            </w:r>
          </w:p>
        </w:tc>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Clicou em entrar/cadastrar</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Botão vira disabled com label "Entrando..." e spinner inline (não a página inteira).</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Erro de credencial</w:t>
            </w:r>
          </w:p>
        </w:tc>
        <w:tc>
          <w:tcPr>
            <w:tcW w:type="dxa" w:w="3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Email/senha incorretos</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Alert destructive acima do formulário: "Email ou senha incorretos." Mantém valores preenchidos.</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Erro de rede</w:t>
            </w:r>
          </w:p>
        </w:tc>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Falha de conexão ou servidor</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Alert warning: "Não conseguimos completar. Tente novamente em alguns segundos."</w:t>
            </w:r>
          </w:p>
        </w:tc>
      </w:tr>
      <w:tr>
        <w:trPr>
          <w:tblHeader w:val="false"/>
        </w:trPr>
        <w:tc>
          <w:tcPr>
            <w:tcW w:type="dxa" w:w="18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Sucesso de login</w:t>
            </w:r>
          </w:p>
        </w:tc>
        <w:tc>
          <w:tcPr>
            <w:tcW w:type="dxa" w:w="30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Autenticado</w:t>
            </w:r>
          </w:p>
        </w:tc>
        <w:tc>
          <w:tcPr>
            <w:tcW w:type="dxa" w:w="45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Alert success inline por 800ms com mensagem, depois redirect.</w:t>
            </w:r>
          </w:p>
        </w:tc>
      </w:tr>
      <w:tr>
        <w:trPr>
          <w:tblHeader w:val="false"/>
        </w:trPr>
        <w:tc>
          <w:tcPr>
            <w:tcW w:type="dxa" w:w="18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Sucesso de cadastro</w:t>
            </w:r>
          </w:p>
        </w:tc>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Email de verificação enviado</w:t>
            </w:r>
          </w:p>
        </w:tc>
        <w:tc>
          <w:tcPr>
            <w:tcW w:type="dxa" w:w="45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Substitui formulário por painel de confirmação com ícone de email grande, instrução clara, botão "Reenviar email".</w:t>
            </w:r>
          </w:p>
        </w:tc>
      </w:tr>
    </w:tbl>
    <w:p>
      <w:pPr>
        <w:pStyle w:val="Heading2"/>
        <w:spacing w:after="160" w:before="280"/>
      </w:pPr>
      <w:r>
        <w:t xml:space="preserve">7.4 Recuperação de senha e confirmação de email</w:t>
      </w:r>
    </w:p>
    <w:p>
      <w:pPr>
        <w:spacing w:after="120" w:before="60" w:line="300"/>
        <w:jc w:val="left"/>
      </w:pPr>
      <w:r>
        <w:t xml:space="preserve">Dois subfluxos que normalmente são esquecidos no MVP mas que carregam peso enorme de confiança. Para recuperação de senha, o fluxo é: link "Esqueceu a senha?" abaixo do campo de senha → nova página /auth/reset com campo de email → feedback de sucesso neutro ("Se esse email existir, você receberá instruções") — nunca revelar se o email está cadastrado, por segurança → email leva para /auth/reset/[token] com dois campos (nova senha + confirmação).</w:t>
      </w:r>
    </w:p>
    <w:p>
      <w:pPr>
        <w:spacing w:after="120" w:before="60" w:line="300"/>
        <w:jc w:val="left"/>
      </w:pPr>
      <w:r>
        <w:t xml:space="preserve">Para confirmação de email pós-cadastro, uma página dedicada /auth/check-email (ou painel substituindo o formulário) com mensagem explícita, ícone grande de envelope em outline, e três alternativas úteis: "Reenviar email", "Mudar endereço", "Voltar para entrar". Em 90% dos casos, o usuário quer mudar o endereço porque errou na digitação — esse caminho precisa ser visível, não escondido.</w:t>
      </w:r>
    </w:p>
    <w:p>
      <w:pPr>
        <w:pStyle w:val="Heading2"/>
        <w:spacing w:after="160" w:before="280"/>
      </w:pPr>
      <w:r>
        <w:t xml:space="preserve">7.5 Copy em português (starter pack)</w:t>
      </w:r>
    </w:p>
    <w:p>
      <w:pPr>
        <w:pBdr>
          <w:left w:val="single" w:color="4A7C59" w:sz="18" w:space="12"/>
        </w:pBdr>
        <w:spacing w:after="200" w:before="160"/>
        <w:ind w:left="360"/>
      </w:pPr>
      <w:r>
        <w:rPr>
          <w:i/>
          <w:iCs/>
          <w:color w:val="1C2B20"/>
          <w:sz w:val="24"/>
          <w:szCs w:val="24"/>
        </w:rPr>
        <w:t xml:space="preserve">“Entrar na plataforma”</w:t>
      </w:r>
      <w:r>
        <w:rPr>
          <w:color w:val="6B7280"/>
          <w:sz w:val="20"/>
          <w:szCs w:val="20"/>
        </w:rPr>
        <w:t xml:space="preserve"> — Login · Título</w:t>
      </w:r>
    </w:p>
    <w:p>
      <w:pPr>
        <w:pBdr>
          <w:left w:val="single" w:color="4A7C59" w:sz="18" w:space="12"/>
        </w:pBdr>
        <w:spacing w:after="200" w:before="160"/>
        <w:ind w:left="360"/>
      </w:pPr>
      <w:r>
        <w:rPr>
          <w:i/>
          <w:iCs/>
          <w:color w:val="1C2B20"/>
          <w:sz w:val="24"/>
          <w:szCs w:val="24"/>
        </w:rPr>
        <w:t xml:space="preserve">“Bem-vindo de volta. Suas análises estão onde você deixou.”</w:t>
      </w:r>
      <w:r>
        <w:rPr>
          <w:color w:val="6B7280"/>
          <w:sz w:val="20"/>
          <w:szCs w:val="20"/>
        </w:rPr>
        <w:t xml:space="preserve"> — Login · Subtítulo</w:t>
      </w:r>
    </w:p>
    <w:p>
      <w:pPr>
        <w:pBdr>
          <w:left w:val="single" w:color="4A7C59" w:sz="18" w:space="12"/>
        </w:pBdr>
        <w:spacing w:after="200" w:before="160"/>
        <w:ind w:left="360"/>
      </w:pPr>
      <w:r>
        <w:rPr>
          <w:i/>
          <w:iCs/>
          <w:color w:val="1C2B20"/>
          <w:sz w:val="24"/>
          <w:szCs w:val="24"/>
        </w:rPr>
        <w:t xml:space="preserve">“Criar sua conta”</w:t>
      </w:r>
      <w:r>
        <w:rPr>
          <w:color w:val="6B7280"/>
          <w:sz w:val="20"/>
          <w:szCs w:val="20"/>
        </w:rPr>
        <w:t xml:space="preserve"> — Cadastro · Título</w:t>
      </w:r>
    </w:p>
    <w:p>
      <w:pPr>
        <w:pBdr>
          <w:left w:val="single" w:color="4A7C59" w:sz="18" w:space="12"/>
        </w:pBdr>
        <w:spacing w:after="200" w:before="160"/>
        <w:ind w:left="360"/>
      </w:pPr>
      <w:r>
        <w:rPr>
          <w:i/>
          <w:iCs/>
          <w:color w:val="1C2B20"/>
          <w:sz w:val="24"/>
          <w:szCs w:val="24"/>
        </w:rPr>
        <w:t xml:space="preserve">“Comece a analisar imóveis em menos de 3 minutos. Sem cartão.”</w:t>
      </w:r>
      <w:r>
        <w:rPr>
          <w:color w:val="6B7280"/>
          <w:sz w:val="20"/>
          <w:szCs w:val="20"/>
        </w:rPr>
        <w:t xml:space="preserve"> — Cadastro · Subtítulo</w:t>
      </w:r>
    </w:p>
    <w:p>
      <w:pPr>
        <w:pBdr>
          <w:left w:val="single" w:color="4A7C59" w:sz="18" w:space="12"/>
        </w:pBdr>
        <w:spacing w:after="200" w:before="160"/>
        <w:ind w:left="360"/>
      </w:pPr>
      <w:r>
        <w:rPr>
          <w:i/>
          <w:iCs/>
          <w:color w:val="1C2B20"/>
          <w:sz w:val="24"/>
          <w:szCs w:val="24"/>
        </w:rPr>
        <w:t xml:space="preserve">“Enviamos um email de confirmação para {email}. Abra a mensagem e clique no link para ativar sua conta.”</w:t>
      </w:r>
      <w:r>
        <w:rPr>
          <w:color w:val="6B7280"/>
          <w:sz w:val="20"/>
          <w:szCs w:val="20"/>
        </w:rPr>
        <w:t xml:space="preserve"> — Pós-cadastro · Mensagem</w:t>
      </w:r>
    </w:p>
    <w:p>
      <w:pPr>
        <w:pBdr>
          <w:left w:val="single" w:color="4A7C59" w:sz="18" w:space="12"/>
        </w:pBdr>
        <w:spacing w:after="200" w:before="160"/>
        <w:ind w:left="360"/>
      </w:pPr>
      <w:r>
        <w:rPr>
          <w:i/>
          <w:iCs/>
          <w:color w:val="1C2B20"/>
          <w:sz w:val="24"/>
          <w:szCs w:val="24"/>
        </w:rPr>
        <w:t xml:space="preserve">“Esqueceu a senha? Sem problemas.”</w:t>
      </w:r>
      <w:r>
        <w:rPr>
          <w:color w:val="6B7280"/>
          <w:sz w:val="20"/>
          <w:szCs w:val="20"/>
        </w:rPr>
        <w:t xml:space="preserve"> — Recuperação · Título</w:t>
      </w:r>
    </w:p>
    <w:p>
      <w:pPr>
        <w:pBdr>
          <w:left w:val="single" w:color="4A7C59" w:sz="18" w:space="12"/>
        </w:pBdr>
        <w:spacing w:after="200" w:before="160"/>
        <w:ind w:left="360"/>
      </w:pPr>
      <w:r>
        <w:rPr>
          <w:i/>
          <w:iCs/>
          <w:color w:val="1C2B20"/>
          <w:sz w:val="24"/>
          <w:szCs w:val="24"/>
        </w:rPr>
        <w:t xml:space="preserve">“Informe o email da sua conta. Se ele estiver cadastrado, você receberá instruções em alguns minutos.”</w:t>
      </w:r>
      <w:r>
        <w:rPr>
          <w:color w:val="6B7280"/>
          <w:sz w:val="20"/>
          <w:szCs w:val="20"/>
        </w:rPr>
        <w:t xml:space="preserve"> — Recuperação · Subtítulo</w:t>
      </w:r>
    </w:p>
    <w:p>
      <w:pPr>
        <w:pStyle w:val="Heading1"/>
        <w:pageBreakBefore/>
        <w:spacing w:after="200" w:before="360"/>
      </w:pPr>
      <w:r>
        <w:t xml:space="preserve">Parte VIII · Coesão nas demais páginas</w:t>
      </w:r>
    </w:p>
    <w:p>
      <w:pPr>
        <w:spacing w:after="200" w:before="120" w:line="320"/>
      </w:pPr>
      <w:r>
        <w:rPr>
          <w:i/>
          <w:iCs/>
          <w:color w:val="6B7280"/>
          <w:sz w:val="24"/>
          <w:szCs w:val="24"/>
        </w:rPr>
        <w:t xml:space="preserve">Especificações mais curtas, orientadas a garantir que o restante do produto — dashboard, wizard, detalhe, relatório compartilhado — respire o mesmo ar da landing e da autenticação.</w:t>
      </w:r>
    </w:p>
    <w:p>
      <w:pPr>
        <w:pStyle w:val="Heading2"/>
        <w:spacing w:after="160" w:before="280"/>
      </w:pPr>
      <w:r>
        <w:t xml:space="preserve">8.1 /propriedades — o dashboard</w:t>
      </w:r>
    </w:p>
    <w:p>
      <w:pPr>
        <w:spacing w:after="120" w:before="60" w:line="300"/>
        <w:jc w:val="left"/>
      </w:pPr>
      <w:r>
        <w:t xml:space="preserve">O dashboard é o hub de retorno do usuário. Sua função primária é fazer o usuário encontrar rapidamente um deal salvo ou iniciar um novo. A implementação atual (PropertiesPage.tsx) já organiza deals em três categorias de DealCheck (Aluguéis, Airbnb, Flip) — isso está correto e deve ser preservado.</w:t>
      </w:r>
    </w:p>
    <w:p>
      <w:pPr>
        <w:spacing w:after="120" w:before="60" w:line="300"/>
        <w:jc w:val="left"/>
      </w:pPr>
      <w:r>
        <w:t xml:space="preserve">Três refinamentos visuais recomendados. Primeiro, empty state deliberado: quando não há deals em uma categoria, mostrar um EmptyState com ilustração tipográfica (número grande "0" serifado em #E2E0DA), título "Nenhum deal analisado ainda" e CTA primário. Hoje o vazio aparece vazio demais. Segundo, card de deal com densidade informacional maior: cada card mostra endereço, 4 KPIs em monoespaçada (preço, fluxo mensal, yield, payback), badge de categoria, timestamp de última edição. Em grid de 2 colunas em desktop e 1 em mobile — não 3 colunas, que esmaga a informação. Terceiro, header do dashboard com KPIs agregados: total de deals, valor total em análise, fluxo de caixa consolidado médio — isso dá sentido de portfólio, mesmo para investidor com 3 deals.</w:t>
      </w:r>
    </w:p>
    <w:p>
      <w:pPr>
        <w:spacing w:after="120" w:before="60" w:line="300"/>
        <w:jc w:val="left"/>
      </w:pPr>
      <w:r>
        <w:t xml:space="preserve">Para Patrícia (agência), esse agregado é o ganho de uso cotidiano mais relevante — conseguir mostrar ao chefe ou cliente "tenho 14 imóveis em análise totalizando R$ 6,2 milhões". Para Marcos, é um reforço de que o trabalho dele está acumulando valor.</w:t>
      </w:r>
    </w:p>
    <w:p>
      <w:pPr>
        <w:pStyle w:val="Heading2"/>
        <w:spacing w:after="160" w:before="280"/>
      </w:pPr>
      <w:r>
        <w:t xml:space="preserve">8.2 Wizard de análise (componente DealWizard)</w:t>
      </w:r>
    </w:p>
    <w:p>
      <w:pPr>
        <w:spacing w:after="120" w:before="60" w:line="300"/>
        <w:jc w:val="left"/>
      </w:pPr>
      <w:r>
        <w:t xml:space="preserve">O wizard é o bloco do produto em que o cuidado de design mais compensa. É onde o usuário gasta 3 a 8 minutos por deal e onde o atrito faz mais estrago. Quatro diretrizes.</w:t>
      </w:r>
    </w:p>
    <w:p>
      <w:pPr>
        <w:spacing w:after="120" w:before="60" w:line="300"/>
        <w:jc w:val="left"/>
      </w:pPr>
      <w:r>
        <w:t xml:space="preserve">Primeira: progressão visível e não intimidante. Stepper horizontal no topo com 4 a 6 passos, cada passo com número, label e estado (concluído, atual, futuro). Em concluído, ticking visual sutil; em atual, ring brand 2px; em futuro, cinza. Nunca mostrar ao usuário os 14 passos do DealCheck original de uma vez — agrupar em 4 macro-passos: "Imóvel", "Compra", "Renda e despesas", "Financiamento".</w:t>
      </w:r>
    </w:p>
    <w:p>
      <w:pPr>
        <w:spacing w:after="120" w:before="60" w:line="300"/>
        <w:jc w:val="left"/>
      </w:pPr>
      <w:r>
        <w:t xml:space="preserve">Segunda: valores default inteligentes e ajuda inline. Todo campo numérico tem um default razoável para o mercado brasileiro (ITBI 3%, IPTU como % do valor venal, juros do financiamento conforme SFH corrente). Todo campo com jargão técnico tem um ícone "i" em outline que abre um Tooltip de 2 a 3 frases com exemplo numérico. Essa é a intervenção que mais converte Patrícia, e a que mais reduz abandono do Marcos. Terceira: feedback em tempo real sem sobrecarga. Campos numéricos interligados (ex: entrada como % do preço e entrada em R$) sincronizam em tempo real. Erros de validação aparecem apenas no blur ou na tentativa de avançar. Quarta: salvar rascunho automático. Zustand já é usado; basta sincronizar periodicamente com Supabase para que o usuário possa voltar ao mesmo ponto amanhã.</w:t>
      </w:r>
    </w:p>
    <w:p>
      <w:pPr>
        <w:pStyle w:val="Heading2"/>
        <w:spacing w:after="160" w:before="280"/>
      </w:pPr>
      <w:r>
        <w:t xml:space="preserve">8.3 /imoveis/[id] — detalhe do deal (momento aha)</w:t>
      </w:r>
    </w:p>
    <w:p>
      <w:pPr>
        <w:spacing w:after="120" w:before="60" w:line="300"/>
        <w:jc w:val="left"/>
      </w:pPr>
      <w:r>
        <w:t xml:space="preserve">Esta é a tela mais importante do produto — onde o valor é percebido. Segue o padrão DealCheck de abas: Summary / Analysis / Projections / Comps / Report. Três recomendações de linguagem visual.</w:t>
      </w:r>
    </w:p>
    <w:p>
      <w:pPr>
        <w:spacing w:after="120" w:before="60" w:line="300"/>
        <w:jc w:val="left"/>
      </w:pPr>
      <w:r>
        <w:t xml:space="preserve">Na aba Summary, três zonas claramente delimitadas. Topo: título do deal (editável inline), endereço, categoria, metadados. Centro: grid de 6 KPIs de destaque — os "seis grandes" (yield bruto, cap rate, fluxo mensal, TIR, payback, ROI projetado 10 anos). Cada KPI em monoespaçada grande com label em eyebrow e, crucialmente, comparador: ao lado de cada KPI, um mini-gráfico barra horizontal de 40px x 4px mostrando posição relativa ao CDI ou média de mercado. Baixo: um único gráfico de fluxo de caixa 30 anos em Recharts, com linha do deal vs linha do CDI composto.</w:t>
      </w:r>
    </w:p>
    <w:p>
      <w:pPr>
        <w:spacing w:after="120" w:before="60" w:line="300"/>
        <w:jc w:val="left"/>
      </w:pPr>
      <w:r>
        <w:t xml:space="preserve">Nas abas Analysis e Projections, tabelas densas em monoespaçada, com zebra striping sutil (#FAFAF8 / #F8F7F4 alternados) e totals em bold. Nunca ordenar valores por estética — ordenar por lógica financeira (receita → despesa → NOI → financiamento → fluxo de caixa). Na aba Report, checklist de seções a incluir no PDF, preview à direita atualizando em tempo real, CTA primário "Gerar PDF" e secundário "Copiar link compartilhável".</w:t>
      </w:r>
    </w:p>
    <w:p>
      <w:pPr>
        <w:pStyle w:val="Heading2"/>
        <w:spacing w:after="160" w:before="280"/>
      </w:pPr>
      <w:r>
        <w:t xml:space="preserve">8.4 /r/[slug] — o relatório compartilhado</w:t>
      </w:r>
    </w:p>
    <w:p>
      <w:pPr>
        <w:spacing w:after="120" w:before="60" w:line="300"/>
        <w:jc w:val="left"/>
      </w:pPr>
      <w:r>
        <w:t xml:space="preserve">Esta é a página mais subestimada do produto — e uma das mais importantes para marketing. Cada link compartilhado é um cartão de visita do ImóYield para uma nova pessoa. Três regras.</w:t>
      </w:r>
    </w:p>
    <w:p>
      <w:pPr>
        <w:spacing w:after="120" w:before="60" w:line="300"/>
        <w:jc w:val="left"/>
      </w:pPr>
      <w:r>
        <w:t xml:space="preserve">Primeira: a página /r/[slug] deve ser mais bonita que o dashboard logado. É literal — é o cartão de visita. Usar layout de relatório impresso: header com nome do deal + autor (ou logo do cliente em white-label) + data, corpo com as mesmas seções do detalhe mas sem abas — tudo consumível por scroll, como um artigo. Segunda: não pedir autenticação, mas oferecer. No rodapé, um CTA discreto "Criar minha própria análise →" que leva para /auth com flag de referral. Isso transforma o relatório em aquisição. Terceira: otimizar para compartilhamento. Metatags Open Graph geradas dinamicamente com uma imagem de preview que mostra os KPIs principais do deal — o link compartilhado no WhatsApp ou email vira preview rico.</w:t>
      </w:r>
    </w:p>
    <w:p>
      <w:pPr>
        <w:pStyle w:val="Heading1"/>
        <w:pageBreakBefore/>
        <w:spacing w:after="200" w:before="360"/>
      </w:pPr>
      <w:r>
        <w:t xml:space="preserve">Parte IX · Handoff para engenharia</w:t>
      </w:r>
    </w:p>
    <w:p>
      <w:pPr>
        <w:spacing w:after="200" w:before="120" w:line="320"/>
      </w:pPr>
      <w:r>
        <w:rPr>
          <w:i/>
          <w:iCs/>
          <w:color w:val="6B7280"/>
          <w:sz w:val="24"/>
          <w:szCs w:val="24"/>
        </w:rPr>
        <w:t xml:space="preserve">Checklist arquivo-por-arquivo, tokens a adicionar, componentes a instalar, libs opcionais. Nada aqui precisa de interpretação — é a ponte entre este documento e o PR.</w:t>
      </w:r>
    </w:p>
    <w:p>
      <w:pPr>
        <w:pStyle w:val="Heading2"/>
        <w:spacing w:after="160" w:before="280"/>
      </w:pPr>
      <w:r>
        <w:t xml:space="preserve">9.1 Extensões de tokens em src/app/globals.css</w:t>
      </w:r>
    </w:p>
    <w:p>
      <w:pPr>
        <w:spacing w:after="120" w:before="60" w:line="300"/>
        <w:jc w:val="left"/>
      </w:pPr>
      <w:r>
        <w:t xml:space="preserve">Adicionar, dentro do bloco :root, os seguintes novos tokens semânticos. Manter os existentes.</w:t>
      </w:r>
    </w:p>
    <w:p>
      <w:pPr>
        <w:spacing w:after="120" w:before="60" w:line="300"/>
        <w:jc w:val="left"/>
      </w:pPr>
      <w:r>
        <w:t xml:space="preserve">Blocos sugeridos (comentários inclusos como guia):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Token</w:t>
            </w:r>
          </w:p>
        </w:tc>
        <w:tc>
          <w:tcPr>
            <w:tcW w:type="dxa" w:w="6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Valor sugerido</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--positive-strong</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#2F855A — Texto de retorno positivo</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--positive</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#4A7C59 — Alinhado à marca (uso em badge)</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--positive-soft</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#EBF3EE — Background suave</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--warning-strong</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#B45309</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--warning</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#D97706</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--warning-soft</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#FEF3C7</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--negative-strong</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#B91C1C</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--negative</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#DC2626</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--negative-soft</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#FEE2E2</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--info-strong</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#1E40AF</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--info</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#3B82F6</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--info-soft</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#DBEAFE</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--content-max-marketing</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64rem (1024px)</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--content-max-app</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72rem (1152px)</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--shadow-popover</w:t>
            </w:r>
          </w:p>
        </w:tc>
        <w:tc>
          <w:tcPr>
            <w:tcW w:type="dxa" w:w="6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0 10px 30px rgba(28,43,32,0.08)</w:t>
            </w:r>
          </w:p>
        </w:tc>
      </w:tr>
      <w:tr>
        <w:trPr>
          <w:tblHeader w:val="false"/>
        </w:trPr>
        <w:tc>
          <w:tcPr>
            <w:tcW w:type="dxa" w:w="30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--shadow-modal</w:t>
            </w:r>
          </w:p>
        </w:tc>
        <w:tc>
          <w:tcPr>
            <w:tcW w:type="dxa" w:w="6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0 20px 50px rgba(28,43,32,0.12)</w:t>
            </w:r>
          </w:p>
        </w:tc>
      </w:tr>
    </w:tbl>
    <w:p>
      <w:pPr>
        <w:pStyle w:val="Heading2"/>
        <w:spacing w:after="160" w:before="280"/>
      </w:pPr>
      <w:r>
        <w:t xml:space="preserve">9.2 Arquivos afetados — checklist</w:t>
      </w:r>
    </w:p>
    <w:p>
      <w:pPr>
        <w:spacing w:after="120" w:before="60" w:line="300"/>
        <w:jc w:val="left"/>
      </w:pPr>
      <w:r>
        <w:t xml:space="preserve">A lista abaixo é indicativa e deve ser cruzada com o estado do repositório no momento da implementação. Cada item indica o escopo mínimo da mudança.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Arquivo</w:t>
            </w:r>
          </w:p>
        </w:tc>
        <w:tc>
          <w:tcPr>
            <w:tcW w:type="dxa" w:w="240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Fase</w:t>
            </w:r>
          </w:p>
        </w:tc>
        <w:tc>
          <w:tcPr>
            <w:tcW w:type="dxa" w:w="3360"/>
            <w:tcBorders>
              <w:top w:val="single" w:color="E2E0DA" w:sz="4"/>
              <w:left w:val="single" w:color="E2E0DA" w:sz="4"/>
              <w:bottom w:val="single" w:color="E2E0DA" w:sz="4"/>
              <w:right w:val="single" w:color="E2E0DA" w:sz="4"/>
            </w:tcBorders>
            <w:shd w:fill="4A7C59" w:val="clear"/>
            <w:tcMar>
              <w:top w:type="dxa" w:w="100"/>
              <w:left w:type="dxa" w:w="160"/>
              <w:bottom w:type="dxa" w:w="100"/>
              <w:right w:type="dxa" w:w="160"/>
            </w:tcMar>
          </w:tcPr>
          <w:p>
            <w:r>
              <w:rPr>
                <w:b/>
                <w:bCs/>
                <w:color w:val="FFFFFF"/>
              </w:rPr>
              <w:t xml:space="preserve">Escopo</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src/app/globals.css</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1</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 tokens semânticos, escala tipográfica como classes utilitárias opcionais.</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src/app/page.tsx</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1</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Reestruturar em 9 blocos. Dual-path hero. Blocos 4–9 novos.</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src/app/auth/page.tsx</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2</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Layout duas colunas. Painel lateral de confiança. Estados custom.</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src/components/layout/</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1</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Criar PageContainer, SectionHeader, EmptyState.</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src/components/layout/TopNav.tsx</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1</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Adicionar breadcrumb opcional em /imoveis/[id].</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src/components/ui/</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1–2</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Adicionar Dialog, Select, Tabs, Tooltip, Alert, Badge, Toast, Progress, Skeleton, Popover, Sheet, Accordion via shadcn CLI.</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src/components/properties/PropertiesPage.tsx</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2</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Empty state novo; header com KPIs agregados.</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src/components/dashboard/DealCard.tsx</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2</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Densidade informacional maior: 4 KPIs em mono + timestamp.</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src/components/deals/DealWizard.tsx</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2</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Stepper visual, tooltips, autosave.</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src/components/deals/ResultsScreen.tsx</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3</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Layout "aha": 6 KPIs com mini-bar de benchmark.</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src/components/share/</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3</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Relatório impresso; OG image; CTA de referral.</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src/components/pdf/</w:t>
            </w:r>
          </w:p>
        </w:tc>
        <w:tc>
          <w:tcPr>
            <w:tcW w:type="dxa" w:w="240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Fase 3</w:t>
            </w:r>
          </w:p>
        </w:tc>
        <w:tc>
          <w:tcPr>
            <w:tcW w:type="dxa" w:w="3360"/>
            <w:tcBorders>
              <w:top w:val="single" w:color="E2E0DA" w:sz="4"/>
              <w:left w:val="single" w:color="E2E0DA" w:sz="4"/>
              <w:bottom w:val="single" w:color="E2E0DA" w:sz="4"/>
              <w:right w:val="single" w:color="E2E0DA" w:sz="4"/>
            </w:tcBorders>
            <w:shd w:fill="FAFAF8" w:val="clear"/>
            <w:tcMar>
              <w:top w:type="dxa" w:w="100"/>
              <w:left w:type="dxa" w:w="160"/>
              <w:bottom w:type="dxa" w:w="100"/>
              <w:right w:type="dxa" w:w="160"/>
            </w:tcMar>
          </w:tcPr>
          <w:p>
            <w:r>
              <w:t xml:space="preserve">Slot de white-label; tipografia alinhada ao produto.</w:t>
            </w:r>
          </w:p>
        </w:tc>
      </w:tr>
      <w:tr>
        <w:trPr>
          <w:tblHeader w:val="false"/>
        </w:trPr>
        <w:tc>
          <w:tcPr>
            <w:tcW w:type="dxa" w:w="36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rPr>
                <w:rFonts w:ascii="Consolas" w:cs="Consolas" w:eastAsia="Consolas" w:hAnsi="Consolas"/>
                <w:color w:val="3D6B4F"/>
              </w:rPr>
              <w:t xml:space="preserve">src/components/deals/DealDetailView.tsx</w:t>
            </w:r>
          </w:p>
        </w:tc>
        <w:tc>
          <w:tcPr>
            <w:tcW w:type="dxa" w:w="240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Fase 3</w:t>
            </w:r>
          </w:p>
        </w:tc>
        <w:tc>
          <w:tcPr>
            <w:tcW w:type="dxa" w:w="3360"/>
            <w:tcBorders>
              <w:top w:val="single" w:color="E2E0DA" w:sz="4"/>
              <w:left w:val="single" w:color="E2E0DA" w:sz="4"/>
              <w:bottom w:val="single" w:color="E2E0DA" w:sz="4"/>
              <w:right w:val="single" w:color="E2E0DA" w:sz="4"/>
            </w:tcBorders>
            <w:tcMar>
              <w:top w:type="dxa" w:w="100"/>
              <w:left w:type="dxa" w:w="160"/>
              <w:bottom w:type="dxa" w:w="100"/>
              <w:right w:type="dxa" w:w="160"/>
            </w:tcMar>
          </w:tcPr>
          <w:p>
            <w:r>
              <w:t xml:space="preserve">Abas, mini-gráficos de benchmark nos KPIs.</w:t>
            </w:r>
          </w:p>
        </w:tc>
      </w:tr>
    </w:tbl>
    <w:p>
      <w:pPr>
        <w:pStyle w:val="Heading2"/>
        <w:spacing w:after="160" w:before="280"/>
      </w:pPr>
      <w:r>
        <w:t xml:space="preserve">9.3 Bibliotecas adicionais recomendadas</w:t>
      </w:r>
    </w:p>
    <w:p>
      <w:pPr>
        <w:spacing w:after="120" w:before="60" w:line="300"/>
        <w:jc w:val="left"/>
      </w:pPr>
      <w:r>
        <w:t xml:space="preserve">Três libs adicionais trazem ROI alto e são de baixa invasividade:</w:t>
      </w:r>
    </w:p>
    <w:p>
      <w:pPr>
        <w:pStyle w:val="ListParagraph"/>
        <w:numPr>
          <w:ilvl w:val="0"/>
          <w:numId w:val="2"/>
        </w:numPr>
        <w:spacing w:after="80" w:before="20" w:line="300"/>
      </w:pPr>
      <w:r>
        <w:rPr>
          <w:rFonts w:ascii="Consolas" w:cs="Consolas" w:eastAsia="Consolas" w:hAnsi="Consolas"/>
          <w:color w:val="3D6B4F"/>
        </w:rPr>
        <w:t xml:space="preserve">sonner</w:t>
      </w:r>
      <w:r>
        <w:t xml:space="preserve"> — toasts consistentes em todo o produto. Substitui alert() nativo em qualquer ponto.</w:t>
      </w:r>
    </w:p>
    <w:p>
      <w:pPr>
        <w:pStyle w:val="ListParagraph"/>
        <w:numPr>
          <w:ilvl w:val="0"/>
          <w:numId w:val="2"/>
        </w:numPr>
        <w:spacing w:after="80" w:before="20" w:line="300"/>
      </w:pPr>
      <w:r>
        <w:rPr>
          <w:rFonts w:ascii="Consolas" w:cs="Consolas" w:eastAsia="Consolas" w:hAnsi="Consolas"/>
          <w:color w:val="3D6B4F"/>
        </w:rPr>
        <w:t xml:space="preserve">framer-motion</w:t>
      </w:r>
      <w:r>
        <w:t xml:space="preserve"> — micro-interações controladas. Usar apenas para fade-in-up de seções e count-up do momento aha.</w:t>
      </w:r>
    </w:p>
    <w:p>
      <w:pPr>
        <w:pStyle w:val="ListParagraph"/>
        <w:numPr>
          <w:ilvl w:val="0"/>
          <w:numId w:val="2"/>
        </w:numPr>
        <w:spacing w:after="80" w:before="20" w:line="300"/>
      </w:pPr>
      <w:r>
        <w:rPr>
          <w:rFonts w:ascii="Consolas" w:cs="Consolas" w:eastAsia="Consolas" w:hAnsi="Consolas"/>
          <w:color w:val="3D6B4F"/>
        </w:rPr>
        <w:t xml:space="preserve">@tanstack/react-query</w:t>
      </w:r>
      <w:r>
        <w:t xml:space="preserve"> — gestão de estado assíncrono para deals e benchmarks. Reduz boilerplate em 40% em PropertiesPage e DealDetailView.</w:t>
      </w:r>
    </w:p>
    <w:p>
      <w:pPr>
        <w:spacing w:after="120" w:before="60" w:line="300"/>
        <w:jc w:val="left"/>
      </w:pPr>
      <w:r>
        <w:t xml:space="preserve">Libs a evitar por agora: Chakra, MUI (conflitam com a estética); react-spring (substituído por framer-motion); qualquer biblioteca de ilustração cartoon.</w:t>
      </w:r>
    </w:p>
    <w:p>
      <w:pPr>
        <w:pStyle w:val="Heading2"/>
        <w:spacing w:after="160" w:before="280"/>
      </w:pPr>
      <w:r>
        <w:t xml:space="preserve">9.4 Testes e linting</w:t>
      </w:r>
    </w:p>
    <w:p>
      <w:pPr>
        <w:spacing w:after="120" w:before="60" w:line="300"/>
        <w:jc w:val="left"/>
      </w:pPr>
      <w:r>
        <w:t xml:space="preserve">A introdução do sistema de design é um bom momento para adicionar: (a) um teste visual básico com Playwright em três breakpoints (mobile 375, tablet 768, desktop 1280) para landing, auth e dashboard — um smoke test que pega regressões grandes; (b) axe-core integrado no Vitest para as páginas críticas, bloqueando erros críticos; (c) Prettier com regra de ordenação de classes Tailwind via prettier-plugin-tailwindcss (já ideal no ecossistema Tailwind v4).</w:t>
      </w:r>
    </w:p>
    <w:p>
      <w:pPr>
        <w:pStyle w:val="Heading1"/>
        <w:pageBreakBefore/>
        <w:spacing w:after="200" w:before="360"/>
      </w:pPr>
      <w:r>
        <w:t xml:space="preserve">Parte X · Plano de rollout em fases</w:t>
      </w:r>
    </w:p>
    <w:p>
      <w:pPr>
        <w:spacing w:after="200" w:before="120" w:line="320"/>
      </w:pPr>
      <w:r>
        <w:rPr>
          <w:i/>
          <w:iCs/>
          <w:color w:val="6B7280"/>
          <w:sz w:val="24"/>
          <w:szCs w:val="24"/>
        </w:rPr>
        <w:t xml:space="preserve">Quatro fases, cada uma com escopo fechado e com um critério de conclusão objetivo. Nenhuma fase começa antes da anterior terminar — disciplina é o que mantém coerência.</w:t>
      </w:r>
    </w:p>
    <w:p>
      <w:pPr>
        <w:pStyle w:val="Heading2"/>
        <w:spacing w:after="160" w:before="280"/>
      </w:pPr>
      <w:r>
        <w:t xml:space="preserve">10.1 Fase 1 — Fundação (2 semanas)</w:t>
      </w:r>
    </w:p>
    <w:p>
      <w:pPr>
        <w:spacing w:after="120" w:before="60" w:line="300"/>
        <w:jc w:val="left"/>
      </w:pPr>
      <w:r>
        <w:t xml:space="preserve">Objetivo: estabelecer o sistema de design na base do código e entregar a nova landing page. Esta fase, sozinha, já transforma a primeira impressão do produto e costuma gerar o maior salto percebido. Entregáveis: tokens semânticos no globals.css; instalação de todos os componentes shadcn listados na parte IX; criação dos três primitivos de layout (PageContainer, SectionHeader, EmptyState); redesign da landing page em nove blocos com dual-path hero; refatoração da TopNav com breadcrumb opcional. Critério de conclusão: landing page renderiza em mobile, tablet e desktop sem regressão; axe-core não reporta erros críticos; Lighthouse performance acima de 90.</w:t>
      </w:r>
    </w:p>
    <w:p>
      <w:pPr>
        <w:pStyle w:val="Heading2"/>
        <w:spacing w:after="160" w:before="280"/>
      </w:pPr>
      <w:r>
        <w:t xml:space="preserve">10.2 Fase 2 — Experiência de entrada (2 semanas)</w:t>
      </w:r>
    </w:p>
    <w:p>
      <w:pPr>
        <w:spacing w:after="120" w:before="60" w:line="300"/>
        <w:jc w:val="left"/>
      </w:pPr>
      <w:r>
        <w:t xml:space="preserve">Objetivo: tornar o funil de login/cadastro/dashboard/wizard consistente com a nova linguagem da landing. Entregáveis: redesign de /auth em layout de duas colunas com painel lateral de confiança; todos os estados visuais do formulário; fluxo de recuperação de senha com página dedicada; fluxo de confirmação de email; refinamento do dashboard com empty states dedicados e KPIs agregados no header; redesign do DealCard; melhoria do stepper do wizard; adição de tooltips de ajuda em todos os campos técnicos. Critério de conclusão: usuário novo consegue chegar do hero ao primeiro deal salvo em menos de 5 minutos; taxa de abandono do wizard reduz em ao menos 20% em relação à baseline.</w:t>
      </w:r>
    </w:p>
    <w:p>
      <w:pPr>
        <w:pStyle w:val="Heading2"/>
        <w:spacing w:after="160" w:before="280"/>
      </w:pPr>
      <w:r>
        <w:t xml:space="preserve">10.3 Fase 3 — Momento aha e compartilhamento (3 semanas)</w:t>
      </w:r>
    </w:p>
    <w:p>
      <w:pPr>
        <w:spacing w:after="120" w:before="60" w:line="300"/>
        <w:jc w:val="left"/>
      </w:pPr>
      <w:r>
        <w:t xml:space="preserve">Objetivo: reforçar o valor percebido no detalhe do deal e transformar o relatório compartilhado em alavanca de aquisição. Entregáveis: redesign de /imoveis/[id] com as três zonas (metadados, grid de 6 KPIs com benchmarks inline, gráfico de fluxo 30 anos); reestruturação das abas Analysis e Projections com tabelas densas em monoespaçada; redesign do relatório compartilhado /r/[slug] como peça editorial; geração dinâmica de Open Graph image; implementação do CTA de referral; ajuste tipográfico do PDF via @react-pdf/renderer para alinhamento com a identidade do produto. Critério de conclusão: NPS ou CSAT com usuários beta acima de 7; pelo menos um relatório compartilhado por semana gera um novo cadastro rastreável.</w:t>
      </w:r>
    </w:p>
    <w:p>
      <w:pPr>
        <w:pStyle w:val="Heading2"/>
        <w:spacing w:after="160" w:before="280"/>
      </w:pPr>
      <w:r>
        <w:t xml:space="preserve">10.4 Fase 4 — Polimento e medição (2 semanas)</w:t>
      </w:r>
    </w:p>
    <w:p>
      <w:pPr>
        <w:spacing w:after="120" w:before="60" w:line="300"/>
        <w:jc w:val="left"/>
      </w:pPr>
      <w:r>
        <w:t xml:space="preserve">Objetivo: remover arestas, medir o impacto e fechar o ciclo. Entregáveis: adição de micro-interações calibradas (framer-motion em entradas de seção e count-up no momento aha); revisão completa de copy por revisor externo (ou ao menos por um segundo olhar); smoke tests com Playwright em 3 breakpoints; integração de axe-core no CI; levantamento de métricas de conversão (hero → cadastro, cadastro → primeiro deal, primeiro deal → segundo deal, primeiro deal → compartilhamento); documentação final do sistema em página interna /internal/design ou Storybook. Critério de conclusão: o time consegue apontar, em menos de dois cliques, onde cada decisão de design está documentada; a próxima página criada pelo time segue o sistema sem consulta adicional.</w:t>
      </w:r>
    </w:p>
    <w:p>
      <w:pPr>
        <w:pStyle w:val="Heading1"/>
        <w:pageBreakBefore/>
        <w:spacing w:after="200" w:before="360"/>
      </w:pPr>
      <w:r>
        <w:t xml:space="preserve">Parte XI · Checklist de QA</w:t>
      </w:r>
    </w:p>
    <w:p>
      <w:pPr>
        <w:spacing w:after="200" w:before="120" w:line="320"/>
      </w:pPr>
      <w:r>
        <w:rPr>
          <w:i/>
          <w:iCs/>
          <w:color w:val="6B7280"/>
          <w:sz w:val="24"/>
          <w:szCs w:val="24"/>
        </w:rPr>
        <w:t xml:space="preserve">Lista de verificação final antes do deploy de cada fase. Pensada para ser copiada como issue-template no GitHub.</w:t>
      </w:r>
    </w:p>
    <w:p>
      <w:pPr>
        <w:pStyle w:val="Heading2"/>
        <w:spacing w:after="160" w:before="280"/>
      </w:pPr>
      <w:r>
        <w:t xml:space="preserve">11.1 Visual</w:t>
      </w:r>
    </w:p>
    <w:p>
      <w:pPr>
        <w:pStyle w:val="ListParagraph"/>
        <w:numPr>
          <w:ilvl w:val="0"/>
          <w:numId w:val="2"/>
        </w:numPr>
        <w:spacing w:after="80" w:before="20" w:line="300"/>
      </w:pPr>
      <w:r>
        <w:t xml:space="preserve">Paleta limitada aos tokens em globals.css — nenhum hex hardcoded em componentes novos.</w:t>
      </w:r>
    </w:p>
    <w:p>
      <w:pPr>
        <w:pStyle w:val="ListParagraph"/>
        <w:numPr>
          <w:ilvl w:val="0"/>
          <w:numId w:val="2"/>
        </w:numPr>
        <w:spacing w:after="80" w:before="20" w:line="300"/>
      </w:pPr>
      <w:r>
        <w:t xml:space="preserve">Todos os números monetários e percentuais em JetBrains Mono.</w:t>
      </w:r>
    </w:p>
    <w:p>
      <w:pPr>
        <w:pStyle w:val="ListParagraph"/>
        <w:numPr>
          <w:ilvl w:val="0"/>
          <w:numId w:val="2"/>
        </w:numPr>
        <w:spacing w:after="80" w:before="20" w:line="300"/>
      </w:pPr>
      <w:r>
        <w:t xml:space="preserve">Todo texto decorativo serifado em DM Serif Display itálico, aparecendo no máximo uma vez por tela.</w:t>
      </w:r>
    </w:p>
    <w:p>
      <w:pPr>
        <w:pStyle w:val="ListParagraph"/>
        <w:numPr>
          <w:ilvl w:val="0"/>
          <w:numId w:val="2"/>
        </w:numPr>
        <w:spacing w:after="80" w:before="20" w:line="300"/>
      </w:pPr>
      <w:r>
        <w:t xml:space="preserve">Raios de borda sempre 4px, exceto foco que é 2px.</w:t>
      </w:r>
    </w:p>
    <w:p>
      <w:pPr>
        <w:pStyle w:val="ListParagraph"/>
        <w:numPr>
          <w:ilvl w:val="0"/>
          <w:numId w:val="2"/>
        </w:numPr>
        <w:spacing w:after="80" w:before="20" w:line="300"/>
      </w:pPr>
      <w:r>
        <w:t xml:space="preserve">Sombra apenas em popovers e modais; cards têm borda, não sombra.</w:t>
      </w:r>
    </w:p>
    <w:p>
      <w:pPr>
        <w:pStyle w:val="ListParagraph"/>
        <w:numPr>
          <w:ilvl w:val="0"/>
          <w:numId w:val="2"/>
        </w:numPr>
        <w:spacing w:after="80" w:before="20" w:line="300"/>
      </w:pPr>
      <w:r>
        <w:t xml:space="preserve">Gráficos usam exclusivamente chart-1 a chart-5.</w:t>
      </w:r>
    </w:p>
    <w:p>
      <w:pPr>
        <w:pStyle w:val="ListParagraph"/>
        <w:numPr>
          <w:ilvl w:val="0"/>
          <w:numId w:val="2"/>
        </w:numPr>
        <w:spacing w:after="80" w:before="20" w:line="300"/>
      </w:pPr>
      <w:r>
        <w:t xml:space="preserve">Zebra striping em tabelas usa #FAFAF8/#F8F7F4, nunca cinzas saturados.</w:t>
      </w:r>
    </w:p>
    <w:p>
      <w:pPr>
        <w:pStyle w:val="ListParagraph"/>
        <w:numPr>
          <w:ilvl w:val="0"/>
          <w:numId w:val="2"/>
        </w:numPr>
        <w:spacing w:after="80" w:before="20" w:line="300"/>
      </w:pPr>
      <w:r>
        <w:t xml:space="preserve">Imagens de imóvel em cartão retangular com raio 4px, nunca circular ou cropped orgânico.</w:t>
      </w:r>
    </w:p>
    <w:p>
      <w:pPr>
        <w:pStyle w:val="Heading2"/>
        <w:spacing w:after="160" w:before="280"/>
      </w:pPr>
      <w:r>
        <w:t xml:space="preserve">11.2 Copy</w:t>
      </w:r>
    </w:p>
    <w:p>
      <w:pPr>
        <w:pStyle w:val="ListParagraph"/>
        <w:numPr>
          <w:ilvl w:val="0"/>
          <w:numId w:val="2"/>
        </w:numPr>
        <w:spacing w:after="80" w:before="20" w:line="300"/>
      </w:pPr>
      <w:r>
        <w:t xml:space="preserve">Formatação brasileira em todos os valores (R$ 4.250,00; 8,4%; 2026-04-19 em abr/26).</w:t>
      </w:r>
    </w:p>
    <w:p>
      <w:pPr>
        <w:pStyle w:val="ListParagraph"/>
        <w:numPr>
          <w:ilvl w:val="0"/>
          <w:numId w:val="2"/>
        </w:numPr>
        <w:spacing w:after="80" w:before="20" w:line="300"/>
      </w:pPr>
      <w:r>
        <w:t xml:space="preserve">Nenhum jargão técnico sem tooltip ou definição inline.</w:t>
      </w:r>
    </w:p>
    <w:p>
      <w:pPr>
        <w:pStyle w:val="ListParagraph"/>
        <w:numPr>
          <w:ilvl w:val="0"/>
          <w:numId w:val="2"/>
        </w:numPr>
        <w:spacing w:after="80" w:before="20" w:line="300"/>
      </w:pPr>
      <w:r>
        <w:t xml:space="preserve">Nenhuma promessa de retorno ou ganho; linguagem sempre de análise, não de recomendação.</w:t>
      </w:r>
    </w:p>
    <w:p>
      <w:pPr>
        <w:pStyle w:val="ListParagraph"/>
        <w:numPr>
          <w:ilvl w:val="0"/>
          <w:numId w:val="2"/>
        </w:numPr>
        <w:spacing w:after="80" w:before="20" w:line="300"/>
      </w:pPr>
      <w:r>
        <w:t xml:space="preserve">Eyebrows em UPPERCASE com máximo 3 palavras.</w:t>
      </w:r>
    </w:p>
    <w:p>
      <w:pPr>
        <w:pStyle w:val="ListParagraph"/>
        <w:numPr>
          <w:ilvl w:val="0"/>
          <w:numId w:val="2"/>
        </w:numPr>
        <w:spacing w:after="80" w:before="20" w:line="300"/>
      </w:pPr>
      <w:r>
        <w:t xml:space="preserve">Disclaimer CVM no rodapé das páginas públicas: "Cálculos para fins informativos — ImóYield não presta consultoria de investimento."</w:t>
      </w:r>
    </w:p>
    <w:p>
      <w:pPr>
        <w:pStyle w:val="ListParagraph"/>
        <w:numPr>
          <w:ilvl w:val="0"/>
          <w:numId w:val="2"/>
        </w:numPr>
        <w:spacing w:after="80" w:before="20" w:line="300"/>
      </w:pPr>
      <w:r>
        <w:t xml:space="preserve">Mensagens de erro em segunda pessoa ("Tente novamente"), nunca em voz passiva.</w:t>
      </w:r>
    </w:p>
    <w:p>
      <w:pPr>
        <w:pStyle w:val="Heading2"/>
        <w:spacing w:after="160" w:before="280"/>
      </w:pPr>
      <w:r>
        <w:t xml:space="preserve">11.3 Acessibilidade</w:t>
      </w:r>
    </w:p>
    <w:p>
      <w:pPr>
        <w:pStyle w:val="ListParagraph"/>
        <w:numPr>
          <w:ilvl w:val="0"/>
          <w:numId w:val="2"/>
        </w:numPr>
        <w:spacing w:after="80" w:before="20" w:line="300"/>
      </w:pPr>
      <w:r>
        <w:t xml:space="preserve">Contraste mínimo de 4.5:1 em texto de corpo, 3:1 em texto grande (validado via axe-core).</w:t>
      </w:r>
    </w:p>
    <w:p>
      <w:pPr>
        <w:pStyle w:val="ListParagraph"/>
        <w:numPr>
          <w:ilvl w:val="0"/>
          <w:numId w:val="2"/>
        </w:numPr>
        <w:spacing w:after="80" w:before="20" w:line="300"/>
      </w:pPr>
      <w:r>
        <w:t xml:space="preserve">Foco visível em todos os controles interativos (ring brand 2px com offset 2px).</w:t>
      </w:r>
    </w:p>
    <w:p>
      <w:pPr>
        <w:pStyle w:val="ListParagraph"/>
        <w:numPr>
          <w:ilvl w:val="0"/>
          <w:numId w:val="2"/>
        </w:numPr>
        <w:spacing w:after="80" w:before="20" w:line="300"/>
      </w:pPr>
      <w:r>
        <w:t xml:space="preserve">Skip-link "Pular para o conteúdo" em todas as páginas públicas.</w:t>
      </w:r>
    </w:p>
    <w:p>
      <w:pPr>
        <w:pStyle w:val="ListParagraph"/>
        <w:numPr>
          <w:ilvl w:val="0"/>
          <w:numId w:val="2"/>
        </w:numPr>
        <w:spacing w:after="80" w:before="20" w:line="300"/>
      </w:pPr>
      <w:r>
        <w:t xml:space="preserve">Todos os inputs com label semântica; placeholder não substitui label.</w:t>
      </w:r>
    </w:p>
    <w:p>
      <w:pPr>
        <w:pStyle w:val="ListParagraph"/>
        <w:numPr>
          <w:ilvl w:val="0"/>
          <w:numId w:val="2"/>
        </w:numPr>
        <w:spacing w:after="80" w:before="20" w:line="300"/>
      </w:pPr>
      <w:r>
        <w:t xml:space="preserve">aria-live em mensagens dinâmicas de sucesso/erro.</w:t>
      </w:r>
    </w:p>
    <w:p>
      <w:pPr>
        <w:pStyle w:val="ListParagraph"/>
        <w:numPr>
          <w:ilvl w:val="0"/>
          <w:numId w:val="2"/>
        </w:numPr>
        <w:spacing w:after="80" w:before="20" w:line="300"/>
      </w:pPr>
      <w:r>
        <w:t xml:space="preserve">Respeito a prefers-reduced-motion em todas as animações.</w:t>
      </w:r>
    </w:p>
    <w:p>
      <w:pPr>
        <w:pStyle w:val="ListParagraph"/>
        <w:numPr>
          <w:ilvl w:val="0"/>
          <w:numId w:val="2"/>
        </w:numPr>
        <w:spacing w:after="80" w:before="20" w:line="300"/>
      </w:pPr>
      <w:r>
        <w:t xml:space="preserve">Navegação completa por teclado testada manualmente em landing, auth, dashboard e wizard.</w:t>
      </w:r>
    </w:p>
    <w:p>
      <w:pPr>
        <w:pStyle w:val="Heading2"/>
        <w:spacing w:after="160" w:before="280"/>
      </w:pPr>
      <w:r>
        <w:t xml:space="preserve">11.4 Performance e técnica</w:t>
      </w:r>
    </w:p>
    <w:p>
      <w:pPr>
        <w:pStyle w:val="ListParagraph"/>
        <w:numPr>
          <w:ilvl w:val="0"/>
          <w:numId w:val="2"/>
        </w:numPr>
        <w:spacing w:after="80" w:before="20" w:line="300"/>
      </w:pPr>
      <w:r>
        <w:t xml:space="preserve">Lighthouse performance desktop ≥ 90 na landing; mobile ≥ 80.</w:t>
      </w:r>
    </w:p>
    <w:p>
      <w:pPr>
        <w:pStyle w:val="ListParagraph"/>
        <w:numPr>
          <w:ilvl w:val="0"/>
          <w:numId w:val="2"/>
        </w:numPr>
        <w:spacing w:after="80" w:before="20" w:line="300"/>
      </w:pPr>
      <w:r>
        <w:t xml:space="preserve">Fontes carregadas via next/font com display: swap.</w:t>
      </w:r>
    </w:p>
    <w:p>
      <w:pPr>
        <w:pStyle w:val="ListParagraph"/>
        <w:numPr>
          <w:ilvl w:val="0"/>
          <w:numId w:val="2"/>
        </w:numPr>
        <w:spacing w:after="80" w:before="20" w:line="300"/>
      </w:pPr>
      <w:r>
        <w:t xml:space="preserve">Imagens otimizadas via next/image e formato AVIF quando suportado.</w:t>
      </w:r>
    </w:p>
    <w:p>
      <w:pPr>
        <w:pStyle w:val="ListParagraph"/>
        <w:numPr>
          <w:ilvl w:val="0"/>
          <w:numId w:val="2"/>
        </w:numPr>
        <w:spacing w:after="80" w:before="20" w:line="300"/>
      </w:pPr>
      <w:r>
        <w:t xml:space="preserve">Core Web Vitals: LCP &lt; 2.5s, CLS &lt; 0.1, INP &lt; 200ms.</w:t>
      </w:r>
    </w:p>
    <w:p>
      <w:pPr>
        <w:pStyle w:val="ListParagraph"/>
        <w:numPr>
          <w:ilvl w:val="0"/>
          <w:numId w:val="2"/>
        </w:numPr>
        <w:spacing w:after="80" w:before="20" w:line="300"/>
      </w:pPr>
      <w:r>
        <w:t xml:space="preserve">Smoke test Playwright passando em 375/768/1280 px.</w:t>
      </w:r>
    </w:p>
    <w:p>
      <w:pPr>
        <w:pStyle w:val="ListParagraph"/>
        <w:numPr>
          <w:ilvl w:val="0"/>
          <w:numId w:val="2"/>
        </w:numPr>
        <w:spacing w:after="80" w:before="20" w:line="300"/>
      </w:pPr>
      <w:r>
        <w:t xml:space="preserve">Tracking de eventos de conversão calibrado antes do release (hero_cta_click, signup_submit, first_deal_saved, report_shared).</w:t>
      </w:r>
    </w:p>
    <w:p>
      <w:pPr>
        <w:pStyle w:val="Heading2"/>
        <w:spacing w:after="160" w:before="280"/>
      </w:pPr>
      <w:r>
        <w:t xml:space="preserve">11.5 Teste com usuário real antes do release</w:t>
      </w:r>
    </w:p>
    <w:p>
      <w:pPr>
        <w:spacing w:after="120" w:before="60" w:line="300"/>
        <w:jc w:val="left"/>
      </w:pPr>
      <w:r>
        <w:t xml:space="preserve">Cada fase deve ter pelo menos uma sessão moderada de 30 minutos com um usuário real — uma da persona Marcos e uma da persona Patrícia por fase. O teste não precisa ser elaborado: abrir o ImóYield em um notebook, pedir para o usuário "analisar um imóvel hipotético", observar onde ele trava. Cada travamento observado é uma issue prioritária. Ausência desse teste torna todas as métricas suspeitas — número alto sem contexto é só ruído.</w:t>
      </w:r>
    </w:p>
    <w:p>
      <w:pPr>
        <w:pStyle w:val="Heading1"/>
        <w:pageBreakBefore/>
        <w:spacing w:after="200" w:before="360"/>
      </w:pPr>
      <w:r>
        <w:t xml:space="preserve">Fechamento</w:t>
      </w:r>
    </w:p>
    <w:p>
      <w:pPr>
        <w:spacing w:after="120" w:before="60" w:line="300"/>
        <w:jc w:val="left"/>
      </w:pPr>
      <w:r>
        <w:t xml:space="preserve">O ImóYield já tem os instintos certos. A paleta off-white com verde-floresta, a monoespaçada nos números, o itálico serifado nos títulos — tudo isso é incomum em produtos financeiros brasileiros e é o que pode, se preservado com disciplina, transformar o produto em referência no segmento.</w:t>
      </w:r>
    </w:p>
    <w:p>
      <w:pPr>
        <w:spacing w:after="120" w:before="60" w:line="300"/>
        <w:jc w:val="left"/>
      </w:pPr>
      <w:r>
        <w:t xml:space="preserve">Este documento formaliza esses instintos em um sistema replicável. Com ele nas mãos, o time de engenharia deve conseguir implementar cada tela sem reabrir discussões de design, e o fundador deve conseguir dizer "não" a solicitações que saem do sistema sem precisar justificar caso a caso. É esse "não" — consistente, fundamentado e acessível por escrito — que separa um produto de aparência premium de um produto efetivamente premium.</w:t>
      </w:r>
    </w:p>
    <w:p>
      <w:pPr>
        <w:spacing w:after="120" w:before="60" w:line="300"/>
        <w:jc w:val="left"/>
      </w:pPr>
      <w:r>
        <w:t xml:space="preserve">Quando a Fase 4 terminar, o próximo passo será abrir este documento ao lado do Volume I do DealCheck Blueprint e, juntos, escrever o Volume III: o plano de crescimento — como transformar o produto desenhado aqui em uma distribuição real para o investidor brasileiro. Mas esse é trabalho para outro momento.</w:t>
      </w:r>
    </w:p>
    <w:p>
      <w:pPr>
        <w:spacing w:after="200" w:before="120" w:line="320"/>
      </w:pPr>
      <w:r>
        <w:rPr>
          <w:i/>
          <w:iCs/>
          <w:color w:val="6B7280"/>
          <w:sz w:val="24"/>
          <w:szCs w:val="24"/>
        </w:rPr>
        <w:t xml:space="preserve">Boa execução. O mercado está pronto.</w:t>
      </w:r>
    </w:p>
    <w:p>
      <w:pPr>
        <w:spacing w:after="0" w:before="400"/>
      </w:pPr>
      <w:r>
        <w:t xml:space="preserve"/>
      </w:r>
    </w:p>
    <w:p>
      <w:pPr>
        <w:jc w:val="center"/>
      </w:pPr>
      <w:r>
        <w:rPr>
          <w:b/>
          <w:bCs/>
          <w:color w:val="9CA3AF"/>
          <w:spacing w:val="80"/>
          <w:sz w:val="18"/>
          <w:szCs w:val="18"/>
        </w:rPr>
        <w:t xml:space="preserve">FIM DO VOLUME II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Página </w:t>
    </w:r>
    <w:r>
      <w:rPr>
        <w:color w:val="9CA3AF"/>
        <w:sz w:val="16"/>
        <w:szCs w:val="16"/>
      </w:rPr>
      <w:fldChar w:fldCharType="begin"/>
      <w:instrText xml:space="preserve">PAGE</w:instrText>
      <w:fldChar w:fldCharType="separate"/>
      <w:fldChar w:fldCharType="end"/>
    </w:r>
    <w:r>
      <w:rPr>
        <w:color w:val="9CA3AF"/>
        <w:sz w:val="16"/>
        <w:szCs w:val="16"/>
      </w:rPr>
      <w:t xml:space="preserve"> de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C2B20"/>
        <w:sz w:val="16"/>
        <w:szCs w:val="16"/>
      </w:rPr>
      <w:t xml:space="preserve">ImmoYield</w:t>
    </w:r>
    <w:r>
      <w:rPr>
        <w:color w:val="9CA3AF"/>
        <w:sz w:val="16"/>
        <w:szCs w:val="16"/>
      </w:rPr>
      <w:t xml:space="preserve">  ·  Volume II · Plano de UX/UI</w:t>
    </w:r>
    <w:r>
      <w:rPr>
        <w:color w:val="9CA3AF"/>
        <w:sz w:val="16"/>
        <w:szCs w:val="16"/>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C2B20"/>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C2B2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ImmoYield · Plano de UX/UI e Sistema de Design (Volume II)</dc:title>
  <dc:creator>ImmoYield Design</dc:creator>
  <dc:description>UX/UI design plan continuing the DealCheck Blueprint for ImóYield.</dc:description>
  <cp:lastModifiedBy>Un-named</cp:lastModifiedBy>
  <cp:revision>1</cp:revision>
  <dcterms:created xsi:type="dcterms:W3CDTF">2026-04-19T19:09:42.080Z</dcterms:created>
  <dcterms:modified xsi:type="dcterms:W3CDTF">2026-04-19T19:09:42.080Z</dcterms:modified>
</cp:coreProperties>
</file>

<file path=docProps/custom.xml><?xml version="1.0" encoding="utf-8"?>
<Properties xmlns="http://schemas.openxmlformats.org/officeDocument/2006/custom-properties" xmlns:vt="http://schemas.openxmlformats.org/officeDocument/2006/docPropsVTypes"/>
</file>