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9A909"/>
          <w:sz w:val="80"/>
        </w:rPr>
        <w:t>PWA SENA</w:t>
      </w:r>
    </w:p>
    <w:p>
      <w:pPr>
        <w:jc w:val="center"/>
      </w:pPr>
      <w:r>
        <w:rPr>
          <w:b/>
          <w:color w:val="1E3A5F"/>
          <w:sz w:val="52"/>
        </w:rPr>
        <w:t>Estudio de Mercados</w:t>
      </w:r>
    </w:p>
    <w:p/>
    <w:p>
      <w:pPr>
        <w:jc w:val="center"/>
      </w:pPr>
      <w:r>
        <w:rPr>
          <w:b/>
          <w:color w:val="00304D"/>
          <w:sz w:val="40"/>
        </w:rPr>
        <w:t>Estado Actual del Proyecto</w:t>
      </w:r>
    </w:p>
    <w:p>
      <w:pPr>
        <w:jc w:val="center"/>
      </w:pPr>
      <w:r>
        <w:rPr>
          <w:i/>
          <w:color w:val="555555"/>
          <w:sz w:val="24"/>
        </w:rPr>
        <w:t>Qué hay construido · Cómo funciona · Qué falta por definir · Qué falta para terminar</w:t>
      </w:r>
    </w:p>
    <w:p/>
    <w:p/>
    <w:p/>
    <w:p/>
    <w:p>
      <w:pPr>
        <w:jc w:val="center"/>
      </w:pPr>
      <w:r>
        <w:rPr>
          <w:color w:val="1E3A5F"/>
          <w:sz w:val="24"/>
        </w:rPr>
        <w:t>SENA — Centro de Atención al Sector Agropecuario</w:t>
        <w:br/>
        <w:t>Regional Santander (Colombia)</w:t>
      </w:r>
    </w:p>
    <w:p>
      <w:pPr>
        <w:jc w:val="center"/>
      </w:pPr>
      <w:r>
        <w:rPr>
          <w:color w:val="555555"/>
          <w:sz w:val="20"/>
        </w:rPr>
        <w:t>Documento técnico generado el 27/06/2026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Contenido</w:t>
      </w:r>
    </w:p>
    <w:p>
      <w:pPr>
        <w:spacing w:after="60"/>
      </w:pPr>
      <w:r>
        <w:rPr>
          <w:sz w:val="22"/>
        </w:rPr>
        <w:t>1. Resumen ejecutivo</w:t>
      </w:r>
    </w:p>
    <w:p>
      <w:pPr>
        <w:spacing w:after="60"/>
      </w:pPr>
      <w:r>
        <w:rPr>
          <w:sz w:val="22"/>
        </w:rPr>
        <w:t>2. Descripción del proyecto y problema de negocio</w:t>
      </w:r>
    </w:p>
    <w:p>
      <w:pPr>
        <w:spacing w:after="60"/>
      </w:pPr>
      <w:r>
        <w:rPr>
          <w:sz w:val="22"/>
        </w:rPr>
        <w:t>3. Stack tecnológico</w:t>
      </w:r>
    </w:p>
    <w:p>
      <w:pPr>
        <w:spacing w:after="60"/>
      </w:pPr>
      <w:r>
        <w:rPr>
          <w:sz w:val="22"/>
        </w:rPr>
        <w:t>4. Arquitectura y entorno de ejecución</w:t>
      </w:r>
    </w:p>
    <w:p>
      <w:pPr>
        <w:spacing w:after="60"/>
      </w:pPr>
      <w:r>
        <w:rPr>
          <w:sz w:val="22"/>
        </w:rPr>
        <w:t>5. Qué hay construido — Backend (API)</w:t>
      </w:r>
    </w:p>
    <w:p>
      <w:pPr>
        <w:spacing w:after="60"/>
      </w:pPr>
      <w:r>
        <w:rPr>
          <w:sz w:val="22"/>
        </w:rPr>
        <w:t>6. Qué hay construido — Frontend (PWA Vue)</w:t>
      </w:r>
    </w:p>
    <w:p>
      <w:pPr>
        <w:spacing w:after="60"/>
      </w:pPr>
      <w:r>
        <w:rPr>
          <w:sz w:val="22"/>
        </w:rPr>
        <w:t>7. Cómo funciona — Roles y flujos del negocio</w:t>
      </w:r>
    </w:p>
    <w:p>
      <w:pPr>
        <w:spacing w:after="60"/>
      </w:pPr>
      <w:r>
        <w:rPr>
          <w:sz w:val="22"/>
        </w:rPr>
        <w:t>8. Estado de avance: plan vs. realidad</w:t>
      </w:r>
    </w:p>
    <w:p>
      <w:pPr>
        <w:spacing w:after="60"/>
      </w:pPr>
      <w:r>
        <w:rPr>
          <w:sz w:val="22"/>
        </w:rPr>
        <w:t>9. Qué falta por TERMINAR (construido a medias o ausente)</w:t>
      </w:r>
    </w:p>
    <w:p>
      <w:pPr>
        <w:spacing w:after="60"/>
      </w:pPr>
      <w:r>
        <w:rPr>
          <w:sz w:val="22"/>
        </w:rPr>
        <w:t>10. Qué falta por DEFINIR (decisiones de negocio pendientes)</w:t>
      </w:r>
    </w:p>
    <w:p>
      <w:pPr>
        <w:spacing w:after="60"/>
      </w:pPr>
      <w:r>
        <w:rPr>
          <w:sz w:val="22"/>
        </w:rPr>
        <w:t>11. Riesgos y deuda técnica</w:t>
      </w:r>
    </w:p>
    <w:p>
      <w:pPr>
        <w:spacing w:after="60"/>
      </w:pPr>
      <w:r>
        <w:rPr>
          <w:sz w:val="22"/>
        </w:rPr>
        <w:t>12. Recomendaciones y próximos pasos</w:t>
      </w:r>
    </w:p>
    <w:p>
      <w:pPr>
        <w:spacing w:after="60"/>
      </w:pPr>
      <w:r>
        <w:rPr>
          <w:sz w:val="22"/>
        </w:rPr>
        <w:t>13. Anexos (credenciales, comandos, URLs)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Resumen ejecutivo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Este documento describe el estado real del proyecto PWA SENA – Estudio de Mercados a la fecha, verificado directamente sobre el código fuente (backend FastAPI y frontend Vue.js 3), la configuración de despliegue (Docker), el historial de Git y la documentación de planeación (backlog Scrum/Jira).</w:t>
      </w:r>
    </w:p>
    <w:p>
      <w:pPr>
        <w:spacing w:after="120"/>
      </w:pPr>
      <w:r>
        <w:rPr>
          <w:b/>
          <w:i w:val="0"/>
          <w:color w:val="007832"/>
          <w:sz w:val="26"/>
        </w:rPr>
        <w:t>Hallazgo principal</w:t>
      </w:r>
    </w:p>
    <w:p>
      <w:pPr>
        <w:spacing w:after="120"/>
      </w:pPr>
      <w:r>
        <w:rPr>
          <w:b w:val="0"/>
          <w:i w:val="0"/>
          <w:sz w:val="22"/>
        </w:rPr>
        <w:t>El código está MUCHO más avanzado de lo que indica la documentación oficial del repositorio (README y docs), que afirma que solo la “Fase 1 — Fundamentos” está completa. En la práctica, el backend y el frontend ya implementan funcionalidad de las 4 fases planificadas: gestión completa de usuarios, lotes, vigencias, listado maestro, cotizaciones, solicitudes con su máquina de estados, aprobaciones, análisis de precios, notificaciones, reportes y dashboards.</w:t>
      </w:r>
    </w:p>
    <w:p>
      <w:pPr>
        <w:spacing w:after="120"/>
      </w:pPr>
      <w:r>
        <w:rPr>
          <w:b/>
          <w:i w:val="0"/>
          <w:sz w:val="22"/>
        </w:rPr>
        <w:t>En síntesis:</w:t>
      </w:r>
    </w:p>
    <w:p>
      <w:pPr>
        <w:pStyle w:val="ListBullet"/>
        <w:spacing w:after="40"/>
      </w:pPr>
      <w:r>
        <w:rPr>
          <w:b/>
        </w:rPr>
        <w:t xml:space="preserve">Backend: </w:t>
      </w:r>
      <w:r>
        <w:t>una API REST funcional con ~60 endpoints en 13 módulos y 16 modelos de base de datos.</w:t>
      </w:r>
    </w:p>
    <w:p>
      <w:pPr>
        <w:pStyle w:val="ListBullet"/>
        <w:spacing w:after="40"/>
      </w:pPr>
      <w:r>
        <w:rPr>
          <w:b/>
        </w:rPr>
        <w:t xml:space="preserve">Frontend: </w:t>
      </w:r>
      <w:r>
        <w:t>una SPA Vue.js 3 con 19 páginas (12 de administrador + 7 de líder) y 5 componentes reutilizables, visualmente alineada al Manual de Identidad SENA.</w:t>
      </w:r>
    </w:p>
    <w:p>
      <w:pPr>
        <w:pStyle w:val="ListBullet"/>
        <w:spacing w:after="40"/>
      </w:pPr>
      <w:r>
        <w:rPr>
          <w:b/>
        </w:rPr>
        <w:t xml:space="preserve">Infraestructura: </w:t>
      </w:r>
      <w:r>
        <w:t>Docker Compose con MariaDB, API, frontend (Nginx) y phpMyAdmin; arranca con datos semilla (admin, 11 lotes, estados post-aprobación).</w:t>
      </w:r>
    </w:p>
    <w:p>
      <w:pPr>
        <w:spacing w:after="120"/>
      </w:pPr>
      <w:r>
        <w:rPr>
          <w:b/>
          <w:i w:val="0"/>
          <w:color w:val="C0392B"/>
          <w:sz w:val="22"/>
        </w:rPr>
        <w:t>Lo que todavía NO está resuelto:</w:t>
      </w:r>
    </w:p>
    <w:p>
      <w:pPr>
        <w:pStyle w:val="ListBullet"/>
        <w:spacing w:after="40"/>
      </w:pPr>
      <w:r>
        <w:t>La PWA como tal (instalable / offline) NO está implementada: no hay manifest, service worker ni íconos. Es la promesa central del nombre del producto.</w:t>
      </w:r>
    </w:p>
    <w:p>
      <w:pPr>
        <w:pStyle w:val="ListBullet"/>
        <w:spacing w:after="40"/>
      </w:pPr>
      <w:r>
        <w:t>Las pruebas automatizadas solo cubren la Fase 1 (40 tests: auth, usuarios, lotes, vigencias). El núcleo operativo (cotizaciones, solicitudes, aprobaciones, análisis, reportes) no tiene pruebas.</w:t>
      </w:r>
    </w:p>
    <w:p>
      <w:pPr>
        <w:pStyle w:val="ListBullet"/>
        <w:spacing w:after="40"/>
      </w:pPr>
      <w:r>
        <w:t>Generación de reportes en Excel/PDF con formato institucional y la importación masiva desde Excel no están implementadas.</w:t>
      </w:r>
    </w:p>
    <w:p>
      <w:pPr>
        <w:pStyle w:val="ListBullet"/>
        <w:spacing w:after="40"/>
      </w:pPr>
      <w:r>
        <w:t>No existen migraciones Alembic; la base de datos se crea con create_all() en cada arranque.</w:t>
      </w:r>
    </w:p>
    <w:p>
      <w:pPr>
        <w:pStyle w:val="ListBullet"/>
        <w:spacing w:after="40"/>
      </w:pPr>
      <w:r>
        <w:t>Existe una divergencia importante entre la regla de negocio documentada ("2 cotizaciones de proveedores diferentes por solicitud") y el modelo realmente implementado (ver Sección 10).</w:t>
      </w:r>
    </w:p>
    <w:p>
      <w:pPr>
        <w:pStyle w:val="Heading1"/>
      </w:pPr>
      <w:r>
        <w:rPr>
          <w:rFonts w:ascii="Calibri" w:hAnsi="Calibri"/>
          <w:color w:val="1E3A5F"/>
        </w:rPr>
        <w:t>2. Descripción del proyecto y problema de negocio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El SENA gestiona un proceso de contratación pública (estudio de mercados) que involucra aproximadamente 1.400 productos distribuidos en 11 lotes temáticos. Hoy todo es manual: cotizaciones en papel, solicitudes por correo y seguimiento en hojas de cálculo Excel.</w:t>
      </w:r>
    </w:p>
    <w:p>
      <w:pPr>
        <w:spacing w:after="120"/>
      </w:pPr>
      <w:r>
        <w:rPr>
          <w:b/>
          <w:i w:val="0"/>
          <w:sz w:val="22"/>
        </w:rPr>
        <w:t>La solución es una aplicación web (concebida como PWA) que digitaliza y automatiza el flujo completo:</w:t>
      </w:r>
    </w:p>
    <w:p>
      <w:pPr>
        <w:pStyle w:val="ListNumber"/>
        <w:spacing w:after="40"/>
      </w:pPr>
      <w:r>
        <w:t>El Administrador/Analista crea vigencias (períodos para solicitar), gestiona el listado maestro de artículos con códigos UNSPSC (para SECOP II) y administra usuarios y lotes.</w:t>
      </w:r>
    </w:p>
    <w:p>
      <w:pPr>
        <w:pStyle w:val="ListNumber"/>
        <w:spacing w:after="40"/>
      </w:pPr>
      <w:r>
        <w:t>El Líder de Lote crea su solicitud con los artículos de su lote y define cantidades.</w:t>
      </w:r>
    </w:p>
    <w:p>
      <w:pPr>
        <w:pStyle w:val="ListNumber"/>
        <w:spacing w:after="40"/>
      </w:pPr>
      <w:r>
        <w:t>Se cargan cotizaciones de proveedores (con PDF y precio por artículo).</w:t>
      </w:r>
    </w:p>
    <w:p>
      <w:pPr>
        <w:pStyle w:val="ListNumber"/>
        <w:spacing w:after="40"/>
      </w:pPr>
      <w:r>
        <w:t>El Administrador revisa, compara precios y aprueba / rechaza / devuelve.</w:t>
      </w:r>
    </w:p>
    <w:p>
      <w:pPr>
        <w:pStyle w:val="ListNumber"/>
        <w:spacing w:after="40"/>
      </w:pPr>
      <w:r>
        <w:t>Al aprobar, los precios se capturan como históricos para futuras vigencias, y la solicitud pasa a un flujo post-aprobación configurable (En Compra → En Camino → En el Punto).</w:t>
      </w:r>
    </w:p>
    <w:p>
      <w:pPr>
        <w:spacing w:after="120"/>
      </w:pPr>
      <w:r>
        <w:rPr>
          <w:b/>
          <w:i w:val="0"/>
          <w:sz w:val="22"/>
        </w:rPr>
        <w:t xml:space="preserve">Cliente: </w:t>
      </w:r>
    </w:p>
    <w:p>
      <w:pPr>
        <w:spacing w:after="120"/>
      </w:pPr>
      <w:r>
        <w:rPr>
          <w:b w:val="0"/>
          <w:i w:val="0"/>
          <w:sz w:val="22"/>
        </w:rPr>
        <w:t>SENA — Centro de Atención al Sector Agropecuario, Regional Santander (Colombia).</w:t>
      </w:r>
    </w:p>
    <w:p>
      <w:pPr>
        <w:spacing w:after="120"/>
      </w:pPr>
      <w:r>
        <w:rPr>
          <w:b/>
          <w:i w:val="0"/>
          <w:sz w:val="22"/>
        </w:rPr>
        <w:t>Los 11 lotes y su volumen de artículos (precargados como semilla):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Lote</w:t>
            </w:r>
          </w:p>
        </w:tc>
        <w:tc>
          <w:tcPr>
            <w:tcW w:type="dxa" w:w="115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Artículos</w:t>
            </w:r>
          </w:p>
        </w:tc>
        <w:tc>
          <w:tcPr>
            <w:tcW w:type="dxa" w:w="43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6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Lote</w:t>
            </w:r>
          </w:p>
        </w:tc>
        <w:tc>
          <w:tcPr>
            <w:tcW w:type="dxa" w:w="115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Artículos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Agrícola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243</w:t>
            </w:r>
          </w:p>
        </w:tc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Lab. Fisicoquímica y Microbiología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165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Artesanías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93</w:t>
            </w:r>
          </w:p>
        </w:tc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Menaje, Cajas y Plásticos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140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Carne, Pollo y Huevos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Panadería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94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Desinfectantes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43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Pecuario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219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EPP y Salud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164</w:t>
            </w:r>
          </w:p>
        </w:tc>
        <w:tc>
          <w:tcPr>
            <w:tcW w:type="dxa" w:w="43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Víveres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197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Insumos de Chocolatería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43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TOTAL aprox.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~1.393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Nota: los lotes están sembrados con nombre y descripción, pero el catálogo real de ~1.400 artículos aún no está cargado en la base de datos (ver Sección 9).</w:t>
      </w:r>
    </w:p>
    <w:p>
      <w:pPr>
        <w:pStyle w:val="Heading1"/>
      </w:pPr>
      <w:r>
        <w:rPr>
          <w:rFonts w:ascii="Calibri" w:hAnsi="Calibri"/>
          <w:color w:val="1E3A5F"/>
        </w:rPr>
        <w:t>3. Stack tecnológico</w:t>
      </w:r>
    </w:p>
    <w:p>
      <w:pPr>
        <w:pBdr>
          <w:bottom w:val="single" w:sz="6" w:space="1" w:color="39A909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03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45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Versión / Detalle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Vue.js 3 (Composition API, JavaScript — sin TypeScript)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vue 3.5, vue-router 4.5, pinia 2.3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Estilos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Tailwind CSS + PostCSS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tailwind 3.4, fuente Work Sans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Build / Dev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vite 6.0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Cliente HTTP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Axios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1.7 (con interceptores y JWT)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Iconos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lucide-vue-next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0.469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Python + FastAPI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FastAPI 0.115, Python 3.12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ORM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SQLAlchemy 2.0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con Alembic 1.14 (sin migraciones creadas)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Validación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Pydantic v2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2.10 + pydantic-settings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MariaDB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11 (charset utf8mb4), driver PyMySQL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Autenticación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JWT (python-jose) + bcrypt (passlib)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HS256, cookie httpOnly, 8 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Servidor ASGI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Uvicorn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0.34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Despliegue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Docker + Docker Compose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multi-stage, Nginx para el front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Testing back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pytest + httpx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40 tests (solo Fase 1)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Testing front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Playwright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configurado, sin pruebas escritas</w:t>
            </w:r>
          </w:p>
        </w:tc>
      </w:tr>
    </w:tbl>
    <w:p>
      <w:pPr>
        <w:pStyle w:val="Heading1"/>
      </w:pPr>
      <w:r>
        <w:rPr>
          <w:rFonts w:ascii="Calibri" w:hAnsi="Calibri"/>
          <w:color w:val="1E3A5F"/>
        </w:rPr>
        <w:t>4. Arquitectura y entorno de ejecución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La aplicación se orquesta con Docker Compose. En desarrollo, docker-compose.override.yml añade hot-reload, expone puertos y agrega phpMyAdmin.</w:t>
      </w:r>
    </w:p>
    <w:p>
      <w:pPr>
        <w:spacing w:after="120"/>
      </w:pPr>
      <w:r>
        <w:rPr>
          <w:b/>
          <w:i w:val="0"/>
          <w:sz w:val="22"/>
        </w:rPr>
        <w:t>Servicios: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Contenedor</w:t>
            </w:r>
          </w:p>
        </w:tc>
        <w:tc>
          <w:tcPr>
            <w:tcW w:type="dxa" w:w="360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Imagen / Build</w:t>
            </w:r>
          </w:p>
        </w:tc>
        <w:tc>
          <w:tcPr>
            <w:tcW w:type="dxa" w:w="187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Puerto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sena-em-db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mariadb:11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3306 (solo dev)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API Backend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sena-em-api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build ./backend (FastAPI)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8000 (solo dev)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sena-em-frontend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build ./frontend (Nginx / Vite)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80 (prod) / 5173 (dev)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phpMyAdmin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sena-em-phpmyadmin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phpmyadmin:latest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8080 (solo dev)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Características de la infraestructura:</w:t>
      </w:r>
    </w:p>
    <w:p>
      <w:pPr>
        <w:pStyle w:val="ListBullet"/>
        <w:spacing w:after="40"/>
      </w:pPr>
      <w:r>
        <w:t>Volúmenes persistentes: mariadb_data (datos) y pdf_storage (PDFs de cotizaciones en /app/uploads).</w:t>
      </w:r>
    </w:p>
    <w:p>
      <w:pPr>
        <w:pStyle w:val="ListBullet"/>
        <w:spacing w:after="40"/>
      </w:pPr>
      <w:r>
        <w:t>Red privada sena_network entre contenedores.</w:t>
      </w:r>
    </w:p>
    <w:p>
      <w:pPr>
        <w:pStyle w:val="ListBullet"/>
        <w:spacing w:after="40"/>
      </w:pPr>
      <w:r>
        <w:t>Healthchecks en MariaDB y API (GET /api/health); restart: unless-stopped.</w:t>
      </w:r>
    </w:p>
    <w:p>
      <w:pPr>
        <w:pStyle w:val="ListBullet"/>
        <w:spacing w:after="40"/>
      </w:pPr>
      <w:r>
        <w:t>Dockerfile del backend multi-stage, usuario no-root (appuser), imagen slim de Python 3.12.</w:t>
      </w:r>
    </w:p>
    <w:p>
      <w:pPr>
        <w:pStyle w:val="ListBullet"/>
        <w:spacing w:after="40"/>
      </w:pPr>
      <w:r>
        <w:t>CORS configurable por variable de entorno; el frontend habla con la API vía proxy /api.</w:t>
      </w:r>
    </w:p>
    <w:p>
      <w:pPr>
        <w:pStyle w:val="ListBullet"/>
        <w:spacing w:after="40"/>
      </w:pPr>
      <w:r>
        <w:t>Variables sensibles en .env (DB, JWT_SECRET, expiración, CORS, tamaño máx. de subida 10 MB).</w:t>
      </w:r>
    </w:p>
    <w:p>
      <w:pPr>
        <w:spacing w:after="120"/>
      </w:pPr>
      <w:r>
        <w:rPr>
          <w:b/>
          <w:i w:val="0"/>
          <w:color w:val="B88600"/>
          <w:sz w:val="22"/>
        </w:rPr>
        <w:t xml:space="preserve">Punto de atención: </w:t>
      </w:r>
    </w:p>
    <w:p>
      <w:pPr>
        <w:spacing w:after="120"/>
      </w:pPr>
      <w:r>
        <w:rPr>
          <w:b w:val="0"/>
          <w:i w:val="0"/>
          <w:sz w:val="22"/>
        </w:rPr>
        <w:t>al arrancar, la API ejecuta Base.metadata.create_all() y un seed de datos. No se usan migraciones Alembic (la carpeta alembic/versions está vacía). Esto funciona para desarrollo, pero dificulta evolucionar el esquema en producción sin perder datos.</w:t>
      </w:r>
    </w:p>
    <w:p>
      <w:pPr>
        <w:pStyle w:val="Heading1"/>
      </w:pPr>
      <w:r>
        <w:rPr>
          <w:rFonts w:ascii="Calibri" w:hAnsi="Calibri"/>
          <w:color w:val="1E3A5F"/>
        </w:rPr>
        <w:t>5. Qué hay construido — Backend (API)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API REST en FastAPI con ~60 endpoints organizados en 13 routers, 16 modelos SQLAlchemy y esquemas Pydantic de validación. Estructura: app/api/routes, app/core, app/models, app/schemas, app/main.py.</w:t>
      </w:r>
    </w:p>
    <w:p>
      <w:pPr>
        <w:pStyle w:val="Heading2"/>
      </w:pPr>
      <w:r>
        <w:rPr>
          <w:rFonts w:ascii="Calibri" w:hAnsi="Calibri"/>
          <w:color w:val="1E3A5F"/>
        </w:rPr>
        <w:t>5.1 Modelos de datos (16 entidades)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360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Usuario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Cuentas con rol ADMIN/LIDER, estado, bloqueo por intentos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PasswordHistorial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password_historial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Últimas 3 contraseñas (evita reutilización)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Lote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lotes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11 lotes temáticos con color de acento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LoteLider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lote_lider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Asociación N:M lote ↔ líder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Vigencia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vigencias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Períodos con estados PROGRAMADA/ABIERTA/CERRADA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Articulo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articulos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Catálogo maestro con UNSPSC, precios, unidad de medida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ArticuloLog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articulos_log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Auditoría de cambios (admin/líder)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SolicitudNuevoArticulo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solicitudes_nuevo_articulo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Líder pide alta de artículo; admin aprueba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Solicitud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solicitudes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Flujo principal; estados BORRADOR→…→APROBADA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SolicitudDetalle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solicitud_detalle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Líneas: artículo + cantidad + cotización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SolicitudEstadoLog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solicitud_estado_log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Auditoría de transiciones de estado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EstadoPostAprobacion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estados_post_aprobacion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Estados configurables tras aprobar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SolicitudSeguimiento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solicitud_seguimiento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Tracking post-aprobación por línea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Cotizacion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cotizaciones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Cotización por artículo (proveedor, precio, PDF)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PrecioHistorico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precios_historicos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Histórico de precios por artículo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AnalisisPrecio / ParametroSistema / Notificacion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varias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Análisis de outliers, parámetros, notificaciones</w:t>
            </w:r>
          </w:p>
        </w:tc>
      </w:tr>
    </w:tbl>
    <w:p>
      <w:pPr>
        <w:pStyle w:val="Heading2"/>
      </w:pPr>
      <w:r>
        <w:rPr>
          <w:rFonts w:ascii="Calibri" w:hAnsi="Calibri"/>
          <w:color w:val="1E3A5F"/>
        </w:rPr>
        <w:t>5.2 Módulos de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Router (prefijo)</w:t>
            </w:r>
          </w:p>
        </w:tc>
        <w:tc>
          <w:tcPr>
            <w:tcW w:type="dxa" w:w="129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Endpoints</w:t>
            </w:r>
          </w:p>
        </w:tc>
        <w:tc>
          <w:tcPr>
            <w:tcW w:type="dxa" w:w="604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Funcionalidad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/auth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Login (JWT, bloqueo 3 intentos), logout, me, cambiar-password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/usuarios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CRUD, paginación/filtros, activar-desactivar (solo ADMIN)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/lotes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CRUD + asignar/remover líderes (N:M)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/vigencias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CRUD + máquina de estados (abrir/cerrar/extender)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/articulos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CRUD, export CSV, campos-líder, precio-experto, alta de artículos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/cotizaciones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CRUD con PDF, descarga, aprobar/devolver, precios históricos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/solicitudes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mi-solicitud, autoguardar, enviar, aprobar/rechazar/devolver, clonar, historial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/estados-post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CRUD + reordenar + activar/desactivar estados post-aprobación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/analisis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Análisis estadístico de precios, exclusión de atípicos, comparativo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/documentos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Listado de adjuntos y descarga ZIP de PDFs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/notificaciones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Listar, contar no leídas, marcar leída(s)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/reportes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Reporte por vigencia, por lote y comparativo de líderes (JSON)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/dashboard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Dashboard admin (KPIs, gráficos) y dashboard líder</w:t>
            </w:r>
          </w:p>
        </w:tc>
      </w:tr>
    </w:tbl>
    <w:p>
      <w:pPr>
        <w:pStyle w:val="Heading2"/>
      </w:pPr>
      <w:r>
        <w:rPr>
          <w:rFonts w:ascii="Calibri" w:hAnsi="Calibri"/>
          <w:color w:val="1E3A5F"/>
        </w:rPr>
        <w:t>5.3 Seguridad y reglas implementadas</w:t>
      </w:r>
    </w:p>
    <w:p>
      <w:pPr>
        <w:pStyle w:val="ListBullet"/>
        <w:spacing w:after="40"/>
      </w:pPr>
      <w:r>
        <w:t>Autenticación JWT (HS256) en cookie httpOnly + header Authorization; auto-renovación si quedan &lt; 2 h.</w:t>
      </w:r>
    </w:p>
    <w:p>
      <w:pPr>
        <w:pStyle w:val="ListBullet"/>
        <w:spacing w:after="40"/>
      </w:pPr>
      <w:r>
        <w:t>Contraseñas con bcrypt; política: mín. 8 caracteres, mayúscula, número y carácter especial; no repetir las últimas 3.</w:t>
      </w:r>
    </w:p>
    <w:p>
      <w:pPr>
        <w:pStyle w:val="ListBullet"/>
        <w:spacing w:after="40"/>
      </w:pPr>
      <w:r>
        <w:t>Bloqueo de cuenta tras 3 intentos fallidos durante 15 minutos.</w:t>
      </w:r>
    </w:p>
    <w:p>
      <w:pPr>
        <w:pStyle w:val="ListBullet"/>
        <w:spacing w:after="40"/>
      </w:pPr>
      <w:r>
        <w:t>Autorización por rol con dependencia require_role("ADMIN" | "LIDER").</w:t>
      </w:r>
    </w:p>
    <w:p>
      <w:pPr>
        <w:pStyle w:val="ListBullet"/>
        <w:spacing w:after="40"/>
      </w:pPr>
      <w:r>
        <w:t>El LIDER solo ve/edita sus propios lotes, cotizaciones y solicitudes.</w:t>
      </w:r>
    </w:p>
    <w:p>
      <w:pPr>
        <w:pStyle w:val="ListBullet"/>
        <w:spacing w:after="40"/>
      </w:pPr>
      <w:r>
        <w:t>Integridad referencial: no se borra un lote con artículos ni un artículo con cotizaciones (RESTRICT); borrados lógicos (soft delete) por estado.</w:t>
      </w:r>
    </w:p>
    <w:p>
      <w:pPr>
        <w:pStyle w:val="ListBullet"/>
        <w:spacing w:after="40"/>
      </w:pPr>
      <w:r>
        <w:t>Auditoría: logs de cambios de estado de solicitudes y de cambios de artículos.</w:t>
      </w:r>
    </w:p>
    <w:p>
      <w:pPr>
        <w:pStyle w:val="Heading2"/>
      </w:pPr>
      <w:r>
        <w:rPr>
          <w:rFonts w:ascii="Calibri" w:hAnsi="Calibri"/>
          <w:color w:val="1E3A5F"/>
        </w:rPr>
        <w:t>5.4 Pruebas del backend</w:t>
      </w:r>
    </w:p>
    <w:p>
      <w:pPr>
        <w:spacing w:after="120"/>
      </w:pPr>
      <w:r>
        <w:rPr>
          <w:b w:val="0"/>
          <w:i w:val="0"/>
          <w:sz w:val="22"/>
        </w:rPr>
        <w:t>40 tests con pytest sobre SQLite en memoria (rápido y aislado), cubriendo únicamente la Fase 1: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Suite</w:t>
            </w:r>
          </w:p>
        </w:tc>
        <w:tc>
          <w:tcPr>
            <w:tcW w:type="dxa" w:w="129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Tests</w:t>
            </w:r>
          </w:p>
        </w:tc>
        <w:tc>
          <w:tcPr>
            <w:tcW w:type="dxa" w:w="576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Cobertura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test_auth.py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Login, bloqueo, roles, cambio de contraseña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test_usuarios.py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CRUD, validaciones, estado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test_lotes.py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CRUD, asignación de líderes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test_vigencias.py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CRUD, máquina de estados, solapamiento</w:t>
            </w:r>
          </w:p>
        </w:tc>
      </w:tr>
    </w:tbl>
    <w:p>
      <w:pPr>
        <w:spacing w:after="120"/>
      </w:pPr>
      <w:r>
        <w:rPr>
          <w:b w:val="0"/>
          <w:i/>
          <w:color w:val="C0392B"/>
          <w:sz w:val="20"/>
        </w:rPr>
        <w:t>No hay pruebas para cotizaciones, solicitudes, aprobaciones, análisis de precios, reportes ni dashboard.</w:t>
      </w:r>
    </w:p>
    <w:p>
      <w:pPr>
        <w:pStyle w:val="Heading1"/>
      </w:pPr>
      <w:r>
        <w:rPr>
          <w:rFonts w:ascii="Calibri" w:hAnsi="Calibri"/>
          <w:color w:val="1E3A5F"/>
        </w:rPr>
        <w:t>6. Qué hay construido — Frontend (PWA Vue)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SPA en Vue.js 3 con Pinia (estado de autenticación), Vue Router con guards por rol, y un layout institucional (header con degradado verde→azul, sidebar dinámico según rol, panel de notificaciones que consulta cada 30 s).</w:t>
      </w:r>
    </w:p>
    <w:p>
      <w:pPr>
        <w:pStyle w:val="Heading2"/>
      </w:pPr>
      <w:r>
        <w:rPr>
          <w:rFonts w:ascii="Calibri" w:hAnsi="Calibri"/>
          <w:color w:val="1E3A5F"/>
        </w:rPr>
        <w:t>6.1 Páginas del Administrador (12)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302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360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DashboardAdmin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/admin/dashboard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KPIs, gráficos por lote y por estado, actividad reciente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GestionUsuarios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/admin/usuarios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CRUD usuarios, filtros, asignación de lotes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GestionLotes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/admin/lotes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CRUD lotes, asignación de líderes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GestionVigencias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/admin/vigencias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CRUD y apertura/cierre de vigencias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ListadoMaestro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/admin/listado-maestro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CRUD de artículos, búsqueda, exportación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BandejaSolicitudes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/admin/solicitudes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Lista filtrable de solicitudes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DetalleSolicitud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/admin/solicitudes/:id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Detalle, stepper, historial, aprobar/rechazar/devolver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Cotizaciones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/admin/cotizaciones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Revisión por lote, aprobar/devolver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NuevosArticulos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/admin/nuevos-articulos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Aprobar/rechazar altas de artículo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Reportes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/admin/reportes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Tabs por vigencia, lote y líderes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ConfigEstadosPost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/admin/configuracion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CRUD y reordenar estados post-aprobación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CambiarPassword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/admin/cambiar-password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Cambio de contraseña con medidor de fuerza</w:t>
            </w:r>
          </w:p>
        </w:tc>
      </w:tr>
    </w:tbl>
    <w:p>
      <w:pPr>
        <w:pStyle w:val="Heading2"/>
      </w:pPr>
      <w:r>
        <w:rPr>
          <w:rFonts w:ascii="Calibri" w:hAnsi="Calibri"/>
          <w:color w:val="1E3A5F"/>
        </w:rPr>
        <w:t>6.2 Páginas del Líder (7)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Ruta</w:t>
            </w:r>
          </w:p>
        </w:tc>
        <w:tc>
          <w:tcPr>
            <w:tcW w:type="dxa" w:w="374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DashboardLider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/lider/dashboard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Métricas del lote, vigencia activa, clonar solicitud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MiLote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/lider/mi-lote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Artículos del lote, editar especificaciones, pedir nuevo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MiSolicitud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/lider/mi-solicitud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Selección de artículos, cantidades, autoguardado, enviar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NuevoArticulo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/lider/nuevo-articulo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Solicitar alta de artículo con justificación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Cotizaciones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/lider/cotizaciones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Carga de cotizaciones (drag &amp; drop), editar/eliminar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Seguimiento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/lider/seguimiento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Timeline de estados post-aprobación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Reportes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/lider/reportes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Reporte del propio lote</w:t>
            </w:r>
          </w:p>
        </w:tc>
      </w:tr>
    </w:tbl>
    <w:p>
      <w:pPr>
        <w:pStyle w:val="Heading2"/>
      </w:pPr>
      <w:r>
        <w:rPr>
          <w:rFonts w:ascii="Calibri" w:hAnsi="Calibri"/>
          <w:color w:val="1E3A5F"/>
        </w:rPr>
        <w:t>6.3 Componentes y arquitectura del frontend</w:t>
      </w:r>
    </w:p>
    <w:p>
      <w:pPr>
        <w:pStyle w:val="ListBullet"/>
        <w:spacing w:after="40"/>
      </w:pPr>
      <w:r>
        <w:rPr>
          <w:b/>
        </w:rPr>
        <w:t xml:space="preserve">Componentes: </w:t>
      </w:r>
      <w:r>
        <w:t>5 componentes UI reutilizables: AppBadge, AppButton, AppCard, AppModal, AppTable; más ClonarSolicitudModal.</w:t>
      </w:r>
    </w:p>
    <w:p>
      <w:pPr>
        <w:pStyle w:val="ListBullet"/>
        <w:spacing w:after="40"/>
      </w:pPr>
      <w:r>
        <w:rPr>
          <w:b/>
        </w:rPr>
        <w:t xml:space="preserve">Ruteo: </w:t>
      </w:r>
      <w:r>
        <w:t>Vue Router con lazy loading (code splitting) y guards: redirección por autenticación y por rol.</w:t>
      </w:r>
    </w:p>
    <w:p>
      <w:pPr>
        <w:pStyle w:val="ListBullet"/>
        <w:spacing w:after="40"/>
      </w:pPr>
      <w:r>
        <w:rPr>
          <w:b/>
        </w:rPr>
        <w:t xml:space="preserve">Estado: </w:t>
      </w:r>
      <w:r>
        <w:t>Store Pinia auth (login, fetchMe, logout, checkAuth); token en localStorage + interceptor Axios.</w:t>
      </w:r>
    </w:p>
    <w:p>
      <w:pPr>
        <w:pStyle w:val="ListBullet"/>
        <w:spacing w:after="40"/>
      </w:pPr>
      <w:r>
        <w:rPr>
          <w:b/>
        </w:rPr>
        <w:t xml:space="preserve">UI: </w:t>
      </w:r>
      <w:r>
        <w:t>Diseño responsive (móvil/tablet/escritorio) con sidebar tipo drawer en móvil; colores y tipografía del Manual de Identidad SENA 2024.</w:t>
      </w:r>
    </w:p>
    <w:p>
      <w:pPr>
        <w:pStyle w:val="ListBullet"/>
        <w:spacing w:after="40"/>
      </w:pPr>
      <w:r>
        <w:rPr>
          <w:b/>
        </w:rPr>
        <w:t xml:space="preserve">Observación: </w:t>
      </w:r>
      <w:r>
        <w:t>Los dashboards usan algunos datos mock como respaldo; los gráficos están construidos a mano (no se usa Chart.js).</w:t>
      </w:r>
    </w:p>
    <w:p>
      <w:pPr>
        <w:pStyle w:val="Heading1"/>
      </w:pPr>
      <w:r>
        <w:rPr>
          <w:rFonts w:ascii="Calibri" w:hAnsi="Calibri"/>
          <w:color w:val="1E3A5F"/>
        </w:rPr>
        <w:t>7. Cómo funciona — Roles y flujos del negocio</w:t>
      </w:r>
    </w:p>
    <w:p>
      <w:pPr>
        <w:pBdr>
          <w:bottom w:val="single" w:sz="6" w:space="1" w:color="39A909"/>
        </w:pBdr>
      </w:pPr>
    </w:p>
    <w:p>
      <w:pPr>
        <w:pStyle w:val="Heading2"/>
      </w:pPr>
      <w:r>
        <w:rPr>
          <w:rFonts w:ascii="Calibri" w:hAnsi="Calibri"/>
          <w:color w:val="1E3A5F"/>
        </w:rPr>
        <w:t>7.1 Roles</w:t>
      </w:r>
    </w:p>
    <w:p>
      <w:pPr>
        <w:pStyle w:val="ListBullet"/>
        <w:spacing w:after="40"/>
      </w:pPr>
      <w:r>
        <w:rPr>
          <w:b/>
        </w:rPr>
        <w:t xml:space="preserve">Administrador/Analista: </w:t>
      </w:r>
      <w:r>
        <w:t>crea vigencias, gestiona el listado maestro y usuarios, asigna líderes a lotes, revisa y aprueba/rechaza/devuelve solicitudes y cotizaciones, configura estados post-aprobación, consulta reportes y dashboard, y excluye cotizaciones atípicas.</w:t>
      </w:r>
    </w:p>
    <w:p>
      <w:pPr>
        <w:pStyle w:val="ListBullet"/>
        <w:spacing w:after="40"/>
      </w:pPr>
      <w:r>
        <w:rPr>
          <w:b/>
        </w:rPr>
        <w:t xml:space="preserve">Líder de Lote: </w:t>
      </w:r>
      <w:r>
        <w:t>opera solo sobre su(s) lote(s): edita especificaciones de artículos, solicita altas de artículo, carga cotizaciones, arma y envía su solicitud (una por vigencia), clona solicitudes anteriores y hace seguimiento.</w:t>
      </w:r>
    </w:p>
    <w:p>
      <w:pPr>
        <w:pStyle w:val="Heading2"/>
      </w:pPr>
      <w:r>
        <w:rPr>
          <w:rFonts w:ascii="Calibri" w:hAnsi="Calibri"/>
          <w:color w:val="1E3A5F"/>
        </w:rPr>
        <w:t>7.2 Máquina de estados de la Solicitud</w:t>
      </w:r>
    </w:p>
    <w:p>
      <w:pPr>
        <w:spacing w:after="120"/>
      </w:pPr>
      <w:r>
        <w:rPr>
          <w:b/>
          <w:i w:val="0"/>
          <w:color w:val="1E3A5F"/>
          <w:sz w:val="22"/>
        </w:rPr>
        <w:t>BORRADOR  →  ENVIADA  →  EN_REVISIÓN  →  APROBADA / RECHAZADA / DEVUELTA</w:t>
      </w:r>
    </w:p>
    <w:p>
      <w:pPr>
        <w:pStyle w:val="ListBullet"/>
        <w:spacing w:after="40"/>
      </w:pPr>
      <w:r>
        <w:t>La solicitud se crea automáticamente en BORRADOR al entrar el líder a “Mi Solicitud”.</w:t>
      </w:r>
    </w:p>
    <w:p>
      <w:pPr>
        <w:pStyle w:val="ListBullet"/>
        <w:spacing w:after="40"/>
      </w:pPr>
      <w:r>
        <w:t>El líder la envía; el admin la revisa y puede aprobar, rechazar o devolver con observaciones.</w:t>
      </w:r>
    </w:p>
    <w:p>
      <w:pPr>
        <w:pStyle w:val="ListBullet"/>
        <w:spacing w:after="40"/>
      </w:pPr>
      <w:r>
        <w:t>Si se devuelve, el líder corrige y reenvía (se cuenta el número de reenvíos).</w:t>
      </w:r>
    </w:p>
    <w:p>
      <w:pPr>
        <w:pStyle w:val="ListBullet"/>
        <w:spacing w:after="40"/>
      </w:pPr>
      <w:r>
        <w:t>Al aprobar, la solicitud entra al flujo post-aprobación configurable (En Compra → En Camino → En el Punto).</w:t>
      </w:r>
    </w:p>
    <w:p>
      <w:pPr>
        <w:pStyle w:val="ListBullet"/>
        <w:spacing w:after="40"/>
      </w:pPr>
      <w:r>
        <w:t>Restricción de unicidad: una sola solicitud por (vigencia, lote, líder).</w:t>
      </w:r>
    </w:p>
    <w:p>
      <w:pPr>
        <w:pStyle w:val="Heading2"/>
      </w:pPr>
      <w:r>
        <w:rPr>
          <w:rFonts w:ascii="Calibri" w:hAnsi="Calibri"/>
          <w:color w:val="1E3A5F"/>
        </w:rPr>
        <w:t>7.3 Máquina de estados de la Vigencia</w:t>
      </w:r>
    </w:p>
    <w:p>
      <w:pPr>
        <w:spacing w:after="120"/>
      </w:pPr>
      <w:r>
        <w:rPr>
          <w:b/>
          <w:i w:val="0"/>
          <w:color w:val="1E3A5F"/>
          <w:sz w:val="22"/>
        </w:rPr>
        <w:t>PROGRAMADA  →  ABIERTA  →  CERRADA   (con opción de extender la fecha fin mientras está ABIERTA)</w:t>
      </w:r>
    </w:p>
    <w:p>
      <w:pPr>
        <w:pStyle w:val="ListBullet"/>
        <w:spacing w:after="40"/>
      </w:pPr>
      <w:r>
        <w:t>Solo con una vigencia ABIERTA se pueden crear cotizaciones y solicitudes.</w:t>
      </w:r>
    </w:p>
    <w:p>
      <w:pPr>
        <w:pStyle w:val="Heading2"/>
      </w:pPr>
      <w:r>
        <w:rPr>
          <w:rFonts w:ascii="Calibri" w:hAnsi="Calibri"/>
          <w:color w:val="1E3A5F"/>
        </w:rPr>
        <w:t>7.4 Análisis de precios</w:t>
      </w:r>
    </w:p>
    <w:p>
      <w:pPr>
        <w:pStyle w:val="ListBullet"/>
        <w:spacing w:after="40"/>
      </w:pPr>
      <w:r>
        <w:t>Calcula promedio, desviación estándar, coeficiente de variación, mínimo, máximo y rango.</w:t>
      </w:r>
    </w:p>
    <w:p>
      <w:pPr>
        <w:pStyle w:val="ListBullet"/>
        <w:spacing w:after="40"/>
      </w:pPr>
      <w:r>
        <w:t>Clasifica la dispersión: BAJA (≤15 %), MODERADA (≤30 %), ALTA (&gt;30 %).</w:t>
      </w:r>
    </w:p>
    <w:p>
      <w:pPr>
        <w:pStyle w:val="ListBullet"/>
        <w:spacing w:after="40"/>
      </w:pPr>
      <w:r>
        <w:t>Detecta cotizaciones atípicas (±2 desviaciones estándar, umbral configurable) y el admin puede excluirlas.</w:t>
      </w:r>
    </w:p>
    <w:p>
      <w:pPr>
        <w:pStyle w:val="ListBullet"/>
        <w:spacing w:after="40"/>
      </w:pPr>
      <w:r>
        <w:t>Compara precios históricos vs. actuales e indica tendencia (subió / bajó / estable).</w:t>
      </w:r>
    </w:p>
    <w:p>
      <w:pPr>
        <w:pStyle w:val="Heading1"/>
      </w:pPr>
      <w:r>
        <w:rPr>
          <w:rFonts w:ascii="Calibri" w:hAnsi="Calibri"/>
          <w:color w:val="1E3A5F"/>
        </w:rPr>
        <w:t>8. Estado de avance: plan vs. realidad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El plan formal (backlog para Jira) define 55 historias de usuario, 166 tareas y 624 puntos en 4 fases. La documentación del repo declara “solo Fase 1 completa”, pero el código implementa funcionalidad de las 4 fases. La siguiente tabla refleja el estado REAL verificado en código: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3888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Alcance</w:t>
            </w:r>
          </w:p>
        </w:tc>
        <w:tc>
          <w:tcPr>
            <w:tcW w:type="dxa" w:w="144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Plan (HU/pts)</w:t>
            </w:r>
          </w:p>
        </w:tc>
        <w:tc>
          <w:tcPr>
            <w:tcW w:type="dxa" w:w="259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Estado real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Fase 1 — Fundamentos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Docker, UI base, usuarios, lotes, vigencias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11 / 154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Completa y probada (40 tests)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Fase 2 — Núcleo operativo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Listado maestro, cotizaciones, solicitudes, documentos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13 / 157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Implementada; sin pruebas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Fase 3 — Flujo y aprobaciones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Clonar, bandeja, aprobaciones, estados post, análisis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12 / 134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Implementada; sin pruebas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Fase 4 — Reportes y optimización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Históricos, reportes, dashboards, PWA, notif.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19 / 180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Parcial (ver Sección 9)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“Implementada” = la funcionalidad existe end-to-end (modelo + endpoint + página). “Parcial” = hay partes hechas y partes ausentes. La ausencia de pruebas en Fases 2–4 implica que la funcionalidad no ha sido verificada de forma sistemática.</w:t>
      </w:r>
    </w:p>
    <w:p>
      <w:pPr>
        <w:pStyle w:val="Heading1"/>
      </w:pPr>
      <w:r>
        <w:rPr>
          <w:rFonts w:ascii="Calibri" w:hAnsi="Calibri"/>
          <w:color w:val="1E3A5F"/>
        </w:rPr>
        <w:t>9. Qué falta por TERMINAR (construido a medias o ausente)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Elementos que el alcance contempla pero que NO están implementados o están incompletos, verificado en el código:</w:t>
      </w:r>
    </w:p>
    <w:p>
      <w:pPr>
        <w:pStyle w:val="Heading2"/>
      </w:pPr>
      <w:r>
        <w:rPr>
          <w:rFonts w:ascii="Calibri" w:hAnsi="Calibri"/>
          <w:color w:val="1E3A5F"/>
        </w:rPr>
        <w:t>9.1 PWA (Progressive Web App) — ausente</w:t>
      </w:r>
    </w:p>
    <w:p>
      <w:pPr>
        <w:pStyle w:val="ListBullet"/>
        <w:spacing w:after="40"/>
      </w:pPr>
      <w:r>
        <w:t>No existe public/manifest.json ni íconos de instalación.</w:t>
      </w:r>
    </w:p>
    <w:p>
      <w:pPr>
        <w:pStyle w:val="ListBullet"/>
        <w:spacing w:after="40"/>
      </w:pPr>
      <w:r>
        <w:t>No hay service worker ni soporte offline; no se usa vite-plugin-pwa ni Workbox.</w:t>
      </w:r>
    </w:p>
    <w:p>
      <w:pPr>
        <w:pStyle w:val="ListBullet"/>
        <w:spacing w:after="40"/>
      </w:pPr>
      <w:r>
        <w:t>No hay prompt de instalación. A pesar de que el producto se llama “PWA”, hoy es una SPA normal.</w:t>
      </w:r>
    </w:p>
    <w:p>
      <w:pPr>
        <w:spacing w:after="120"/>
      </w:pPr>
      <w:r>
        <w:rPr>
          <w:b w:val="0"/>
          <w:i/>
          <w:color w:val="C0392B"/>
          <w:sz w:val="20"/>
        </w:rPr>
        <w:t>Impacto: alto. Es un requisito central (HU-PWA-002/003/004) y diferenciador del proyecto.</w:t>
      </w:r>
    </w:p>
    <w:p>
      <w:pPr>
        <w:pStyle w:val="Heading2"/>
      </w:pPr>
      <w:r>
        <w:rPr>
          <w:rFonts w:ascii="Calibri" w:hAnsi="Calibri"/>
          <w:color w:val="1E3A5F"/>
        </w:rPr>
        <w:t>9.2 Reportes y exportaciones</w:t>
      </w:r>
    </w:p>
    <w:p>
      <w:pPr>
        <w:pStyle w:val="ListBullet"/>
        <w:spacing w:after="40"/>
      </w:pPr>
      <w:r>
        <w:t>Los endpoints de reportes devuelven JSON; no generan archivos Excel/PDF con formato institucional (no hay openpyxl/reportlab en el backend). HU-REP-002/003/006 piden Excel/PDF.</w:t>
      </w:r>
    </w:p>
    <w:p>
      <w:pPr>
        <w:pStyle w:val="ListBullet"/>
        <w:spacing w:after="40"/>
      </w:pPr>
      <w:r>
        <w:t>La exportación a CSV del listado maestro sí existe (GET /articulos/exportar).</w:t>
      </w:r>
    </w:p>
    <w:p>
      <w:pPr>
        <w:pStyle w:val="ListBullet"/>
        <w:spacing w:after="40"/>
      </w:pPr>
      <w:r>
        <w:t>Descarga ZIP de documentos: endpoint existe; conviene verificar su funcionamiento real con archivos.</w:t>
      </w:r>
    </w:p>
    <w:p>
      <w:pPr>
        <w:pStyle w:val="Heading2"/>
      </w:pPr>
      <w:r>
        <w:rPr>
          <w:rFonts w:ascii="Calibri" w:hAnsi="Calibri"/>
          <w:color w:val="1E3A5F"/>
        </w:rPr>
        <w:t>9.3 Importación masiva del catálogo</w:t>
      </w:r>
    </w:p>
    <w:p>
      <w:pPr>
        <w:pStyle w:val="ListBullet"/>
        <w:spacing w:after="40"/>
      </w:pPr>
      <w:r>
        <w:t>No existe el asistente de importación desde Excel (HU-LM-007, tareas T-LM-019/020/021), ni en frontend ni en backend.</w:t>
      </w:r>
    </w:p>
    <w:p>
      <w:pPr>
        <w:pStyle w:val="ListBullet"/>
        <w:spacing w:after="40"/>
      </w:pPr>
      <w:r>
        <w:t>Consecuencia: el catálogo real de ~1.400 artículos del Excel original aún no está cargado en la BD; solo están sembrados los 11 lotes.</w:t>
      </w:r>
    </w:p>
    <w:p>
      <w:pPr>
        <w:pStyle w:val="Heading2"/>
      </w:pPr>
      <w:r>
        <w:rPr>
          <w:rFonts w:ascii="Calibri" w:hAnsi="Calibri"/>
          <w:color w:val="1E3A5F"/>
        </w:rPr>
        <w:t>9.4 Visor de PDF y carga de documentos</w:t>
      </w:r>
    </w:p>
    <w:p>
      <w:pPr>
        <w:pStyle w:val="ListBullet"/>
        <w:spacing w:after="40"/>
      </w:pPr>
      <w:r>
        <w:t>No hay visor de PDF embebido (pdf.js) para previsualizar cotizaciones dentro de la app (la carga y descarga sí existen).</w:t>
      </w:r>
    </w:p>
    <w:p>
      <w:pPr>
        <w:pStyle w:val="Heading2"/>
      </w:pPr>
      <w:r>
        <w:rPr>
          <w:rFonts w:ascii="Calibri" w:hAnsi="Calibri"/>
          <w:color w:val="1E3A5F"/>
        </w:rPr>
        <w:t>9.5 Pruebas automatizadas</w:t>
      </w:r>
    </w:p>
    <w:p>
      <w:pPr>
        <w:pStyle w:val="ListBullet"/>
        <w:spacing w:after="40"/>
      </w:pPr>
      <w:r>
        <w:t>Faltan pruebas de Fases 2–4 (cotizaciones, solicitudes, aprobaciones, análisis, reportes).</w:t>
      </w:r>
    </w:p>
    <w:p>
      <w:pPr>
        <w:pStyle w:val="ListBullet"/>
        <w:spacing w:after="40"/>
      </w:pPr>
      <w:r>
        <w:t>Playwright está configurado en el frontend pero no hay pruebas E2E escritas.</w:t>
      </w:r>
    </w:p>
    <w:p>
      <w:pPr>
        <w:pStyle w:val="Heading2"/>
      </w:pPr>
      <w:r>
        <w:rPr>
          <w:rFonts w:ascii="Calibri" w:hAnsi="Calibri"/>
          <w:color w:val="1E3A5F"/>
        </w:rPr>
        <w:t>9.6 Migraciones de base de datos</w:t>
      </w:r>
    </w:p>
    <w:p>
      <w:pPr>
        <w:pStyle w:val="ListBullet"/>
        <w:spacing w:after="40"/>
      </w:pPr>
      <w:r>
        <w:t>Alembic está configurado (env.py) pero la carpeta versions está vacía: no hay migraciones. El esquema se crea con create_all(). Falta generar la migración inicial y adoptar el flujo de migraciones.</w:t>
      </w:r>
    </w:p>
    <w:p>
      <w:pPr>
        <w:pStyle w:val="Heading2"/>
      </w:pPr>
      <w:r>
        <w:rPr>
          <w:rFonts w:ascii="Calibri" w:hAnsi="Calibri"/>
          <w:color w:val="1E3A5F"/>
        </w:rPr>
        <w:t>9.7 Optimización y experiencia (Fase 4)</w:t>
      </w:r>
    </w:p>
    <w:p>
      <w:pPr>
        <w:pStyle w:val="ListBullet"/>
        <w:spacing w:after="40"/>
      </w:pPr>
      <w:r>
        <w:t>Notificaciones por polling (cada 30 s); no hay WebSocket/push.</w:t>
      </w:r>
    </w:p>
    <w:p>
      <w:pPr>
        <w:pStyle w:val="ListBullet"/>
        <w:spacing w:after="40"/>
      </w:pPr>
      <w:r>
        <w:t>Faltan: skeleton loaders sistemáticos, medición Lighthouse (&gt;90), revisión de accesibilidad (WCAG).</w:t>
      </w:r>
    </w:p>
    <w:p>
      <w:pPr>
        <w:pStyle w:val="ListBullet"/>
        <w:spacing w:after="40"/>
      </w:pPr>
      <w:r>
        <w:t>Los dashboards muestran datos mock de respaldo en algunos casos; conviene asegurar que siempre usen datos reales.</w:t>
      </w:r>
    </w:p>
    <w:p>
      <w:pPr>
        <w:pStyle w:val="Heading1"/>
      </w:pPr>
      <w:r>
        <w:rPr>
          <w:rFonts w:ascii="Calibri" w:hAnsi="Calibri"/>
          <w:color w:val="1E3A5F"/>
        </w:rPr>
        <w:t>10. Qué falta por DEFINIR (decisiones de negocio pendientes)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 w:val="0"/>
          <w:i w:val="0"/>
          <w:sz w:val="22"/>
        </w:rPr>
        <w:t>Estas son ambigüedades o decisiones que conviene cerrar con el SENA antes de continuar, porque afectan el modelo de datos y el flujo:</w:t>
      </w:r>
    </w:p>
    <w:p>
      <w:pPr>
        <w:pStyle w:val="Heading2"/>
      </w:pPr>
      <w:r>
        <w:rPr>
          <w:rFonts w:ascii="Calibri" w:hAnsi="Calibri"/>
          <w:color w:val="1E3A5F"/>
        </w:rPr>
        <w:t>10.1 Modelo de cotizaciones: divergencia clave</w:t>
      </w:r>
    </w:p>
    <w:p>
      <w:pPr>
        <w:spacing w:after="120"/>
      </w:pPr>
      <w:r>
        <w:rPr>
          <w:b w:val="0"/>
          <w:i w:val="0"/>
          <w:sz w:val="22"/>
        </w:rPr>
        <w:t>La regla de negocio documentada dice: “antes de enviar, el líder debe cargar 2 cotizaciones de proveedores DIFERENTES, cada una con precio por cada artículo de la solicitud” (modelo conceptual: Cotizacion 1|2 + CotizacionDetalle por artículo).</w:t>
      </w:r>
    </w:p>
    <w:p>
      <w:pPr>
        <w:spacing w:after="120"/>
      </w:pPr>
      <w:r>
        <w:rPr>
          <w:b w:val="0"/>
          <w:i w:val="0"/>
          <w:sz w:val="22"/>
        </w:rPr>
        <w:t>El modelo realmente implementado es distinto: cada Cotizacion está ligada a UN artículo (articulo_id + proveedor + precio_unitario), y cada línea de la solicitud (SolicitudDetalle) referencia UNA cotización. No existe la entidad CotizacionDetalle ni la obligación de exactamente 2 cotizaciones por proveedores diferentes.</w:t>
      </w:r>
    </w:p>
    <w:p>
      <w:pPr>
        <w:spacing w:after="120"/>
      </w:pPr>
      <w:r>
        <w:rPr>
          <w:b/>
          <w:i w:val="0"/>
          <w:color w:val="C0392B"/>
          <w:sz w:val="22"/>
        </w:rPr>
        <w:t xml:space="preserve">A definir: </w:t>
      </w:r>
    </w:p>
    <w:p>
      <w:pPr>
        <w:pStyle w:val="ListBullet"/>
        <w:spacing w:after="40"/>
      </w:pPr>
      <w:r>
        <w:t>¿Se mantiene el modelo implementado (cotización por artículo) o se vuelve al modelo de “2 cotizaciones comparadas lado a lado por solicitud”?</w:t>
      </w:r>
    </w:p>
    <w:p>
      <w:pPr>
        <w:pStyle w:val="ListBullet"/>
        <w:spacing w:after="40"/>
      </w:pPr>
      <w:r>
        <w:t>¿Debe el sistema OBLIGAR a 2 proveedores diferentes y bloquear el envío si no se cumple? (hoy no se valida esa regla de las “2 cotizaciones”).</w:t>
      </w:r>
    </w:p>
    <w:p>
      <w:pPr>
        <w:pStyle w:val="Heading2"/>
      </w:pPr>
      <w:r>
        <w:rPr>
          <w:rFonts w:ascii="Calibri" w:hAnsi="Calibri"/>
          <w:color w:val="1E3A5F"/>
        </w:rPr>
        <w:t>10.2 Otras definiciones pendientes</w:t>
      </w:r>
    </w:p>
    <w:p>
      <w:pPr>
        <w:pStyle w:val="ListBullet"/>
        <w:spacing w:after="40"/>
      </w:pPr>
      <w:r>
        <w:t>Códigos UNSPSC: ¿se valida solo el formato (XX.XX.XX.XX) o también contra un catálogo oficial?</w:t>
      </w:r>
    </w:p>
    <w:p>
      <w:pPr>
        <w:pStyle w:val="ListBullet"/>
        <w:spacing w:after="40"/>
      </w:pPr>
      <w:r>
        <w:t>Carga del catálogo: ¿cómo y cuándo se importan los ~1.400 artículos reales? ¿formato exacto del Excel fuente?</w:t>
      </w:r>
    </w:p>
    <w:p>
      <w:pPr>
        <w:pStyle w:val="ListBullet"/>
        <w:spacing w:after="40"/>
      </w:pPr>
      <w:r>
        <w:t>Reportes: formato institucional exacto (plantilla Excel/PDF del SENA) y qué columnas/firmas requiere.</w:t>
      </w:r>
    </w:p>
    <w:p>
      <w:pPr>
        <w:pStyle w:val="ListBullet"/>
        <w:spacing w:after="40"/>
      </w:pPr>
      <w:r>
        <w:t>Precio “experto” y precios históricos: fuentes válidas, quién los carga y reglas de captura automática al aprobar.</w:t>
      </w:r>
    </w:p>
    <w:p>
      <w:pPr>
        <w:pStyle w:val="ListBullet"/>
        <w:spacing w:after="40"/>
      </w:pPr>
      <w:r>
        <w:t>Estados post-aprobación: ¿el conjunto por defecto (En Compra/En Camino/En el Punto) es definitivo o cada centro lo personaliza?</w:t>
      </w:r>
    </w:p>
    <w:p>
      <w:pPr>
        <w:pStyle w:val="ListBullet"/>
        <w:spacing w:after="40"/>
      </w:pPr>
      <w:r>
        <w:t>Notificaciones: ¿bastan in-app o se requieren correo/push? ¿qué eventos las disparan exactamente?</w:t>
      </w:r>
    </w:p>
    <w:p>
      <w:pPr>
        <w:pStyle w:val="ListBullet"/>
        <w:spacing w:after="40"/>
      </w:pPr>
      <w:r>
        <w:t>Política de retención de PDFs y respaldos (existe script de backup, falta política definida).</w:t>
      </w:r>
    </w:p>
    <w:p>
      <w:pPr>
        <w:pStyle w:val="ListBullet"/>
        <w:spacing w:after="40"/>
      </w:pPr>
      <w:r>
        <w:t>Despliegue final: servidor, dominio, HTTPS/certificados, y secretos de producción (hoy hay valores de ejemplo).</w:t>
      </w:r>
    </w:p>
    <w:p>
      <w:pPr>
        <w:pStyle w:val="Heading1"/>
      </w:pPr>
      <w:r>
        <w:rPr>
          <w:rFonts w:ascii="Calibri" w:hAnsi="Calibri"/>
          <w:color w:val="1E3A5F"/>
        </w:rPr>
        <w:t>11. Riesgos y deuda técnica</w:t>
      </w:r>
    </w:p>
    <w:p>
      <w:pPr>
        <w:pBdr>
          <w:bottom w:val="single" w:sz="6" w:space="1" w:color="39A909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144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Severidad</w:t>
            </w:r>
          </w:p>
        </w:tc>
        <w:tc>
          <w:tcPr>
            <w:tcW w:type="dxa" w:w="403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Mitigación sugerida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Funcionalidad Fases 2–4 sin pruebas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Escribir pruebas pytest + E2E antes de aceptar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Sin migraciones (create_all)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Generar migración inicial Alembic y versionar el esquema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Divergencia regla de “2 cotizaciones”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Cerrar definición con el cliente y alinear modelo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PWA no implementada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Media-Alta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Añadir manifest + service worker (vite-plugin-pwa)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Catálogo real no cargado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Construir importador desde Excel y cargar datos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Secretos de ejemplo en .env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Definir secretos reales y gestión segura en producción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Datos mock en dashboards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Garantizar uso de datos reales en todos los casos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Doc. desactualizada vs. código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Baja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Actualizar README/docs al estado real</w:t>
            </w:r>
          </w:p>
        </w:tc>
      </w:tr>
    </w:tbl>
    <w:p>
      <w:pPr>
        <w:pStyle w:val="Heading1"/>
      </w:pPr>
      <w:r>
        <w:rPr>
          <w:rFonts w:ascii="Calibri" w:hAnsi="Calibri"/>
          <w:color w:val="1E3A5F"/>
        </w:rPr>
        <w:t>12. Recomendaciones y próximos pasos</w:t>
      </w:r>
    </w:p>
    <w:p>
      <w:pPr>
        <w:pBdr>
          <w:bottom w:val="single" w:sz="6" w:space="1" w:color="39A909"/>
        </w:pBdr>
      </w:pPr>
    </w:p>
    <w:p>
      <w:pPr>
        <w:spacing w:after="120"/>
      </w:pPr>
      <w:r>
        <w:rPr>
          <w:b/>
          <w:i w:val="0"/>
          <w:sz w:val="22"/>
        </w:rPr>
        <w:t>Orden sugerido para llevar el proyecto a un estado entregable:</w:t>
      </w:r>
    </w:p>
    <w:p>
      <w:pPr>
        <w:pStyle w:val="ListNumber"/>
        <w:spacing w:after="40"/>
      </w:pPr>
      <w:r>
        <w:t>Cerrar las definiciones de la Sección 10 con el SENA (en especial el modelo de cotizaciones).</w:t>
      </w:r>
    </w:p>
    <w:p>
      <w:pPr>
        <w:pStyle w:val="ListNumber"/>
        <w:spacing w:after="40"/>
      </w:pPr>
      <w:r>
        <w:t>Cargar el catálogo real: construir el importador desde Excel e ingresar los ~1.400 artículos.</w:t>
      </w:r>
    </w:p>
    <w:p>
      <w:pPr>
        <w:pStyle w:val="ListNumber"/>
        <w:spacing w:after="40"/>
      </w:pPr>
      <w:r>
        <w:t>Estabilizar el núcleo: escribir pruebas (pytest + Playwright) de cotizaciones, solicitudes y aprobaciones.</w:t>
      </w:r>
    </w:p>
    <w:p>
      <w:pPr>
        <w:pStyle w:val="ListNumber"/>
        <w:spacing w:after="40"/>
      </w:pPr>
      <w:r>
        <w:t>Adoptar migraciones Alembic (migración inicial + flujo de cambios de esquema).</w:t>
      </w:r>
    </w:p>
    <w:p>
      <w:pPr>
        <w:pStyle w:val="ListNumber"/>
        <w:spacing w:after="40"/>
      </w:pPr>
      <w:r>
        <w:t>Implementar la PWA: manifest, íconos, service worker, soporte offline e instalación.</w:t>
      </w:r>
    </w:p>
    <w:p>
      <w:pPr>
        <w:pStyle w:val="ListNumber"/>
        <w:spacing w:after="40"/>
      </w:pPr>
      <w:r>
        <w:t>Completar reportes: generación de Excel/PDF con la plantilla institucional del SENA.</w:t>
      </w:r>
    </w:p>
    <w:p>
      <w:pPr>
        <w:pStyle w:val="ListNumber"/>
        <w:spacing w:after="40"/>
      </w:pPr>
      <w:r>
        <w:t>Optimización Fase 4: accesibilidad, skeleton loaders, Lighthouse &gt; 90, y revisión de notificaciones.</w:t>
      </w:r>
    </w:p>
    <w:p>
      <w:pPr>
        <w:pStyle w:val="ListNumber"/>
        <w:spacing w:after="40"/>
      </w:pPr>
      <w:r>
        <w:t>Preparar despliegue de producción: secretos reales, HTTPS, respaldos y documentación de operación.</w:t>
      </w:r>
    </w:p>
    <w:p>
      <w:pPr>
        <w:pStyle w:val="ListNumber"/>
        <w:spacing w:after="40"/>
      </w:pPr>
      <w:r>
        <w:t>Actualizar README/docs para reflejar el estado real del código.</w:t>
      </w:r>
    </w:p>
    <w:p>
      <w:pPr>
        <w:pStyle w:val="Heading1"/>
      </w:pPr>
      <w:r>
        <w:rPr>
          <w:rFonts w:ascii="Calibri" w:hAnsi="Calibri"/>
          <w:color w:val="1E3A5F"/>
        </w:rPr>
        <w:t>13. Anexos</w:t>
      </w:r>
    </w:p>
    <w:p>
      <w:pPr>
        <w:pBdr>
          <w:bottom w:val="single" w:sz="6" w:space="1" w:color="39A909"/>
        </w:pBdr>
      </w:pPr>
    </w:p>
    <w:p>
      <w:pPr>
        <w:pStyle w:val="Heading2"/>
      </w:pPr>
      <w:r>
        <w:rPr>
          <w:rFonts w:ascii="Calibri" w:hAnsi="Calibri"/>
          <w:color w:val="1E3A5F"/>
        </w:rPr>
        <w:t>13.1 Credenciales y URLs por defecto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480"/>
            <w:shd w:val="clear" w:color="auto" w:fill="1E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admin@sena.edu.co / Admin123!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sena_user / sena_pass_segura_2024 (base: pwa_sena)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Frontend (dev)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http://localhost:5173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Frontend (prod)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http://localhost (Nginx, puerto 80)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API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http://localhost:8000/api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Swagger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http://localhost:8000/docs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Health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http://localhost:8000/api/health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phpMyAdmin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http://localhost:8080</w:t>
            </w:r>
          </w:p>
        </w:tc>
      </w:tr>
    </w:tbl>
    <w:p>
      <w:pPr>
        <w:pStyle w:val="Heading2"/>
      </w:pPr>
      <w:r>
        <w:rPr>
          <w:rFonts w:ascii="Calibri" w:hAnsi="Calibri"/>
          <w:color w:val="1E3A5F"/>
        </w:rPr>
        <w:t>13.2 Comandos útiles</w:t>
      </w:r>
    </w:p>
    <w:p>
      <w:pPr>
        <w:spacing w:after="120"/>
      </w:pPr>
      <w:r>
        <w:rPr>
          <w:b/>
          <w:i w:val="0"/>
          <w:sz w:val="22"/>
        </w:rPr>
        <w:t>Levantar todo (desde app/):</w:t>
      </w:r>
    </w:p>
    <w:p>
      <w:r>
        <w:rPr>
          <w:rFonts w:ascii="Consolas" w:hAnsi="Consolas"/>
          <w:sz w:val="20"/>
        </w:rPr>
        <w:t>cd app</w:t>
        <w:br/>
        <w:t>docker compose up -d --build</w:t>
      </w:r>
    </w:p>
    <w:p>
      <w:pPr>
        <w:spacing w:after="120"/>
      </w:pPr>
      <w:r>
        <w:rPr>
          <w:b/>
          <w:i w:val="0"/>
          <w:sz w:val="22"/>
        </w:rPr>
        <w:t>Ejecutar pruebas del backend:</w:t>
      </w:r>
    </w:p>
    <w:p>
      <w:r>
        <w:rPr>
          <w:rFonts w:ascii="Consolas" w:hAnsi="Consolas"/>
          <w:sz w:val="20"/>
        </w:rPr>
        <w:t>cd app/backend</w:t>
        <w:br/>
        <w:t>.venv/Scripts/python -m pytest tests/ -v   # 40 passed</w:t>
      </w:r>
    </w:p>
    <w:p>
      <w:pPr>
        <w:spacing w:after="120"/>
      </w:pPr>
      <w:r>
        <w:rPr>
          <w:b/>
          <w:i w:val="0"/>
          <w:sz w:val="22"/>
        </w:rPr>
        <w:t>Frontend en desarrollo:</w:t>
      </w:r>
    </w:p>
    <w:p>
      <w:r>
        <w:rPr>
          <w:rFonts w:ascii="Consolas" w:hAnsi="Consolas"/>
          <w:sz w:val="20"/>
        </w:rPr>
        <w:t>cd app/frontend</w:t>
        <w:br/>
        <w:t>npm install</w:t>
        <w:br/>
        <w:t>npm run dev   # http://localhost:5173</w:t>
      </w:r>
    </w:p>
    <w:p>
      <w:pPr>
        <w:pStyle w:val="Heading2"/>
      </w:pPr>
      <w:r>
        <w:rPr>
          <w:rFonts w:ascii="Calibri" w:hAnsi="Calibri"/>
          <w:color w:val="1E3A5F"/>
        </w:rPr>
        <w:t>13.3 Documentación relacionada en el repositorio</w:t>
      </w:r>
    </w:p>
    <w:p>
      <w:pPr>
        <w:pStyle w:val="ListBullet"/>
        <w:spacing w:after="40"/>
      </w:pPr>
      <w:r>
        <w:t>contexto/CONTEXTO_PROYECTO.md — reglas de negocio, roles, flujos, identidad visual.</w:t>
      </w:r>
    </w:p>
    <w:p>
      <w:pPr>
        <w:pStyle w:val="ListBullet"/>
        <w:spacing w:after="40"/>
      </w:pPr>
      <w:r>
        <w:t>docs/FASE_1_DOCUMENTACION.md — arquitectura, endpoints y pruebas de la Fase 1.</w:t>
      </w:r>
    </w:p>
    <w:p>
      <w:pPr>
        <w:pStyle w:val="ListBullet"/>
        <w:spacing w:after="40"/>
      </w:pPr>
      <w:r>
        <w:t>jira/ — backlog: 55 historias de usuario, 166 tareas, 624 puntos en 4 fases.</w:t>
      </w:r>
    </w:p>
    <w:p>
      <w:pPr>
        <w:pStyle w:val="ListBullet"/>
        <w:spacing w:after="40"/>
      </w:pPr>
      <w:r>
        <w:t>docs/DOCUMENTO_TECNICO_PWA_SENA.docx y MANUAL_DE_USUARIO_PWA_SENA*.docx — documentos previos.</w:t>
      </w:r>
    </w:p>
    <w:p>
      <w:pPr>
        <w:pStyle w:val="ListBullet"/>
        <w:spacing w:after="40"/>
      </w:pPr>
      <w:r>
        <w:t>app/README.md — guía técnica de despliegue.</w:t>
      </w:r>
    </w:p>
    <w:p/>
    <w:p>
      <w:pPr>
        <w:pBdr>
          <w:bottom w:val="single" w:sz="6" w:space="1" w:color="39A909"/>
        </w:pBdr>
      </w:pPr>
    </w:p>
    <w:p>
      <w:pPr>
        <w:jc w:val="center"/>
      </w:pPr>
      <w:r>
        <w:rPr>
          <w:i/>
          <w:color w:val="555555"/>
          <w:sz w:val="18"/>
        </w:rPr>
        <w:t>Documento generado a partir de la verificación directa del código fuente, la configuración Docker, el historial de Git y la documentación de planeación del proyecto.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