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17C6" w14:textId="7B514941" w:rsidR="008026AF" w:rsidRDefault="00D66D88" w:rsidP="00D66D88">
      <w:pPr>
        <w:pStyle w:val="ListParagraph"/>
        <w:numPr>
          <w:ilvl w:val="0"/>
          <w:numId w:val="1"/>
        </w:numPr>
      </w:pPr>
      <w:r>
        <w:t xml:space="preserve">Summary Statistics / Histograms for the Market Returns and the </w:t>
      </w:r>
      <w:proofErr w:type="gramStart"/>
      <w:r>
        <w:t>Risk Free</w:t>
      </w:r>
      <w:proofErr w:type="gramEnd"/>
      <w:r>
        <w:t xml:space="preserve"> Returns</w:t>
      </w:r>
    </w:p>
    <w:tbl>
      <w:tblPr>
        <w:tblStyle w:val="TableGrid"/>
        <w:tblW w:w="0" w:type="auto"/>
        <w:tblInd w:w="360" w:type="dxa"/>
        <w:tblLook w:val="04A0" w:firstRow="1" w:lastRow="0" w:firstColumn="1" w:lastColumn="0" w:noHBand="0" w:noVBand="1"/>
      </w:tblPr>
      <w:tblGrid>
        <w:gridCol w:w="1506"/>
        <w:gridCol w:w="1497"/>
        <w:gridCol w:w="1510"/>
        <w:gridCol w:w="1496"/>
        <w:gridCol w:w="1497"/>
        <w:gridCol w:w="1489"/>
      </w:tblGrid>
      <w:tr w:rsidR="00310148" w14:paraId="036C0A75" w14:textId="77777777" w:rsidTr="00310148">
        <w:tc>
          <w:tcPr>
            <w:tcW w:w="1558" w:type="dxa"/>
            <w:tcBorders>
              <w:top w:val="nil"/>
              <w:left w:val="nil"/>
            </w:tcBorders>
          </w:tcPr>
          <w:p w14:paraId="694169AE" w14:textId="77777777" w:rsidR="00310148" w:rsidRDefault="00310148" w:rsidP="00310148"/>
        </w:tc>
        <w:tc>
          <w:tcPr>
            <w:tcW w:w="1558" w:type="dxa"/>
          </w:tcPr>
          <w:p w14:paraId="0D802CF4" w14:textId="6BEBBA86" w:rsidR="00310148" w:rsidRDefault="00310148" w:rsidP="00310148">
            <w:r>
              <w:t>Mean</w:t>
            </w:r>
          </w:p>
        </w:tc>
        <w:tc>
          <w:tcPr>
            <w:tcW w:w="1558" w:type="dxa"/>
          </w:tcPr>
          <w:p w14:paraId="09493FF8" w14:textId="58C1F55C" w:rsidR="00310148" w:rsidRDefault="00310148" w:rsidP="00310148">
            <w:r>
              <w:t>Median</w:t>
            </w:r>
          </w:p>
        </w:tc>
        <w:tc>
          <w:tcPr>
            <w:tcW w:w="1558" w:type="dxa"/>
          </w:tcPr>
          <w:p w14:paraId="5A27D0D4" w14:textId="4FC7DD16" w:rsidR="00310148" w:rsidRDefault="00310148" w:rsidP="00310148">
            <w:r>
              <w:t>Min</w:t>
            </w:r>
          </w:p>
        </w:tc>
        <w:tc>
          <w:tcPr>
            <w:tcW w:w="1559" w:type="dxa"/>
          </w:tcPr>
          <w:p w14:paraId="448336A6" w14:textId="1BB5E11C" w:rsidR="00310148" w:rsidRDefault="00310148" w:rsidP="00310148">
            <w:r>
              <w:t>Max</w:t>
            </w:r>
          </w:p>
        </w:tc>
        <w:tc>
          <w:tcPr>
            <w:tcW w:w="1559" w:type="dxa"/>
          </w:tcPr>
          <w:p w14:paraId="78D44BC7" w14:textId="2EB5732F" w:rsidR="00310148" w:rsidRDefault="00310148" w:rsidP="00310148">
            <w:proofErr w:type="gramStart"/>
            <w:r>
              <w:t>S.D</w:t>
            </w:r>
            <w:proofErr w:type="gramEnd"/>
          </w:p>
        </w:tc>
      </w:tr>
      <w:tr w:rsidR="00310148" w14:paraId="323263EE" w14:textId="77777777" w:rsidTr="00310148">
        <w:tc>
          <w:tcPr>
            <w:tcW w:w="1558" w:type="dxa"/>
          </w:tcPr>
          <w:p w14:paraId="1316E7A9" w14:textId="197D995F" w:rsidR="00310148" w:rsidRDefault="00310148" w:rsidP="00310148">
            <w:proofErr w:type="spellStart"/>
            <w:r>
              <w:t>Mkt.RF</w:t>
            </w:r>
            <w:proofErr w:type="spellEnd"/>
          </w:p>
        </w:tc>
        <w:tc>
          <w:tcPr>
            <w:tcW w:w="1558" w:type="dxa"/>
          </w:tcPr>
          <w:p w14:paraId="70C200B4" w14:textId="5D2DDB8B" w:rsidR="00310148" w:rsidRDefault="00310148" w:rsidP="00310148">
            <w:r>
              <w:t>0.03</w:t>
            </w:r>
          </w:p>
        </w:tc>
        <w:tc>
          <w:tcPr>
            <w:tcW w:w="1558" w:type="dxa"/>
          </w:tcPr>
          <w:p w14:paraId="5DA1F013" w14:textId="14EB1E3A" w:rsidR="00310148" w:rsidRDefault="00310148" w:rsidP="00310148">
            <w:r>
              <w:t>0.06</w:t>
            </w:r>
          </w:p>
        </w:tc>
        <w:tc>
          <w:tcPr>
            <w:tcW w:w="1558" w:type="dxa"/>
          </w:tcPr>
          <w:p w14:paraId="2883FE51" w14:textId="4DDC1773" w:rsidR="00310148" w:rsidRDefault="00310148" w:rsidP="00310148">
            <w:r>
              <w:t>-17.44</w:t>
            </w:r>
          </w:p>
        </w:tc>
        <w:tc>
          <w:tcPr>
            <w:tcW w:w="1559" w:type="dxa"/>
          </w:tcPr>
          <w:p w14:paraId="6AC0351A" w14:textId="218FF1C4" w:rsidR="00310148" w:rsidRDefault="00310148" w:rsidP="00310148">
            <w:r>
              <w:t>15.76</w:t>
            </w:r>
          </w:p>
        </w:tc>
        <w:tc>
          <w:tcPr>
            <w:tcW w:w="1559" w:type="dxa"/>
          </w:tcPr>
          <w:p w14:paraId="6AC211D1" w14:textId="4AC03534" w:rsidR="00310148" w:rsidRDefault="00310148" w:rsidP="00310148">
            <w:r>
              <w:t>1.08</w:t>
            </w:r>
          </w:p>
        </w:tc>
      </w:tr>
      <w:tr w:rsidR="00310148" w14:paraId="77959706" w14:textId="77777777" w:rsidTr="00310148">
        <w:tc>
          <w:tcPr>
            <w:tcW w:w="1558" w:type="dxa"/>
          </w:tcPr>
          <w:p w14:paraId="5230759B" w14:textId="5B60490B" w:rsidR="00310148" w:rsidRDefault="00310148" w:rsidP="00310148">
            <w:r>
              <w:t>RF</w:t>
            </w:r>
          </w:p>
        </w:tc>
        <w:tc>
          <w:tcPr>
            <w:tcW w:w="1558" w:type="dxa"/>
          </w:tcPr>
          <w:p w14:paraId="281C947A" w14:textId="1CABBA8A" w:rsidR="00310148" w:rsidRDefault="00310148" w:rsidP="00310148">
            <w:r>
              <w:t>0.01</w:t>
            </w:r>
          </w:p>
        </w:tc>
        <w:tc>
          <w:tcPr>
            <w:tcW w:w="1558" w:type="dxa"/>
          </w:tcPr>
          <w:p w14:paraId="6B78C5A3" w14:textId="14D68292" w:rsidR="00310148" w:rsidRDefault="00310148" w:rsidP="00310148">
            <w:r>
              <w:t>0.01</w:t>
            </w:r>
          </w:p>
        </w:tc>
        <w:tc>
          <w:tcPr>
            <w:tcW w:w="1558" w:type="dxa"/>
          </w:tcPr>
          <w:p w14:paraId="1342FCB2" w14:textId="0F7C63BB" w:rsidR="00310148" w:rsidRDefault="00310148" w:rsidP="00310148">
            <w:r>
              <w:t>0</w:t>
            </w:r>
          </w:p>
        </w:tc>
        <w:tc>
          <w:tcPr>
            <w:tcW w:w="1559" w:type="dxa"/>
          </w:tcPr>
          <w:p w14:paraId="0BE50385" w14:textId="31889EBD" w:rsidR="00310148" w:rsidRDefault="00310148" w:rsidP="00310148">
            <w:r>
              <w:t>0.06</w:t>
            </w:r>
          </w:p>
        </w:tc>
        <w:tc>
          <w:tcPr>
            <w:tcW w:w="1559" w:type="dxa"/>
          </w:tcPr>
          <w:p w14:paraId="6BC4CA66" w14:textId="40EF98AE" w:rsidR="00310148" w:rsidRDefault="00310148" w:rsidP="00310148">
            <w:r>
              <w:t>0.01</w:t>
            </w:r>
          </w:p>
        </w:tc>
      </w:tr>
    </w:tbl>
    <w:p w14:paraId="15AA5B81" w14:textId="77777777" w:rsidR="00310148" w:rsidRDefault="00310148" w:rsidP="00310148">
      <w:pPr>
        <w:ind w:left="360"/>
      </w:pPr>
    </w:p>
    <w:p w14:paraId="501D83F5" w14:textId="0ECEE5D7" w:rsidR="00310148" w:rsidRDefault="00310148" w:rsidP="00310148"/>
    <w:p w14:paraId="7055AB1B" w14:textId="0D8C430A" w:rsidR="00310148" w:rsidRDefault="00310148" w:rsidP="00310148">
      <w:r w:rsidRPr="00310148">
        <w:drawing>
          <wp:inline distT="0" distB="0" distL="0" distR="0" wp14:anchorId="4D234288" wp14:editId="22A3A72E">
            <wp:extent cx="5943600" cy="3668395"/>
            <wp:effectExtent l="0" t="0" r="0" b="825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943600" cy="3668395"/>
                    </a:xfrm>
                    <a:prstGeom prst="rect">
                      <a:avLst/>
                    </a:prstGeom>
                  </pic:spPr>
                </pic:pic>
              </a:graphicData>
            </a:graphic>
          </wp:inline>
        </w:drawing>
      </w:r>
    </w:p>
    <w:p w14:paraId="58F49A71" w14:textId="3A01BA00" w:rsidR="00310148" w:rsidRDefault="00310148" w:rsidP="00310148"/>
    <w:p w14:paraId="6F495A87" w14:textId="053E13B1" w:rsidR="00310148" w:rsidRDefault="00310148" w:rsidP="00310148">
      <w:pPr>
        <w:pStyle w:val="ListParagraph"/>
        <w:numPr>
          <w:ilvl w:val="0"/>
          <w:numId w:val="1"/>
        </w:numPr>
      </w:pPr>
      <w:r>
        <w:t xml:space="preserve">The chart below tracks the growth of an initial investment of one dollar that was made </w:t>
      </w:r>
      <w:r w:rsidRPr="00310148">
        <w:drawing>
          <wp:inline distT="0" distB="0" distL="0" distR="0" wp14:anchorId="39861743" wp14:editId="3D407AC8">
            <wp:extent cx="4600575" cy="283947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4602097" cy="2840418"/>
                    </a:xfrm>
                    <a:prstGeom prst="rect">
                      <a:avLst/>
                    </a:prstGeom>
                  </pic:spPr>
                </pic:pic>
              </a:graphicData>
            </a:graphic>
          </wp:inline>
        </w:drawing>
      </w:r>
    </w:p>
    <w:p w14:paraId="265D7EBE" w14:textId="292721A0" w:rsidR="00310148" w:rsidRDefault="00310148" w:rsidP="00310148"/>
    <w:p w14:paraId="7AC2D9B2" w14:textId="10C25035" w:rsidR="00310148" w:rsidRDefault="00310148" w:rsidP="00310148">
      <w:pPr>
        <w:pStyle w:val="ListParagraph"/>
        <w:numPr>
          <w:ilvl w:val="0"/>
          <w:numId w:val="1"/>
        </w:numPr>
      </w:pPr>
      <w:r>
        <w:lastRenderedPageBreak/>
        <w:t>The following chart captures 10,000 Bootstrapped simulations of stock growth over 25 years. The initial investment was also One dollar. The data was grouped into years prior to the creation of the bootstrapped simulations. The red lines indicate the 5</w:t>
      </w:r>
      <w:r w:rsidRPr="00310148">
        <w:rPr>
          <w:vertAlign w:val="superscript"/>
        </w:rPr>
        <w:t>th</w:t>
      </w:r>
      <w:r>
        <w:t xml:space="preserve"> and 95</w:t>
      </w:r>
      <w:r w:rsidRPr="00310148">
        <w:rPr>
          <w:vertAlign w:val="superscript"/>
        </w:rPr>
        <w:t>th</w:t>
      </w:r>
      <w:r>
        <w:t xml:space="preserve"> percentiles. </w:t>
      </w:r>
    </w:p>
    <w:p w14:paraId="2B982F11" w14:textId="77777777" w:rsidR="00310148" w:rsidRDefault="00310148" w:rsidP="00310148">
      <w:pPr>
        <w:pStyle w:val="ListParagraph"/>
      </w:pPr>
    </w:p>
    <w:p w14:paraId="25B4FE9A" w14:textId="43624A35" w:rsidR="00310148" w:rsidRDefault="00310148" w:rsidP="00310148">
      <w:r w:rsidRPr="00310148">
        <w:drawing>
          <wp:inline distT="0" distB="0" distL="0" distR="0" wp14:anchorId="61D7F94A" wp14:editId="0A4F6E81">
            <wp:extent cx="5943600" cy="3668395"/>
            <wp:effectExtent l="0" t="0" r="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stretch>
                      <a:fillRect/>
                    </a:stretch>
                  </pic:blipFill>
                  <pic:spPr>
                    <a:xfrm>
                      <a:off x="0" y="0"/>
                      <a:ext cx="5943600" cy="3668395"/>
                    </a:xfrm>
                    <a:prstGeom prst="rect">
                      <a:avLst/>
                    </a:prstGeom>
                  </pic:spPr>
                </pic:pic>
              </a:graphicData>
            </a:graphic>
          </wp:inline>
        </w:drawing>
      </w:r>
    </w:p>
    <w:p w14:paraId="2CC5BC61" w14:textId="38D8A902" w:rsidR="00617380" w:rsidRDefault="00617380" w:rsidP="00310148"/>
    <w:p w14:paraId="6AD88E69" w14:textId="2A85EF77" w:rsidR="00617380" w:rsidRDefault="00617380" w:rsidP="00617380">
      <w:pPr>
        <w:pStyle w:val="ListParagraph"/>
        <w:numPr>
          <w:ilvl w:val="0"/>
          <w:numId w:val="1"/>
        </w:numPr>
      </w:pPr>
      <w:r>
        <w:t xml:space="preserve">The histogram chart of the CAGR values calculated using the end values of the 10,000 bootstrapped simulations. </w:t>
      </w:r>
      <w:r w:rsidR="00FB5E44">
        <w:t>Combining our knowledge from the Bootstraps plus derived conclusions from the generated histogram of CAGR below, one would have a high confidence in a CAGR &gt; 0.</w:t>
      </w:r>
    </w:p>
    <w:p w14:paraId="7AD5AEE9" w14:textId="6F406991" w:rsidR="00617380" w:rsidRDefault="00617380" w:rsidP="00617380">
      <w:pPr>
        <w:ind w:left="360"/>
      </w:pPr>
      <w:r w:rsidRPr="00617380">
        <w:drawing>
          <wp:inline distT="0" distB="0" distL="0" distR="0" wp14:anchorId="544605C3" wp14:editId="71B10E45">
            <wp:extent cx="4724400" cy="2915904"/>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a:stretch>
                      <a:fillRect/>
                    </a:stretch>
                  </pic:blipFill>
                  <pic:spPr>
                    <a:xfrm>
                      <a:off x="0" y="0"/>
                      <a:ext cx="4730414" cy="2919616"/>
                    </a:xfrm>
                    <a:prstGeom prst="rect">
                      <a:avLst/>
                    </a:prstGeom>
                  </pic:spPr>
                </pic:pic>
              </a:graphicData>
            </a:graphic>
          </wp:inline>
        </w:drawing>
      </w:r>
    </w:p>
    <w:p w14:paraId="151EC881" w14:textId="75DC95B2" w:rsidR="00FB5E44" w:rsidRDefault="00FB5E44" w:rsidP="00FB5E44">
      <w:pPr>
        <w:pStyle w:val="ListParagraph"/>
        <w:numPr>
          <w:ilvl w:val="0"/>
          <w:numId w:val="1"/>
        </w:numPr>
      </w:pPr>
      <w:r>
        <w:lastRenderedPageBreak/>
        <w:t xml:space="preserve">To demonstrate the effectiveness of both strategies, #2 was repeated and the growth was plotted in </w:t>
      </w:r>
      <w:proofErr w:type="spellStart"/>
      <w:r>
        <w:t>ggplot</w:t>
      </w:r>
      <w:proofErr w:type="spellEnd"/>
      <w:r>
        <w:t xml:space="preserve"> in R. The green line represents a 100% investment into the Stock Market. The red line is the market strategy of 50% into the market and 50% risk – free. From the chart it can be concluded that utilizing the 50-50 strategy would lead to more growth of our initial investment of a Dollar.  </w:t>
      </w:r>
    </w:p>
    <w:p w14:paraId="29677984" w14:textId="0300BB26" w:rsidR="00FB5E44" w:rsidRDefault="00FB5E44" w:rsidP="00FB5E44">
      <w:pPr>
        <w:ind w:left="360"/>
      </w:pPr>
      <w:r w:rsidRPr="00FB5E44">
        <w:drawing>
          <wp:inline distT="0" distB="0" distL="0" distR="0" wp14:anchorId="4E185C13" wp14:editId="08E2904B">
            <wp:extent cx="5943600" cy="3668395"/>
            <wp:effectExtent l="0" t="0" r="0" b="825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stretch>
                      <a:fillRect/>
                    </a:stretch>
                  </pic:blipFill>
                  <pic:spPr>
                    <a:xfrm>
                      <a:off x="0" y="0"/>
                      <a:ext cx="5943600" cy="3668395"/>
                    </a:xfrm>
                    <a:prstGeom prst="rect">
                      <a:avLst/>
                    </a:prstGeom>
                  </pic:spPr>
                </pic:pic>
              </a:graphicData>
            </a:graphic>
          </wp:inline>
        </w:drawing>
      </w:r>
    </w:p>
    <w:sectPr w:rsidR="00FB5E44" w:rsidSect="00310148">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83E7E"/>
    <w:multiLevelType w:val="hybridMultilevel"/>
    <w:tmpl w:val="DA08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88"/>
    <w:rsid w:val="00310148"/>
    <w:rsid w:val="004969DF"/>
    <w:rsid w:val="00617380"/>
    <w:rsid w:val="008026AF"/>
    <w:rsid w:val="00D66D88"/>
    <w:rsid w:val="00D71BF1"/>
    <w:rsid w:val="00FB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ABBF"/>
  <w15:chartTrackingRefBased/>
  <w15:docId w15:val="{83402BBB-3C26-461F-A00A-E72837AC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88"/>
    <w:pPr>
      <w:ind w:left="720"/>
      <w:contextualSpacing/>
    </w:pPr>
  </w:style>
  <w:style w:type="table" w:styleId="TableGrid">
    <w:name w:val="Table Grid"/>
    <w:basedOn w:val="TableNormal"/>
    <w:uiPriority w:val="39"/>
    <w:rsid w:val="00310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Fidai</dc:creator>
  <cp:keywords/>
  <dc:description/>
  <cp:lastModifiedBy>Samir Fidai</cp:lastModifiedBy>
  <cp:revision>1</cp:revision>
  <dcterms:created xsi:type="dcterms:W3CDTF">2021-09-21T19:03:00Z</dcterms:created>
  <dcterms:modified xsi:type="dcterms:W3CDTF">2021-09-21T23:25:00Z</dcterms:modified>
</cp:coreProperties>
</file>