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Therefore, several systematic reviews have been conducted in order to investigate current practice and provide guidance. Besides the characteristics of the meta-analyses (size, design, type of outcome) most reviews report the primary goal (subgroup analysis, risk factor assessment) and subsequently the statistical approaches applied. Nevertheless, last five years no review has been published, while new guidance is present. Furthermore, past reviews were narrowed down to specific IPD-MA advantages (For instance subgroup analysis or modelling).</w:t>
      </w:r>
    </w:p>
    <w:p>
      <w:pPr>
        <w:pStyle w:val="12"/>
      </w:pPr>
      <w:r>
        <w:rPr>
          <w:b/>
        </w:rPr>
        <w:t xml:space="preserve">Objective:</w:t>
      </w:r>
      <w:r>
        <w:t xml:space="preserve"> </w:t>
      </w:r>
      <w:r>
        <w:t xml:space="preserve">Our goal is to conduct a scoping review of IPD-MA and summarise the aforementioned characteristics. Consequently, we aim to inform how IPD-MA are performed, what was their goal, which statistical approach they used and whether all above were clearly described according to PRISMA guidelines and/or to the level that the analysis can be reproduced.</w:t>
      </w:r>
    </w:p>
    <w:p>
      <w:pPr>
        <w:pStyle w:val="3"/>
      </w:pPr>
      <w:bookmarkStart w:id="22" w:name="methods"/>
      <w:r>
        <w:t xml:space="preserve">Methods</w:t>
      </w:r>
      <w:bookmarkEnd w:id="22"/>
    </w:p>
    <w:p>
      <w:pPr>
        <w:pStyle w:val="FirstParagraph"/>
      </w:pPr>
      <w:r>
        <w:t xml:space="preserve">We searched MEDLINE and the Cochrane Library</w:t>
      </w:r>
      <w:r>
        <w:t xml:space="preserve"> </w:t>
      </w:r>
      <w:r>
        <w:rPr>
          <w:b/>
        </w:rPr>
        <w:t xml:space="preserve">(we can include more databases i.e. EMBASE etc)</w:t>
      </w:r>
      <w:r>
        <w:t xml:space="preserve"> </w:t>
      </w:r>
      <w:r>
        <w:t xml:space="preserve">for IPD-MA to identify IPD-MAs performed the last five years. We excluded diagnostic IPD-MA. We screened the abstracts and extracted the size of MA, their primary goal, outcome(s), study designs included, statistical analysis and modeling approach performed. We report if information was unclear or not reported and considered the full-text.</w:t>
      </w:r>
    </w:p>
    <w:p>
      <w:pPr>
        <w:pStyle w:val="3"/>
      </w:pPr>
      <w:bookmarkStart w:id="23" w:name="results"/>
      <w:r>
        <w:t xml:space="preserve">Results</w:t>
      </w:r>
      <w:bookmarkEnd w:id="23"/>
    </w:p>
    <w:p>
      <w:pPr>
        <w:pStyle w:val="FirstParagraph"/>
      </w:pPr>
      <w:r>
        <w:t xml:space="preserve">Our search resulted in 1538 articles, after exlution criteria we ended with</w:t>
      </w:r>
      <w:r>
        <w:t xml:space="preserve"> </w:t>
      </w:r>
      <w:r>
        <w:rPr>
          <w:i/>
        </w:rPr>
        <w:t xml:space="preserve">xxx</w:t>
      </w:r>
      <w:r>
        <w:t xml:space="preserve">. We showed an increase per year in IPD-MAs performed.</w:t>
      </w:r>
      <w:r>
        <w:t xml:space="preserve"> </w:t>
      </w:r>
      <w:r>
        <w:t xml:space="preserve">‘</w:t>
      </w:r>
      <w:r>
        <w:t xml:space="preserve">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 An increasing trend in both IPD-MA in general and specifically in one-stage methods per year has been showed. Nevertheless, more information should be provided in both the abstract and the article over the statistical approaches followed.</w:t>
      </w:r>
      <w:r>
        <w:t xml:space="preserve">’</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4" w:name="conclusions"/>
      <w:r>
        <w:t xml:space="preserve">Conclusions</w:t>
      </w:r>
      <w:bookmarkEnd w:id="24"/>
    </w:p>
    <w:p>
      <w:pPr>
        <w:pStyle w:val="FirstParagraph"/>
      </w:pPr>
      <w:r>
        <w:rPr>
          <w:i/>
        </w:rPr>
        <w:t xml:space="preserve">Temporary</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t xml:space="preserve">Given these advantages systematic reviews were typically applied to inform of how are IPD from mulitple sources analysed and what for.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12"/>
      </w:pPr>
      <w:r>
        <w:t xml:space="preserve">Nevertheeo far systematic reviews over the IPD-MA practices are limited until 2014.</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2"/>
      </w:pPr>
      <w:bookmarkStart w:id="31" w:name="results-1"/>
      <w:r>
        <w:t xml:space="preserve">Results</w:t>
      </w:r>
      <w:bookmarkEnd w:id="31"/>
    </w:p>
    <w:p>
      <w:pPr>
        <w:pStyle w:val="FirstParagraph"/>
      </w:pPr>
      <w:r>
        <w:t xml:space="preserve">We identified 1538 published IPD-MAs. After exclusion of duplicates and article without Abstracts and</w:t>
      </w:r>
    </w:p>
    <w:p>
      <w:pPr>
        <w:pStyle w:val="TableCaption"/>
      </w:pPr>
      <w:r>
        <w:t xml:space="preserve">Individual participant meta-analysis per medical field</w:t>
      </w:r>
    </w:p>
    <w:tbl>
      <w:tblPr>
        <w:tblStyle w:val="Table"/>
        <w:tblW w:type="pct" w:w="0.0"/>
        <w:tblLook w:firstRow="1"/>
        <w:tblCaption w:val="Individual participant meta-analysis per medical field"/>
      </w:tblPr>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Frequencies</w:t>
            </w:r>
          </w:p>
        </w:tc>
        <w:tc>
          <w:tcPr>
            <w:tcBorders>
              <w:bottom w:val="single"/>
            </w:tcBorders>
            <w:vAlign w:val="bottom"/>
          </w:tcPr>
          <w:p>
            <w:pPr>
              <w:pStyle w:val="Compact"/>
              <w:jc w:val="left"/>
            </w:pPr>
            <w:r>
              <w:t xml:space="preserve">Percentage</w:t>
            </w:r>
          </w:p>
        </w:tc>
      </w:tr>
      <w:tr>
        <w:tc>
          <w:p>
            <w:pPr>
              <w:pStyle w:val="Compact"/>
              <w:jc w:val="left"/>
            </w:pPr>
            <w:r>
              <w:t xml:space="preserve">Cardiovascular diseases</w:t>
            </w:r>
          </w:p>
        </w:tc>
        <w:tc>
          <w:p>
            <w:pPr>
              <w:pStyle w:val="Compact"/>
              <w:jc w:val="left"/>
            </w:pPr>
            <w:r>
              <w:t xml:space="preserve">45</w:t>
            </w:r>
          </w:p>
        </w:tc>
        <w:tc>
          <w:p>
            <w:pPr>
              <w:pStyle w:val="Compact"/>
              <w:jc w:val="left"/>
            </w:pPr>
            <w:r>
              <w:t xml:space="preserve">17.31%</w:t>
            </w:r>
          </w:p>
        </w:tc>
      </w:tr>
      <w:tr>
        <w:tc>
          <w:p>
            <w:pPr>
              <w:pStyle w:val="Compact"/>
              <w:jc w:val="left"/>
            </w:pPr>
            <w:r>
              <w:t xml:space="preserve">Neurology</w:t>
            </w:r>
          </w:p>
        </w:tc>
        <w:tc>
          <w:p>
            <w:pPr>
              <w:pStyle w:val="Compact"/>
              <w:jc w:val="left"/>
            </w:pPr>
            <w:r>
              <w:t xml:space="preserve">33</w:t>
            </w:r>
          </w:p>
        </w:tc>
        <w:tc>
          <w:p>
            <w:pPr>
              <w:pStyle w:val="Compact"/>
              <w:jc w:val="left"/>
            </w:pPr>
            <w:r>
              <w:t xml:space="preserve">12.69%</w:t>
            </w:r>
          </w:p>
        </w:tc>
      </w:tr>
      <w:tr>
        <w:tc>
          <w:p>
            <w:pPr>
              <w:pStyle w:val="Compact"/>
              <w:jc w:val="left"/>
            </w:pPr>
            <w:r>
              <w:t xml:space="preserve">Cancer</w:t>
            </w:r>
          </w:p>
        </w:tc>
        <w:tc>
          <w:p>
            <w:pPr>
              <w:pStyle w:val="Compact"/>
              <w:jc w:val="left"/>
            </w:pPr>
            <w:r>
              <w:t xml:space="preserve">27</w:t>
            </w:r>
          </w:p>
        </w:tc>
        <w:tc>
          <w:p>
            <w:pPr>
              <w:pStyle w:val="Compact"/>
              <w:jc w:val="left"/>
            </w:pPr>
            <w:r>
              <w:t xml:space="preserve">10.38%</w:t>
            </w:r>
          </w:p>
        </w:tc>
      </w:tr>
      <w:tr>
        <w:tc>
          <w:p>
            <w:pPr>
              <w:pStyle w:val="Compact"/>
              <w:jc w:val="left"/>
            </w:pPr>
            <w:r>
              <w:t xml:space="preserve">Mental health</w:t>
            </w:r>
          </w:p>
        </w:tc>
        <w:tc>
          <w:p>
            <w:pPr>
              <w:pStyle w:val="Compact"/>
              <w:jc w:val="left"/>
            </w:pPr>
            <w:r>
              <w:t xml:space="preserve">26</w:t>
            </w:r>
          </w:p>
        </w:tc>
        <w:tc>
          <w:p>
            <w:pPr>
              <w:pStyle w:val="Compact"/>
              <w:jc w:val="left"/>
            </w:pPr>
            <w:r>
              <w:t xml:space="preserve">10%</w:t>
            </w:r>
          </w:p>
        </w:tc>
      </w:tr>
      <w:tr>
        <w:tc>
          <w:p>
            <w:pPr>
              <w:pStyle w:val="Compact"/>
              <w:jc w:val="left"/>
            </w:pPr>
            <w:r>
              <w:t xml:space="preserve">Pregnancy and childbirth</w:t>
            </w:r>
          </w:p>
        </w:tc>
        <w:tc>
          <w:p>
            <w:pPr>
              <w:pStyle w:val="Compact"/>
              <w:jc w:val="left"/>
            </w:pPr>
            <w:r>
              <w:t xml:space="preserve">23</w:t>
            </w:r>
          </w:p>
        </w:tc>
        <w:tc>
          <w:p>
            <w:pPr>
              <w:pStyle w:val="Compact"/>
              <w:jc w:val="left"/>
            </w:pPr>
            <w:r>
              <w:t xml:space="preserve">8.85%</w:t>
            </w:r>
          </w:p>
        </w:tc>
      </w:tr>
      <w:tr>
        <w:tc>
          <w:p>
            <w:pPr>
              <w:pStyle w:val="Compact"/>
              <w:jc w:val="left"/>
            </w:pPr>
            <w:r>
              <w:t xml:space="preserve">Child health</w:t>
            </w:r>
          </w:p>
        </w:tc>
        <w:tc>
          <w:p>
            <w:pPr>
              <w:pStyle w:val="Compact"/>
              <w:jc w:val="left"/>
            </w:pPr>
            <w:r>
              <w:t xml:space="preserve">20</w:t>
            </w:r>
          </w:p>
        </w:tc>
        <w:tc>
          <w:p>
            <w:pPr>
              <w:pStyle w:val="Compact"/>
              <w:jc w:val="left"/>
            </w:pPr>
            <w:r>
              <w:t xml:space="preserve">7.69%</w:t>
            </w:r>
          </w:p>
        </w:tc>
      </w:tr>
      <w:tr>
        <w:tc>
          <w:p>
            <w:pPr>
              <w:pStyle w:val="Compact"/>
              <w:jc w:val="left"/>
            </w:pPr>
            <w:r>
              <w:t xml:space="preserve">Statistical</w:t>
            </w:r>
          </w:p>
        </w:tc>
        <w:tc>
          <w:p>
            <w:pPr>
              <w:pStyle w:val="Compact"/>
              <w:jc w:val="left"/>
            </w:pPr>
            <w:r>
              <w:t xml:space="preserve">16</w:t>
            </w:r>
          </w:p>
        </w:tc>
        <w:tc>
          <w:p>
            <w:pPr>
              <w:pStyle w:val="Compact"/>
              <w:jc w:val="left"/>
            </w:pPr>
            <w:r>
              <w:t xml:space="preserve">6.15%</w:t>
            </w:r>
          </w:p>
        </w:tc>
      </w:tr>
      <w:tr>
        <w:tc>
          <w:p>
            <w:pPr>
              <w:pStyle w:val="Compact"/>
              <w:jc w:val="left"/>
            </w:pPr>
            <w:r>
              <w:t xml:space="preserve">Endocrine and metabolism</w:t>
            </w:r>
          </w:p>
        </w:tc>
        <w:tc>
          <w:p>
            <w:pPr>
              <w:pStyle w:val="Compact"/>
              <w:jc w:val="left"/>
            </w:pPr>
            <w:r>
              <w:t xml:space="preserve">13</w:t>
            </w:r>
          </w:p>
        </w:tc>
        <w:tc>
          <w:p>
            <w:pPr>
              <w:pStyle w:val="Compact"/>
              <w:jc w:val="left"/>
            </w:pPr>
            <w:r>
              <w:t xml:space="preserve">5%</w:t>
            </w:r>
          </w:p>
        </w:tc>
      </w:tr>
      <w:tr>
        <w:tc>
          <w:p>
            <w:pPr>
              <w:pStyle w:val="Compact"/>
              <w:jc w:val="left"/>
            </w:pPr>
            <w:r>
              <w:t xml:space="preserve">Gastroenterology</w:t>
            </w:r>
          </w:p>
        </w:tc>
        <w:tc>
          <w:p>
            <w:pPr>
              <w:pStyle w:val="Compact"/>
              <w:jc w:val="left"/>
            </w:pPr>
            <w:r>
              <w:t xml:space="preserve">11</w:t>
            </w:r>
          </w:p>
        </w:tc>
        <w:tc>
          <w:p>
            <w:pPr>
              <w:pStyle w:val="Compact"/>
              <w:jc w:val="left"/>
            </w:pPr>
            <w:r>
              <w:t xml:space="preserve">4.23%</w:t>
            </w:r>
          </w:p>
        </w:tc>
      </w:tr>
      <w:tr>
        <w:tc>
          <w:p>
            <w:pPr>
              <w:pStyle w:val="Compact"/>
              <w:jc w:val="left"/>
            </w:pPr>
            <w:r>
              <w:t xml:space="preserve">Lungs and airways</w:t>
            </w:r>
          </w:p>
        </w:tc>
        <w:tc>
          <w:p>
            <w:pPr>
              <w:pStyle w:val="Compact"/>
              <w:jc w:val="left"/>
            </w:pPr>
            <w:r>
              <w:t xml:space="preserve">7</w:t>
            </w:r>
          </w:p>
        </w:tc>
        <w:tc>
          <w:p>
            <w:pPr>
              <w:pStyle w:val="Compact"/>
              <w:jc w:val="left"/>
            </w:pPr>
            <w:r>
              <w:t xml:space="preserve">2.69%</w:t>
            </w:r>
          </w:p>
        </w:tc>
      </w:tr>
      <w:tr>
        <w:tc>
          <w:p>
            <w:pPr>
              <w:pStyle w:val="Compact"/>
              <w:jc w:val="left"/>
            </w:pPr>
            <w:r>
              <w:t xml:space="preserve">Orthopedics</w:t>
            </w:r>
          </w:p>
        </w:tc>
        <w:tc>
          <w:p>
            <w:pPr>
              <w:pStyle w:val="Compact"/>
              <w:jc w:val="left"/>
            </w:pPr>
            <w:r>
              <w:t xml:space="preserve">7</w:t>
            </w:r>
          </w:p>
        </w:tc>
        <w:tc>
          <w:p>
            <w:pPr>
              <w:pStyle w:val="Compact"/>
              <w:jc w:val="left"/>
            </w:pPr>
            <w:r>
              <w:t xml:space="preserve">2.69%</w:t>
            </w:r>
          </w:p>
        </w:tc>
      </w:tr>
      <w:tr>
        <w:tc>
          <w:p>
            <w:pPr>
              <w:pStyle w:val="Compact"/>
              <w:jc w:val="left"/>
            </w:pPr>
            <w:r>
              <w:t xml:space="preserve">Psychology</w:t>
            </w:r>
          </w:p>
        </w:tc>
        <w:tc>
          <w:p>
            <w:pPr>
              <w:pStyle w:val="Compact"/>
              <w:jc w:val="left"/>
            </w:pPr>
            <w:r>
              <w:t xml:space="preserve">6</w:t>
            </w:r>
          </w:p>
        </w:tc>
        <w:tc>
          <w:p>
            <w:pPr>
              <w:pStyle w:val="Compact"/>
              <w:jc w:val="left"/>
            </w:pPr>
            <w:r>
              <w:t xml:space="preserve">2.31%</w:t>
            </w:r>
          </w:p>
        </w:tc>
      </w:tr>
      <w:tr>
        <w:tc>
          <w:p>
            <w:pPr>
              <w:pStyle w:val="Compact"/>
              <w:jc w:val="left"/>
            </w:pPr>
            <w:r>
              <w:t xml:space="preserve">Generic Care</w:t>
            </w:r>
          </w:p>
        </w:tc>
        <w:tc>
          <w:p>
            <w:pPr>
              <w:pStyle w:val="Compact"/>
              <w:jc w:val="left"/>
            </w:pPr>
            <w:r>
              <w:t xml:space="preserve">5</w:t>
            </w:r>
          </w:p>
        </w:tc>
        <w:tc>
          <w:p>
            <w:pPr>
              <w:pStyle w:val="Compact"/>
              <w:jc w:val="left"/>
            </w:pPr>
            <w:r>
              <w:t xml:space="preserve">1.92%</w:t>
            </w:r>
          </w:p>
        </w:tc>
      </w:tr>
      <w:tr>
        <w:tc>
          <w:p>
            <w:pPr>
              <w:pStyle w:val="Compact"/>
              <w:jc w:val="left"/>
            </w:pPr>
            <w:r>
              <w:t xml:space="preserve">Geriatrics</w:t>
            </w:r>
          </w:p>
        </w:tc>
        <w:tc>
          <w:p>
            <w:pPr>
              <w:pStyle w:val="Compact"/>
              <w:jc w:val="left"/>
            </w:pPr>
            <w:r>
              <w:t xml:space="preserve">4</w:t>
            </w:r>
          </w:p>
        </w:tc>
        <w:tc>
          <w:p>
            <w:pPr>
              <w:pStyle w:val="Compact"/>
              <w:jc w:val="left"/>
            </w:pPr>
            <w:r>
              <w:t xml:space="preserve">1.54%</w:t>
            </w:r>
          </w:p>
        </w:tc>
      </w:tr>
      <w:tr>
        <w:tc>
          <w:p>
            <w:pPr>
              <w:pStyle w:val="Compact"/>
              <w:jc w:val="left"/>
            </w:pPr>
            <w:r>
              <w:t xml:space="preserve">Infectious diseases</w:t>
            </w:r>
          </w:p>
        </w:tc>
        <w:tc>
          <w:p>
            <w:pPr>
              <w:pStyle w:val="Compact"/>
              <w:jc w:val="left"/>
            </w:pPr>
            <w:r>
              <w:t xml:space="preserve">4</w:t>
            </w:r>
          </w:p>
        </w:tc>
        <w:tc>
          <w:p>
            <w:pPr>
              <w:pStyle w:val="Compact"/>
              <w:jc w:val="left"/>
            </w:pPr>
            <w:r>
              <w:t xml:space="preserve">1.54%</w:t>
            </w:r>
          </w:p>
        </w:tc>
      </w:tr>
      <w:tr>
        <w:tc>
          <w:p>
            <w:pPr>
              <w:pStyle w:val="Compact"/>
              <w:jc w:val="left"/>
            </w:pPr>
            <w:r>
              <w:t xml:space="preserve">Ear, nose and throat</w:t>
            </w:r>
          </w:p>
        </w:tc>
        <w:tc>
          <w:p>
            <w:pPr>
              <w:pStyle w:val="Compact"/>
              <w:jc w:val="left"/>
            </w:pPr>
            <w:r>
              <w:t xml:space="preserve">2</w:t>
            </w:r>
          </w:p>
        </w:tc>
        <w:tc>
          <w:p>
            <w:pPr>
              <w:pStyle w:val="Compact"/>
              <w:jc w:val="left"/>
            </w:pPr>
            <w:r>
              <w:t xml:space="preserve">0.77%</w:t>
            </w:r>
          </w:p>
        </w:tc>
      </w:tr>
      <w:tr>
        <w:tc>
          <w:p>
            <w:pPr>
              <w:pStyle w:val="Compact"/>
              <w:jc w:val="left"/>
            </w:pPr>
            <w:r>
              <w:t xml:space="preserve">Review</w:t>
            </w:r>
          </w:p>
        </w:tc>
        <w:tc>
          <w:p>
            <w:pPr>
              <w:pStyle w:val="Compact"/>
              <w:jc w:val="left"/>
            </w:pPr>
            <w:r>
              <w:t xml:space="preserve">2</w:t>
            </w:r>
          </w:p>
        </w:tc>
        <w:tc>
          <w:p>
            <w:pPr>
              <w:pStyle w:val="Compact"/>
              <w:jc w:val="left"/>
            </w:pPr>
            <w:r>
              <w:t xml:space="preserve">0.77%</w:t>
            </w:r>
          </w:p>
        </w:tc>
      </w:tr>
      <w:tr>
        <w:tc>
          <w:p>
            <w:pPr>
              <w:pStyle w:val="Compact"/>
              <w:jc w:val="left"/>
            </w:pPr>
            <w:r>
              <w:t xml:space="preserve">Vaccines</w:t>
            </w:r>
          </w:p>
        </w:tc>
        <w:tc>
          <w:p>
            <w:pPr>
              <w:pStyle w:val="Compact"/>
              <w:jc w:val="left"/>
            </w:pPr>
            <w:r>
              <w:t xml:space="preserve">2</w:t>
            </w:r>
          </w:p>
        </w:tc>
        <w:tc>
          <w:p>
            <w:pPr>
              <w:pStyle w:val="Compact"/>
              <w:jc w:val="left"/>
            </w:pPr>
            <w:r>
              <w:t xml:space="preserve">0.77%</w:t>
            </w:r>
          </w:p>
        </w:tc>
      </w:tr>
      <w:tr>
        <w:tc>
          <w:p>
            <w:pPr>
              <w:pStyle w:val="Compact"/>
              <w:jc w:val="left"/>
            </w:pPr>
            <w:r>
              <w:t xml:space="preserve">Anaesthesiology</w:t>
            </w:r>
          </w:p>
        </w:tc>
        <w:tc>
          <w:p>
            <w:pPr>
              <w:pStyle w:val="Compact"/>
              <w:jc w:val="left"/>
            </w:pPr>
            <w:r>
              <w:t xml:space="preserve">1</w:t>
            </w:r>
          </w:p>
        </w:tc>
        <w:tc>
          <w:p>
            <w:pPr>
              <w:pStyle w:val="Compact"/>
              <w:jc w:val="left"/>
            </w:pPr>
            <w:r>
              <w:t xml:space="preserve">0.38%</w:t>
            </w:r>
          </w:p>
        </w:tc>
      </w:tr>
      <w:tr>
        <w:tc>
          <w:p>
            <w:pPr>
              <w:pStyle w:val="Compact"/>
              <w:jc w:val="left"/>
            </w:pPr>
            <w:r>
              <w:t xml:space="preserve">Gynaecology</w:t>
            </w:r>
          </w:p>
        </w:tc>
        <w:tc>
          <w:p>
            <w:pPr>
              <w:pStyle w:val="Compact"/>
              <w:jc w:val="left"/>
            </w:pPr>
            <w:r>
              <w:t xml:space="preserve">1</w:t>
            </w:r>
          </w:p>
        </w:tc>
        <w:tc>
          <w:p>
            <w:pPr>
              <w:pStyle w:val="Compact"/>
              <w:jc w:val="left"/>
            </w:pPr>
            <w:r>
              <w:t xml:space="preserve">0.38%</w:t>
            </w:r>
          </w:p>
        </w:tc>
      </w:tr>
      <w:tr>
        <w:tc>
          <w:p>
            <w:pPr>
              <w:pStyle w:val="Compact"/>
              <w:jc w:val="left"/>
            </w:pPr>
            <w:r>
              <w:t xml:space="preserve">Nutrition</w:t>
            </w:r>
          </w:p>
        </w:tc>
        <w:tc>
          <w:p>
            <w:pPr>
              <w:pStyle w:val="Compact"/>
              <w:jc w:val="left"/>
            </w:pPr>
            <w:r>
              <w:t xml:space="preserve">1</w:t>
            </w:r>
          </w:p>
        </w:tc>
        <w:tc>
          <w:p>
            <w:pPr>
              <w:pStyle w:val="Compact"/>
              <w:jc w:val="left"/>
            </w:pPr>
            <w:r>
              <w:t xml:space="preserve">0.38%</w:t>
            </w:r>
          </w:p>
        </w:tc>
      </w:tr>
      <w:tr>
        <w:tc>
          <w:p>
            <w:pPr>
              <w:pStyle w:val="Compact"/>
              <w:jc w:val="left"/>
            </w:pPr>
            <w:r>
              <w:t xml:space="preserve">Other</w:t>
            </w:r>
          </w:p>
        </w:tc>
        <w:tc>
          <w:p>
            <w:pPr>
              <w:pStyle w:val="Compact"/>
              <w:jc w:val="left"/>
            </w:pPr>
            <w:r>
              <w:t xml:space="preserve">1</w:t>
            </w:r>
          </w:p>
        </w:tc>
        <w:tc>
          <w:p>
            <w:pPr>
              <w:pStyle w:val="Compact"/>
              <w:jc w:val="left"/>
            </w:pPr>
            <w:r>
              <w:t xml:space="preserve">0.38%</w:t>
            </w:r>
          </w:p>
        </w:tc>
      </w:tr>
      <w:tr>
        <w:tc>
          <w:p>
            <w:pPr>
              <w:pStyle w:val="Compact"/>
              <w:jc w:val="left"/>
            </w:pPr>
            <w:r>
              <w:t xml:space="preserve">Pharmakokinetics</w:t>
            </w:r>
          </w:p>
        </w:tc>
        <w:tc>
          <w:p>
            <w:pPr>
              <w:pStyle w:val="Compact"/>
              <w:jc w:val="left"/>
            </w:pPr>
            <w:r>
              <w:t xml:space="preserve">1</w:t>
            </w:r>
          </w:p>
        </w:tc>
        <w:tc>
          <w:p>
            <w:pPr>
              <w:pStyle w:val="Compact"/>
              <w:jc w:val="left"/>
            </w:pPr>
            <w:r>
              <w:t xml:space="preserve">0.38%</w:t>
            </w:r>
          </w:p>
        </w:tc>
      </w:tr>
      <w:tr>
        <w:tc>
          <w:p>
            <w:pPr>
              <w:pStyle w:val="Compact"/>
              <w:jc w:val="left"/>
            </w:pPr>
            <w:r>
              <w:t xml:space="preserve">Renal Disease</w:t>
            </w:r>
          </w:p>
        </w:tc>
        <w:tc>
          <w:p>
            <w:pPr>
              <w:pStyle w:val="Compact"/>
              <w:jc w:val="left"/>
            </w:pPr>
            <w:r>
              <w:t xml:space="preserve">1</w:t>
            </w:r>
          </w:p>
        </w:tc>
        <w:tc>
          <w:p>
            <w:pPr>
              <w:pStyle w:val="Compact"/>
              <w:jc w:val="left"/>
            </w:pPr>
            <w:r>
              <w:t xml:space="preserve">0.38%</w:t>
            </w:r>
          </w:p>
        </w:tc>
      </w:tr>
      <w:tr>
        <w:tc>
          <w:p>
            <w:pPr>
              <w:pStyle w:val="Compact"/>
              <w:jc w:val="left"/>
            </w:pPr>
            <w:r>
              <w:t xml:space="preserve">Wound</w:t>
            </w:r>
          </w:p>
        </w:tc>
        <w:tc>
          <w:p>
            <w:pPr>
              <w:pStyle w:val="Compact"/>
              <w:jc w:val="left"/>
            </w:pPr>
            <w:r>
              <w:t xml:space="preserve">1</w:t>
            </w:r>
          </w:p>
        </w:tc>
        <w:tc>
          <w:p>
            <w:pPr>
              <w:pStyle w:val="Compact"/>
              <w:jc w:val="left"/>
            </w:pPr>
            <w:r>
              <w:t xml:space="preserve">0.38%</w:t>
            </w:r>
          </w:p>
        </w:tc>
      </w:tr>
    </w:tbl>
    <w:p>
      <w:pPr>
        <w:pStyle w:val="6"/>
      </w:pPr>
      <w:bookmarkStart w:id="32" w:name="section-2"/>
      <w:bookmarkEnd w:id="32"/>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3"/>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2</w:t>
      </w:r>
    </w:p>
    <w:tbl>
      <w:tblPr>
        <w:tblStyle w:val="Table"/>
        <w:tblW w:type="pct" w:w="2777.777777777778"/>
        <w:tblLook w:firstRow="1"/>
        <w:tblCaption w:val="Table 2"/>
      </w:tblPr>
      <w:tblGrid>
        <w:gridCol w:w="2860"/>
        <w:gridCol w:w="1540"/>
      </w:tblGrid>
      <w:tr>
        <w:trPr>
          <w:cnfStyle w:firstRow="1"/>
        </w:trPr>
        <w:tc>
          <w:tcPr>
            <w:tcBorders>
              <w:bottom w:val="single"/>
            </w:tcBorders>
            <w:vAlign w:val="bottom"/>
          </w:tcPr>
          <w:p>
            <w:pPr>
              <w:pStyle w:val="Compact"/>
              <w:jc w:val="left"/>
            </w:pPr>
            <w:r>
              <w:t xml:space="preserve">Type of primary outcome</w:t>
            </w:r>
          </w:p>
        </w:tc>
        <w:tc>
          <w:tcPr>
            <w:tcBorders>
              <w:bottom w:val="single"/>
            </w:tcBorders>
            <w:vAlign w:val="bottom"/>
          </w:tcPr>
          <w:p>
            <w:pPr>
              <w:pStyle w:val="Compact"/>
              <w:jc w:val="left"/>
            </w:pPr>
            <w:r>
              <w:t xml:space="preserve">Frequencies</w:t>
            </w:r>
          </w:p>
        </w:tc>
      </w:tr>
      <w:tr>
        <w:tc>
          <w:p>
            <w:pPr>
              <w:pStyle w:val="Compact"/>
              <w:jc w:val="left"/>
            </w:pPr>
            <w:r>
              <w:t xml:space="preserve">Binary</w:t>
            </w:r>
          </w:p>
        </w:tc>
        <w:tc>
          <w:p>
            <w:pPr>
              <w:pStyle w:val="Compact"/>
              <w:jc w:val="left"/>
            </w:pPr>
            <w:r>
              <w:t xml:space="preserve">11</w:t>
            </w:r>
          </w:p>
        </w:tc>
      </w:tr>
      <w:tr>
        <w:tc>
          <w:p>
            <w:pPr>
              <w:pStyle w:val="Compact"/>
              <w:jc w:val="left"/>
            </w:pPr>
            <w:r>
              <w:t xml:space="preserve">Continuous</w:t>
            </w:r>
          </w:p>
        </w:tc>
        <w:tc>
          <w:p>
            <w:pPr>
              <w:pStyle w:val="Compact"/>
              <w:jc w:val="left"/>
            </w:pPr>
            <w:r>
              <w:t xml:space="preserve">5</w:t>
            </w:r>
          </w:p>
        </w:tc>
      </w:tr>
      <w:tr>
        <w:tc>
          <w:p>
            <w:pPr>
              <w:pStyle w:val="Compact"/>
              <w:jc w:val="left"/>
            </w:pPr>
            <w:r>
              <w:t xml:space="preserve">Time-to-Event</w:t>
            </w:r>
          </w:p>
        </w:tc>
        <w:tc>
          <w:p>
            <w:pPr>
              <w:pStyle w:val="Compact"/>
              <w:jc w:val="left"/>
            </w:pPr>
            <w:r>
              <w:t xml:space="preserve">4</w:t>
            </w:r>
          </w:p>
        </w:tc>
      </w:tr>
    </w:tbl>
    <w:p>
      <w:pPr>
        <w:pStyle w:val="TableCaption"/>
      </w:pPr>
      <w:r>
        <w:t xml:space="preserve">Table 3</w:t>
      </w:r>
    </w:p>
    <w:tbl>
      <w:tblPr>
        <w:tblStyle w:val="Table"/>
        <w:tblW w:type="pct" w:w="5000.0"/>
        <w:tblLook w:firstRow="1"/>
        <w:tblCaption w:val="Table 3"/>
      </w:tblPr>
      <w:tblGrid>
        <w:gridCol w:w="1532"/>
        <w:gridCol w:w="970"/>
        <w:gridCol w:w="1584"/>
        <w:gridCol w:w="1481"/>
        <w:gridCol w:w="919"/>
        <w:gridCol w:w="1430"/>
      </w:tblGrid>
      <w:tr>
        <w:trPr>
          <w:cnfStyle w:firstRow="1"/>
        </w:trPr>
        <w:tc>
          <w:tcPr>
            <w:tcBorders>
              <w:bottom w:val="single"/>
            </w:tcBorders>
            <w:vAlign w:val="bottom"/>
          </w:tcPr>
          <w:p/>
        </w:tc>
        <w:tc>
          <w:tcPr>
            <w:tcBorders>
              <w:bottom w:val="single"/>
            </w:tcBorders>
            <w:vAlign w:val="bottom"/>
          </w:tcPr>
          <w:p>
            <w:pPr>
              <w:pStyle w:val="Compact"/>
              <w:jc w:val="left"/>
            </w:pPr>
            <w:r>
              <w:t xml:space="preserve">One-stage IPD-MA</w:t>
            </w:r>
          </w:p>
        </w:tc>
        <w:tc>
          <w:tcPr>
            <w:tcBorders>
              <w:bottom w:val="single"/>
            </w:tcBorders>
            <w:vAlign w:val="bottom"/>
          </w:tcPr>
          <w:p>
            <w:pPr>
              <w:pStyle w:val="Compact"/>
              <w:jc w:val="left"/>
            </w:pPr>
            <w:r>
              <w:t xml:space="preserve">Meta-analysis of interaction</w:t>
            </w:r>
            <w:r>
              <w:t xml:space="preserve"> </w:t>
            </w:r>
            <w:r>
              <w:t xml:space="preserve">terms</w:t>
            </w:r>
          </w:p>
        </w:tc>
        <w:tc>
          <w:tcPr>
            <w:tcBorders>
              <w:bottom w:val="single"/>
            </w:tcBorders>
            <w:vAlign w:val="bottom"/>
          </w:tcPr>
          <w:p>
            <w:pPr>
              <w:pStyle w:val="Compact"/>
              <w:jc w:val="left"/>
            </w:pPr>
            <w:r>
              <w:t xml:space="preserve">Per subgroup meta-analysis</w:t>
            </w:r>
          </w:p>
        </w:tc>
        <w:tc>
          <w:tcPr>
            <w:tcBorders>
              <w:bottom w:val="single"/>
            </w:tcBorders>
            <w:vAlign w:val="bottom"/>
          </w:tcPr>
          <w:p>
            <w:pPr>
              <w:pStyle w:val="Compact"/>
              <w:jc w:val="left"/>
            </w:pPr>
            <w:r>
              <w:t xml:space="preserve">Meta-regression</w:t>
            </w:r>
          </w:p>
        </w:tc>
        <w:tc>
          <w:tcPr>
            <w:tcBorders>
              <w:bottom w:val="single"/>
            </w:tcBorders>
            <w:vAlign w:val="bottom"/>
          </w:tcPr>
          <w:p>
            <w:pPr>
              <w:pStyle w:val="Compact"/>
              <w:jc w:val="left"/>
            </w:pPr>
            <w:r>
              <w:t xml:space="preserve">Centered one-stage IPD-MA</w:t>
            </w:r>
          </w:p>
        </w:tc>
      </w:tr>
      <w:tr>
        <w:tc>
          <w:p/>
        </w:tc>
        <w:tc>
          <w:p/>
        </w:tc>
        <w:tc>
          <w:p>
            <w:pPr>
              <w:pStyle w:val="Compact"/>
              <w:jc w:val="left"/>
            </w:pPr>
            <w:r>
              <w:t xml:space="preserve">Fixed vs</w:t>
            </w:r>
          </w:p>
        </w:tc>
        <w:tc>
          <w:p>
            <w:pPr>
              <w:pStyle w:val="Compact"/>
              <w:jc w:val="left"/>
            </w:pPr>
            <w:r>
              <w:t xml:space="preserve">random effects</w:t>
            </w:r>
          </w:p>
        </w:tc>
        <w:tc>
          <w:p/>
        </w:tc>
        <w:tc>
          <w:p/>
        </w:tc>
      </w:tr>
      <w:tr>
        <w:tc>
          <w:p>
            <w:pPr>
              <w:pStyle w:val="Compact"/>
              <w:jc w:val="left"/>
            </w:pPr>
            <w:r>
              <w:t xml:space="preserve">Fixed effect</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Random effects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tc>
        <w:tc>
          <w:p/>
        </w:tc>
        <w:tc>
          <w:p>
            <w:pPr>
              <w:pStyle w:val="Compact"/>
              <w:jc w:val="left"/>
            </w:pPr>
            <w:r>
              <w:t xml:space="preserve">Reporting of</w:t>
            </w:r>
          </w:p>
        </w:tc>
        <w:tc>
          <w:p>
            <w:pPr>
              <w:pStyle w:val="Compact"/>
              <w:jc w:val="left"/>
            </w:pPr>
            <w:r>
              <w:t xml:space="preserve">heterogeneity</w:t>
            </w:r>
          </w:p>
        </w:tc>
        <w:tc>
          <w:p/>
        </w:tc>
        <w:tc>
          <w:p/>
        </w:tc>
      </w:tr>
      <w:tr>
        <w:tc>
          <w:p>
            <w:pPr>
              <w:pStyle w:val="Compact"/>
              <w:jc w:val="left"/>
            </w:pPr>
            <m:oMath>
              <m:sSup>
                <m:e>
                  <m:r>
                    <m:t>I</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Cochran’s Q (without</w:t>
            </w:r>
            <w:r>
              <w:t xml:space="preserve"> </w:t>
            </w:r>
            <m:oMath>
              <m:sSup>
                <m:e>
                  <m:r>
                    <m:t>I</m:t>
                  </m:r>
                </m:e>
                <m:sup>
                  <m:r>
                    <m:t>2</m:t>
                  </m:r>
                </m:sup>
              </m:sSup>
            </m:oMath>
            <w:r>
              <w:t xml:space="preserve">)</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m:oMath>
              <m:sSup>
                <m:e>
                  <m:r>
                    <m:t>τ</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Prediction intervals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From one-stage model</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Other</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Not reported</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7"/>
      </w:pPr>
      <w:bookmarkStart w:id="36" w:name="section-3"/>
      <w:bookmarkEnd w:id="36"/>
    </w:p>
    <w:p>
      <w:pPr>
        <w:pStyle w:val="2"/>
      </w:pPr>
      <w:bookmarkStart w:id="37" w:name="references"/>
      <w:r>
        <w:t xml:space="preserve">References</w:t>
      </w:r>
      <w:bookmarkEnd w:id="37"/>
    </w:p>
    <w:bookmarkStart w:id="70" w:name="refs"/>
    <w:bookmarkStart w:id="39" w:name="ref-Stewart_1995"/>
    <w:p>
      <w:pPr>
        <w:pStyle w:val="30"/>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8">
        <w:r>
          <w:rPr>
            <w:rStyle w:val="22"/>
          </w:rPr>
          <w:t xml:space="preserve">https://doi.org/10.1002/sim.4780141902</w:t>
        </w:r>
      </w:hyperlink>
      <w:r>
        <w:t xml:space="preserve">.</w:t>
      </w:r>
    </w:p>
    <w:bookmarkEnd w:id="39"/>
    <w:bookmarkStart w:id="41" w:name="ref-CHALMERS_1993"/>
    <w:p>
      <w:pPr>
        <w:pStyle w:val="30"/>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0">
        <w:r>
          <w:rPr>
            <w:rStyle w:val="22"/>
          </w:rPr>
          <w:t xml:space="preserve">https://doi.org/10.1111/j.1749-6632.1993.tb26345.x</w:t>
        </w:r>
      </w:hyperlink>
      <w:r>
        <w:t xml:space="preserve">.</w:t>
      </w:r>
    </w:p>
    <w:bookmarkEnd w:id="41"/>
    <w:bookmarkStart w:id="43" w:name="ref-Fisher_2011"/>
    <w:p>
      <w:pPr>
        <w:pStyle w:val="30"/>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2">
        <w:r>
          <w:rPr>
            <w:rStyle w:val="22"/>
          </w:rPr>
          <w:t xml:space="preserve">https://doi.org/10.1016/j.jclinepi.2010.11.016</w:t>
        </w:r>
      </w:hyperlink>
      <w:r>
        <w:t xml:space="preserve">.</w:t>
      </w:r>
    </w:p>
    <w:bookmarkEnd w:id="43"/>
    <w:bookmarkStart w:id="45" w:name="ref-Hua_2016"/>
    <w:p>
      <w:pPr>
        <w:pStyle w:val="30"/>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4">
        <w:r>
          <w:rPr>
            <w:rStyle w:val="22"/>
          </w:rPr>
          <w:t xml:space="preserve">https://doi.org/10.1002/sim.7171</w:t>
        </w:r>
      </w:hyperlink>
      <w:r>
        <w:t xml:space="preserve">.</w:t>
      </w:r>
    </w:p>
    <w:bookmarkEnd w:id="45"/>
    <w:bookmarkStart w:id="47" w:name="ref-IntHout_2016"/>
    <w:p>
      <w:pPr>
        <w:pStyle w:val="30"/>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6">
        <w:r>
          <w:rPr>
            <w:rStyle w:val="22"/>
          </w:rPr>
          <w:t xml:space="preserve">https://doi.org/10.1136/bmjopen-2015-010247</w:t>
        </w:r>
      </w:hyperlink>
      <w:r>
        <w:t xml:space="preserve">.</w:t>
      </w:r>
    </w:p>
    <w:bookmarkEnd w:id="47"/>
    <w:bookmarkStart w:id="49" w:name="ref-Riley_2010"/>
    <w:p>
      <w:pPr>
        <w:pStyle w:val="30"/>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8">
        <w:r>
          <w:rPr>
            <w:rStyle w:val="22"/>
          </w:rPr>
          <w:t xml:space="preserve">https://doi.org/10.1136/bmj.c221</w:t>
        </w:r>
      </w:hyperlink>
      <w:r>
        <w:t xml:space="preserve">.</w:t>
      </w:r>
    </w:p>
    <w:bookmarkEnd w:id="49"/>
    <w:bookmarkStart w:id="51" w:name="ref-royston_interaction_2013"/>
    <w:p>
      <w:pPr>
        <w:pStyle w:val="30"/>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0">
        <w:r>
          <w:rPr>
            <w:rStyle w:val="22"/>
          </w:rPr>
          <w:t xml:space="preserve">https://doi.org/10.1002/sim.5813</w:t>
        </w:r>
      </w:hyperlink>
      <w:r>
        <w:t xml:space="preserve">.</w:t>
      </w:r>
    </w:p>
    <w:bookmarkEnd w:id="51"/>
    <w:bookmarkStart w:id="53" w:name="ref-Sauerbrei_2011"/>
    <w:p>
      <w:pPr>
        <w:pStyle w:val="30"/>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2">
        <w:r>
          <w:rPr>
            <w:rStyle w:val="22"/>
          </w:rPr>
          <w:t xml:space="preserve">https://doi.org/10.1002/sim.4333</w:t>
        </w:r>
      </w:hyperlink>
      <w:r>
        <w:t xml:space="preserve">.</w:t>
      </w:r>
    </w:p>
    <w:bookmarkEnd w:id="53"/>
    <w:bookmarkStart w:id="55" w:name="ref-Schuit_2018"/>
    <w:p>
      <w:pPr>
        <w:pStyle w:val="30"/>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4">
        <w:r>
          <w:rPr>
            <w:rStyle w:val="22"/>
          </w:rPr>
          <w:t xml:space="preserve">https://doi.org/10.1093/ije/dyy239</w:t>
        </w:r>
      </w:hyperlink>
      <w:r>
        <w:t xml:space="preserve">.</w:t>
      </w:r>
    </w:p>
    <w:bookmarkEnd w:id="55"/>
    <w:bookmarkStart w:id="57" w:name="ref-Simmonds_2005"/>
    <w:p>
      <w:pPr>
        <w:pStyle w:val="30"/>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6">
        <w:r>
          <w:rPr>
            <w:rStyle w:val="22"/>
          </w:rPr>
          <w:t xml:space="preserve">https://doi.org/10.1191/1740774505cn087oa</w:t>
        </w:r>
      </w:hyperlink>
      <w:r>
        <w:t xml:space="preserve">.</w:t>
      </w:r>
    </w:p>
    <w:bookmarkEnd w:id="57"/>
    <w:bookmarkStart w:id="59" w:name="ref-Simmonds_2015"/>
    <w:p>
      <w:pPr>
        <w:pStyle w:val="30"/>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8">
        <w:r>
          <w:rPr>
            <w:rStyle w:val="22"/>
          </w:rPr>
          <w:t xml:space="preserve">https://doi.org/10.1016/j.cct.2015.06.012</w:t>
        </w:r>
      </w:hyperlink>
      <w:r>
        <w:t xml:space="preserve">.</w:t>
      </w:r>
    </w:p>
    <w:bookmarkEnd w:id="59"/>
    <w:bookmarkStart w:id="61" w:name="ref-Simmonds_2007"/>
    <w:p>
      <w:pPr>
        <w:pStyle w:val="30"/>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0">
        <w:r>
          <w:rPr>
            <w:rStyle w:val="22"/>
          </w:rPr>
          <w:t xml:space="preserve">https://doi.org/10.1002/sim.2768</w:t>
        </w:r>
      </w:hyperlink>
      <w:r>
        <w:t xml:space="preserve">.</w:t>
      </w:r>
    </w:p>
    <w:bookmarkEnd w:id="61"/>
    <w:bookmarkStart w:id="63" w:name="ref-Stewart_1993"/>
    <w:p>
      <w:pPr>
        <w:pStyle w:val="30"/>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2">
        <w:r>
          <w:rPr>
            <w:rStyle w:val="22"/>
          </w:rPr>
          <w:t xml:space="preserve">https://doi.org/10.1016/0140-6736(93)93004-k</w:t>
        </w:r>
      </w:hyperlink>
      <w:r>
        <w:t xml:space="preserve">.</w:t>
      </w:r>
    </w:p>
    <w:bookmarkEnd w:id="63"/>
    <w:bookmarkStart w:id="65" w:name="ref-Stewart_2015"/>
    <w:p>
      <w:pPr>
        <w:pStyle w:val="30"/>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4">
        <w:r>
          <w:rPr>
            <w:rStyle w:val="22"/>
          </w:rPr>
          <w:t xml:space="preserve">https://doi.org/10.1001/jama.2015.3656</w:t>
        </w:r>
      </w:hyperlink>
      <w:r>
        <w:t xml:space="preserve">.</w:t>
      </w:r>
    </w:p>
    <w:bookmarkEnd w:id="65"/>
    <w:bookmarkStart w:id="67" w:name="ref-Stewart_2002"/>
    <w:p>
      <w:pPr>
        <w:pStyle w:val="30"/>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6">
        <w:r>
          <w:rPr>
            <w:rStyle w:val="22"/>
          </w:rPr>
          <w:t xml:space="preserve">https://doi.org/10.1177/0163278702025001006</w:t>
        </w:r>
      </w:hyperlink>
      <w:r>
        <w:t xml:space="preserve">.</w:t>
      </w:r>
    </w:p>
    <w:bookmarkEnd w:id="67"/>
    <w:bookmarkStart w:id="69" w:name="ref-van_Walraven_2010"/>
    <w:p>
      <w:pPr>
        <w:pStyle w:val="30"/>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8">
        <w:r>
          <w:rPr>
            <w:rStyle w:val="22"/>
          </w:rPr>
          <w:t xml:space="preserve">https://doi.org/10.1016/j.jclinepi.2009.04.001</w:t>
        </w:r>
      </w:hyperlink>
      <w:r>
        <w:t xml:space="preserve">.</w:t>
      </w:r>
    </w:p>
    <w:bookmarkEnd w:id="69"/>
    <w:bookmarkEnd w:id="70"/>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Antykwa Poltawskiego Light"/>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LM Fixed">
    <w:panose1 w:val="02000500000000000000"/>
    <w:charset w:val="00"/>
    <w:family w:val="auto"/>
    <w:pitch w:val="default"/>
    <w:sig w:usb0="A000200F" w:usb1="80000000" w:usb2="00000008" w:usb3="00000000" w:csb0="200001D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b/>
      <w:bCs/>
      <w:smallCaps/>
      <w:color w:val="F79646" w:themeColor="accent6"/>
      <w:spacing w:val="10"/>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uiPriority w:val="9"/>
    <w:rPr>
      <w:b/>
      <w:bCs/>
      <w:i/>
      <w:iCs/>
      <w:smallCaps/>
      <w:color w:val="984806" w:themeColor="accent6" w:themeShade="80"/>
    </w:rPr>
  </w:style>
  <w:style w:type="character" w:customStyle="1" w:styleId="80">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64" Target="https://doi.org/10.1001/jama.2015.3656" TargetMode="External" /><Relationship Type="http://schemas.openxmlformats.org/officeDocument/2006/relationships/hyperlink" Id="rId60" Target="https://doi.org/10.1002/sim.2768" TargetMode="External" /><Relationship Type="http://schemas.openxmlformats.org/officeDocument/2006/relationships/hyperlink" Id="rId52" Target="https://doi.org/10.1002/sim.4333" TargetMode="External" /><Relationship Type="http://schemas.openxmlformats.org/officeDocument/2006/relationships/hyperlink" Id="rId38" Target="https://doi.org/10.1002/sim.4780141902" TargetMode="External" /><Relationship Type="http://schemas.openxmlformats.org/officeDocument/2006/relationships/hyperlink" Id="rId50" Target="https://doi.org/10.1002/sim.5813" TargetMode="External" /><Relationship Type="http://schemas.openxmlformats.org/officeDocument/2006/relationships/hyperlink" Id="rId44" Target="https://doi.org/10.1002/sim.7171" TargetMode="External" /><Relationship Type="http://schemas.openxmlformats.org/officeDocument/2006/relationships/hyperlink" Id="rId62" Target="https://doi.org/10.1016/0140-6736(93)93004-k" TargetMode="External" /><Relationship Type="http://schemas.openxmlformats.org/officeDocument/2006/relationships/hyperlink" Id="rId58" Target="https://doi.org/10.1016/j.cct.2015.06.012" TargetMode="External" /><Relationship Type="http://schemas.openxmlformats.org/officeDocument/2006/relationships/hyperlink" Id="rId68" Target="https://doi.org/10.1016/j.jclinepi.2009.04.001" TargetMode="External" /><Relationship Type="http://schemas.openxmlformats.org/officeDocument/2006/relationships/hyperlink" Id="rId42" Target="https://doi.org/10.1016/j.jclinepi.2010.11.016" TargetMode="External" /><Relationship Type="http://schemas.openxmlformats.org/officeDocument/2006/relationships/hyperlink" Id="rId54" Target="https://doi.org/10.1093/ije/dyy239" TargetMode="External" /><Relationship Type="http://schemas.openxmlformats.org/officeDocument/2006/relationships/hyperlink" Id="rId40" Target="https://doi.org/10.1111/j.1749-6632.1993.tb26345.x" TargetMode="External" /><Relationship Type="http://schemas.openxmlformats.org/officeDocument/2006/relationships/hyperlink" Id="rId48" Target="https://doi.org/10.1136/bmj.c221" TargetMode="External" /><Relationship Type="http://schemas.openxmlformats.org/officeDocument/2006/relationships/hyperlink" Id="rId46" Target="https://doi.org/10.1136/bmjopen-2015-010247" TargetMode="External" /><Relationship Type="http://schemas.openxmlformats.org/officeDocument/2006/relationships/hyperlink" Id="rId66" Target="https://doi.org/10.1177/0163278702025001006" TargetMode="External" /><Relationship Type="http://schemas.openxmlformats.org/officeDocument/2006/relationships/hyperlink" Id="rId56"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1/jama.2015.3656" TargetMode="External" /><Relationship Type="http://schemas.openxmlformats.org/officeDocument/2006/relationships/hyperlink" Id="rId60" Target="https://doi.org/10.1002/sim.2768" TargetMode="External" /><Relationship Type="http://schemas.openxmlformats.org/officeDocument/2006/relationships/hyperlink" Id="rId52" Target="https://doi.org/10.1002/sim.4333" TargetMode="External" /><Relationship Type="http://schemas.openxmlformats.org/officeDocument/2006/relationships/hyperlink" Id="rId38" Target="https://doi.org/10.1002/sim.4780141902" TargetMode="External" /><Relationship Type="http://schemas.openxmlformats.org/officeDocument/2006/relationships/hyperlink" Id="rId50" Target="https://doi.org/10.1002/sim.5813" TargetMode="External" /><Relationship Type="http://schemas.openxmlformats.org/officeDocument/2006/relationships/hyperlink" Id="rId44" Target="https://doi.org/10.1002/sim.7171" TargetMode="External" /><Relationship Type="http://schemas.openxmlformats.org/officeDocument/2006/relationships/hyperlink" Id="rId62" Target="https://doi.org/10.1016/0140-6736(93)93004-k" TargetMode="External" /><Relationship Type="http://schemas.openxmlformats.org/officeDocument/2006/relationships/hyperlink" Id="rId58" Target="https://doi.org/10.1016/j.cct.2015.06.012" TargetMode="External" /><Relationship Type="http://schemas.openxmlformats.org/officeDocument/2006/relationships/hyperlink" Id="rId68" Target="https://doi.org/10.1016/j.jclinepi.2009.04.001" TargetMode="External" /><Relationship Type="http://schemas.openxmlformats.org/officeDocument/2006/relationships/hyperlink" Id="rId42" Target="https://doi.org/10.1016/j.jclinepi.2010.11.016" TargetMode="External" /><Relationship Type="http://schemas.openxmlformats.org/officeDocument/2006/relationships/hyperlink" Id="rId54" Target="https://doi.org/10.1093/ije/dyy239" TargetMode="External" /><Relationship Type="http://schemas.openxmlformats.org/officeDocument/2006/relationships/hyperlink" Id="rId40" Target="https://doi.org/10.1111/j.1749-6632.1993.tb26345.x" TargetMode="External" /><Relationship Type="http://schemas.openxmlformats.org/officeDocument/2006/relationships/hyperlink" Id="rId48" Target="https://doi.org/10.1136/bmj.c221" TargetMode="External" /><Relationship Type="http://schemas.openxmlformats.org/officeDocument/2006/relationships/hyperlink" Id="rId46" Target="https://doi.org/10.1136/bmjopen-2015-010247" TargetMode="External" /><Relationship Type="http://schemas.openxmlformats.org/officeDocument/2006/relationships/hyperlink" Id="rId66" Target="https://doi.org/10.1177/0163278702025001006" TargetMode="External" /><Relationship Type="http://schemas.openxmlformats.org/officeDocument/2006/relationships/hyperlink" Id="rId56"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2019-05-29T11:17:07Z</dcterms:created>
  <dcterms:modified xsi:type="dcterms:W3CDTF">2019-05-29T11:17:07Z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