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w:t>
      </w:r>
      <w:r>
        <w:t xml:space="preserve"> </w:t>
      </w:r>
      <w:r>
        <w:rPr>
          <w:b/>
        </w:rPr>
        <w:t xml:space="preserve">Objective:</w:t>
      </w:r>
      <w:r>
        <w:t xml:space="preserve"> </w:t>
      </w:r>
      <w:r>
        <w:t xml:space="preserve">Our objective is to conduct a scoping review of existing IPD-MA, and summarise their properties. Furthermore, we aim to inform when and how IPD-MA are performed, whether state-of the art methods are used and whether they are clearly described.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r>
        <w:br/>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w:t>
      </w:r>
      <w:r>
        <w:t xml:space="preserve"> </w:t>
      </w:r>
      <w:r>
        <w:t xml:space="preserve">Nevertheless, more information should be provided in both the abstract and the article over the statistical approaches followed.</w:t>
      </w:r>
      <w:r>
        <w:br/>
      </w:r>
      <w:r>
        <w:rPr>
          <w:b/>
        </w:rPr>
        <w:t xml:space="preserve">An increasing trend in one-stage methods frequency by year has been showed. Most of the IPD-MAs had as a goal to investigate for subgroups effects. Reporting type of</w:t>
      </w:r>
      <w:r>
        <w:rPr>
          <w:b/>
        </w:rPr>
        <w:t xml:space="preserve"> </w:t>
      </w:r>
    </w:p>
    <w:p>
      <w:pPr>
        <w:pStyle w:val="3"/>
      </w:pPr>
      <w:bookmarkStart w:id="24" w:name="conclusions"/>
      <w:r>
        <w:t xml:space="preserve">Conclusions</w:t>
      </w:r>
      <w:bookmarkEnd w:id="24"/>
    </w:p>
    <w:p>
      <w:pPr>
        <w:pStyle w:val="FirstParagraph"/>
      </w:pP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rPr>
          <w:i/>
        </w:rPr>
        <w:t xml:space="preserve">we can place extra stuff</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12"/>
      </w:pPr>
      <w:r>
        <w:rPr>
          <w:b/>
        </w:rPr>
        <w:t xml:space="preserve">Reviews like ours and goal</w:t>
      </w:r>
      <w:r>
        <w:t xml:space="preserve"> </w:t>
      </w:r>
      <w:r>
        <w:t xml:space="preserve">So far systematic reviews over the IPD-MA practices are limited until 2014.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We excluded diagnostic IPD-MAs and IPD-MA of prediction models. We removed duplicate papers and from series we included only the last article. When unclear we considered full-text assessment. Any disagreement was solved by a third reviewer</w:t>
      </w:r>
    </w:p>
    <w:p>
      <w:pPr>
        <w:pStyle w:val="7"/>
      </w:pPr>
      <w:bookmarkStart w:id="30" w:name="section-2"/>
      <w:bookmarkEnd w:id="30"/>
    </w:p>
    <w:p>
      <w:pPr>
        <w:pStyle w:val="2"/>
      </w:pPr>
      <w:bookmarkStart w:id="31" w:name="results-1"/>
      <w:r>
        <w:t xml:space="preserve">Results</w:t>
      </w:r>
      <w:bookmarkEnd w:id="31"/>
    </w:p>
    <w:p>
      <w:pPr>
        <w:pStyle w:val="FirstParagraph"/>
      </w:pPr>
      <w:r>
        <w:t xml:space="preserve">We identified 1538 IPD-MAs.</w:t>
      </w:r>
    </w:p>
    <w:p>
      <w:pPr>
        <w:pStyle w:val="6"/>
      </w:pPr>
      <w:bookmarkStart w:id="32" w:name="section-3"/>
      <w:bookmarkEnd w:id="32"/>
    </w:p>
    <w:p>
      <w:pPr>
        <w:pStyle w:val="FirstParagraph"/>
      </w:pPr>
      <w:r>
        <w:t xml:space="preserve">mpla mpla</w:t>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Figs/unnamed-chunk-4-2.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7"/>
      </w:pPr>
      <w:bookmarkStart w:id="35" w:name="section-4"/>
      <w:bookmarkEnd w:id="35"/>
    </w:p>
    <w:p>
      <w:pPr>
        <w:pStyle w:val="2"/>
      </w:pPr>
      <w:bookmarkStart w:id="36" w:name="references"/>
      <w:r>
        <w:t xml:space="preserve">References</w:t>
      </w:r>
      <w:bookmarkEnd w:id="36"/>
    </w:p>
    <w:bookmarkStart w:id="69" w:name="refs"/>
    <w:bookmarkStart w:id="38"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7">
        <w:r>
          <w:rPr>
            <w:rStyle w:val="22"/>
          </w:rPr>
          <w:t xml:space="preserve">https://doi.org/10.1002/sim.4780141902</w:t>
        </w:r>
      </w:hyperlink>
      <w:r>
        <w:t xml:space="preserve">.</w:t>
      </w:r>
    </w:p>
    <w:bookmarkEnd w:id="38"/>
    <w:bookmarkStart w:id="40"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39">
        <w:r>
          <w:rPr>
            <w:rStyle w:val="22"/>
          </w:rPr>
          <w:t xml:space="preserve">https://doi.org/10.1111/j.1749-6632.1993.tb26345.x</w:t>
        </w:r>
      </w:hyperlink>
      <w:r>
        <w:t xml:space="preserve">.</w:t>
      </w:r>
    </w:p>
    <w:bookmarkEnd w:id="40"/>
    <w:bookmarkStart w:id="42"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1">
        <w:r>
          <w:rPr>
            <w:rStyle w:val="22"/>
          </w:rPr>
          <w:t xml:space="preserve">https://doi.org/10.1016/j.jclinepi.2010.11.016</w:t>
        </w:r>
      </w:hyperlink>
      <w:r>
        <w:t xml:space="preserve">.</w:t>
      </w:r>
    </w:p>
    <w:bookmarkEnd w:id="42"/>
    <w:bookmarkStart w:id="44"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3">
        <w:r>
          <w:rPr>
            <w:rStyle w:val="22"/>
          </w:rPr>
          <w:t xml:space="preserve">https://doi.org/10.1002/sim.7171</w:t>
        </w:r>
      </w:hyperlink>
      <w:r>
        <w:t xml:space="preserve">.</w:t>
      </w:r>
    </w:p>
    <w:bookmarkEnd w:id="44"/>
    <w:bookmarkStart w:id="46"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5">
        <w:r>
          <w:rPr>
            <w:rStyle w:val="22"/>
          </w:rPr>
          <w:t xml:space="preserve">https://doi.org/10.1136/bmjopen-2015-010247</w:t>
        </w:r>
      </w:hyperlink>
      <w:r>
        <w:t xml:space="preserve">.</w:t>
      </w:r>
    </w:p>
    <w:bookmarkEnd w:id="46"/>
    <w:bookmarkStart w:id="48"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7">
        <w:r>
          <w:rPr>
            <w:rStyle w:val="22"/>
          </w:rPr>
          <w:t xml:space="preserve">https://doi.org/10.1136/bmj.c221</w:t>
        </w:r>
      </w:hyperlink>
      <w:r>
        <w:t xml:space="preserve">.</w:t>
      </w:r>
    </w:p>
    <w:bookmarkEnd w:id="48"/>
    <w:bookmarkStart w:id="50"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49">
        <w:r>
          <w:rPr>
            <w:rStyle w:val="22"/>
          </w:rPr>
          <w:t xml:space="preserve">https://doi.org/10.1002/sim.5813</w:t>
        </w:r>
      </w:hyperlink>
      <w:r>
        <w:t xml:space="preserve">.</w:t>
      </w:r>
    </w:p>
    <w:bookmarkEnd w:id="50"/>
    <w:bookmarkStart w:id="52"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1">
        <w:r>
          <w:rPr>
            <w:rStyle w:val="22"/>
          </w:rPr>
          <w:t xml:space="preserve">https://doi.org/10.1002/sim.4333</w:t>
        </w:r>
      </w:hyperlink>
      <w:r>
        <w:t xml:space="preserve">.</w:t>
      </w:r>
    </w:p>
    <w:bookmarkEnd w:id="52"/>
    <w:bookmarkStart w:id="54"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3">
        <w:r>
          <w:rPr>
            <w:rStyle w:val="22"/>
          </w:rPr>
          <w:t xml:space="preserve">https://doi.org/10.1093/ije/dyy239</w:t>
        </w:r>
      </w:hyperlink>
      <w:r>
        <w:t xml:space="preserve">.</w:t>
      </w:r>
    </w:p>
    <w:bookmarkEnd w:id="54"/>
    <w:bookmarkStart w:id="56"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5">
        <w:r>
          <w:rPr>
            <w:rStyle w:val="22"/>
          </w:rPr>
          <w:t xml:space="preserve">https://doi.org/10.1191/1740774505cn087oa</w:t>
        </w:r>
      </w:hyperlink>
      <w:r>
        <w:t xml:space="preserve">.</w:t>
      </w:r>
    </w:p>
    <w:bookmarkEnd w:id="56"/>
    <w:bookmarkStart w:id="58"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7">
        <w:r>
          <w:rPr>
            <w:rStyle w:val="22"/>
          </w:rPr>
          <w:t xml:space="preserve">https://doi.org/10.1016/j.cct.2015.06.012</w:t>
        </w:r>
      </w:hyperlink>
      <w:r>
        <w:t xml:space="preserve">.</w:t>
      </w:r>
    </w:p>
    <w:bookmarkEnd w:id="58"/>
    <w:bookmarkStart w:id="60"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59">
        <w:r>
          <w:rPr>
            <w:rStyle w:val="22"/>
          </w:rPr>
          <w:t xml:space="preserve">https://doi.org/10.1002/sim.2768</w:t>
        </w:r>
      </w:hyperlink>
      <w:r>
        <w:t xml:space="preserve">.</w:t>
      </w:r>
    </w:p>
    <w:bookmarkEnd w:id="60"/>
    <w:bookmarkStart w:id="62"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1">
        <w:r>
          <w:rPr>
            <w:rStyle w:val="22"/>
          </w:rPr>
          <w:t xml:space="preserve">https://doi.org/10.1016/0140-6736(93)93004-k</w:t>
        </w:r>
      </w:hyperlink>
      <w:r>
        <w:t xml:space="preserve">.</w:t>
      </w:r>
    </w:p>
    <w:bookmarkEnd w:id="62"/>
    <w:bookmarkStart w:id="64"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3">
        <w:r>
          <w:rPr>
            <w:rStyle w:val="22"/>
          </w:rPr>
          <w:t xml:space="preserve">https://doi.org/10.1001/jama.2015.3656</w:t>
        </w:r>
      </w:hyperlink>
      <w:r>
        <w:t xml:space="preserve">.</w:t>
      </w:r>
    </w:p>
    <w:bookmarkEnd w:id="64"/>
    <w:bookmarkStart w:id="66"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5">
        <w:r>
          <w:rPr>
            <w:rStyle w:val="22"/>
          </w:rPr>
          <w:t xml:space="preserve">https://doi.org/10.1177/0163278702025001006</w:t>
        </w:r>
      </w:hyperlink>
      <w:r>
        <w:t xml:space="preserve">.</w:t>
      </w:r>
    </w:p>
    <w:bookmarkEnd w:id="66"/>
    <w:bookmarkStart w:id="68"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7">
        <w:r>
          <w:rPr>
            <w:rStyle w:val="22"/>
          </w:rPr>
          <w:t xml:space="preserve">https://doi.org/10.1016/j.jclinepi.2009.04.001</w:t>
        </w:r>
      </w:hyperlink>
      <w:r>
        <w:t xml:space="preserve">.</w:t>
      </w:r>
    </w:p>
    <w:bookmarkEnd w:id="68"/>
    <w:bookmarkEnd w:id="69"/>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63" Target="https://doi.org/10.1001/jama.2015.3656" TargetMode="External" /><Relationship Type="http://schemas.openxmlformats.org/officeDocument/2006/relationships/hyperlink" Id="rId59" Target="https://doi.org/10.1002/sim.2768" TargetMode="External" /><Relationship Type="http://schemas.openxmlformats.org/officeDocument/2006/relationships/hyperlink" Id="rId51" Target="https://doi.org/10.1002/sim.4333" TargetMode="External" /><Relationship Type="http://schemas.openxmlformats.org/officeDocument/2006/relationships/hyperlink" Id="rId37" Target="https://doi.org/10.1002/sim.4780141902" TargetMode="External" /><Relationship Type="http://schemas.openxmlformats.org/officeDocument/2006/relationships/hyperlink" Id="rId49" Target="https://doi.org/10.1002/sim.5813" TargetMode="External" /><Relationship Type="http://schemas.openxmlformats.org/officeDocument/2006/relationships/hyperlink" Id="rId43" Target="https://doi.org/10.1002/sim.7171" TargetMode="External" /><Relationship Type="http://schemas.openxmlformats.org/officeDocument/2006/relationships/hyperlink" Id="rId61" Target="https://doi.org/10.1016/0140-6736(93)93004-k" TargetMode="External" /><Relationship Type="http://schemas.openxmlformats.org/officeDocument/2006/relationships/hyperlink" Id="rId57" Target="https://doi.org/10.1016/j.cct.2015.06.012" TargetMode="External" /><Relationship Type="http://schemas.openxmlformats.org/officeDocument/2006/relationships/hyperlink" Id="rId67" Target="https://doi.org/10.1016/j.jclinepi.2009.04.001" TargetMode="External" /><Relationship Type="http://schemas.openxmlformats.org/officeDocument/2006/relationships/hyperlink" Id="rId41" Target="https://doi.org/10.1016/j.jclinepi.2010.11.016" TargetMode="External" /><Relationship Type="http://schemas.openxmlformats.org/officeDocument/2006/relationships/hyperlink" Id="rId53" Target="https://doi.org/10.1093/ije/dyy239" TargetMode="External" /><Relationship Type="http://schemas.openxmlformats.org/officeDocument/2006/relationships/hyperlink" Id="rId39" Target="https://doi.org/10.1111/j.1749-6632.1993.tb26345.x" TargetMode="External" /><Relationship Type="http://schemas.openxmlformats.org/officeDocument/2006/relationships/hyperlink" Id="rId47" Target="https://doi.org/10.1136/bmj.c221" TargetMode="External" /><Relationship Type="http://schemas.openxmlformats.org/officeDocument/2006/relationships/hyperlink" Id="rId45" Target="https://doi.org/10.1136/bmjopen-2015-010247" TargetMode="External" /><Relationship Type="http://schemas.openxmlformats.org/officeDocument/2006/relationships/hyperlink" Id="rId65" Target="https://doi.org/10.1177/0163278702025001006" TargetMode="External" /><Relationship Type="http://schemas.openxmlformats.org/officeDocument/2006/relationships/hyperlink" Id="rId55"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1/jama.2015.3656" TargetMode="External" /><Relationship Type="http://schemas.openxmlformats.org/officeDocument/2006/relationships/hyperlink" Id="rId59" Target="https://doi.org/10.1002/sim.2768" TargetMode="External" /><Relationship Type="http://schemas.openxmlformats.org/officeDocument/2006/relationships/hyperlink" Id="rId51" Target="https://doi.org/10.1002/sim.4333" TargetMode="External" /><Relationship Type="http://schemas.openxmlformats.org/officeDocument/2006/relationships/hyperlink" Id="rId37" Target="https://doi.org/10.1002/sim.4780141902" TargetMode="External" /><Relationship Type="http://schemas.openxmlformats.org/officeDocument/2006/relationships/hyperlink" Id="rId49" Target="https://doi.org/10.1002/sim.5813" TargetMode="External" /><Relationship Type="http://schemas.openxmlformats.org/officeDocument/2006/relationships/hyperlink" Id="rId43" Target="https://doi.org/10.1002/sim.7171" TargetMode="External" /><Relationship Type="http://schemas.openxmlformats.org/officeDocument/2006/relationships/hyperlink" Id="rId61" Target="https://doi.org/10.1016/0140-6736(93)93004-k" TargetMode="External" /><Relationship Type="http://schemas.openxmlformats.org/officeDocument/2006/relationships/hyperlink" Id="rId57" Target="https://doi.org/10.1016/j.cct.2015.06.012" TargetMode="External" /><Relationship Type="http://schemas.openxmlformats.org/officeDocument/2006/relationships/hyperlink" Id="rId67" Target="https://doi.org/10.1016/j.jclinepi.2009.04.001" TargetMode="External" /><Relationship Type="http://schemas.openxmlformats.org/officeDocument/2006/relationships/hyperlink" Id="rId41" Target="https://doi.org/10.1016/j.jclinepi.2010.11.016" TargetMode="External" /><Relationship Type="http://schemas.openxmlformats.org/officeDocument/2006/relationships/hyperlink" Id="rId53" Target="https://doi.org/10.1093/ije/dyy239" TargetMode="External" /><Relationship Type="http://schemas.openxmlformats.org/officeDocument/2006/relationships/hyperlink" Id="rId39" Target="https://doi.org/10.1111/j.1749-6632.1993.tb26345.x" TargetMode="External" /><Relationship Type="http://schemas.openxmlformats.org/officeDocument/2006/relationships/hyperlink" Id="rId47" Target="https://doi.org/10.1136/bmj.c221" TargetMode="External" /><Relationship Type="http://schemas.openxmlformats.org/officeDocument/2006/relationships/hyperlink" Id="rId45" Target="https://doi.org/10.1136/bmjopen-2015-010247" TargetMode="External" /><Relationship Type="http://schemas.openxmlformats.org/officeDocument/2006/relationships/hyperlink" Id="rId65" Target="https://doi.org/10.1177/0163278702025001006" TargetMode="External" /><Relationship Type="http://schemas.openxmlformats.org/officeDocument/2006/relationships/hyperlink" Id="rId55"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2019-05-24T16:41:13Z</dcterms:created>
  <dcterms:modified xsi:type="dcterms:W3CDTF">2019-05-24T16:41:13Z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