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 ContentType="application/octet-stream"/>
  <Override PartName="/word/media/image1.jpeg" ContentType="image/jpeg"/>
  <Override PartName="/word/media/image2.jpeg" ContentType="image/jpe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2"/>
      </w:pPr>
      <w:bookmarkStart w:id="20" w:name="abstract"/>
      <w:r>
        <w:t xml:space="preserve">Abstract</w:t>
      </w:r>
      <w:bookmarkEnd w:id="20"/>
    </w:p>
    <w:p>
      <w:pPr>
        <w:pStyle w:val="3"/>
      </w:pPr>
      <w:bookmarkStart w:id="21" w:name="background"/>
      <w:r>
        <w:t xml:space="preserve">Background</w:t>
      </w:r>
      <w:bookmarkEnd w:id="21"/>
    </w:p>
    <w:p>
      <w:pPr>
        <w:pStyle w:val="FirstParagraph"/>
      </w:pPr>
      <w:r>
        <w:t xml:space="preserve">Individual participant data(IPD) meta-analysis(MA) is considered the gold standard for evidence based inference. It is well established that IPD-MA offers great advantages compared to aggregate MA and single studies. Nevertheless, it is unclear which advantages are mostly addressed when IPD-MAs are conducted. Furthermore, it is unclear which statistical approaches are preferred, how they are the results presented, which medical fields are involved and to what extent guidelines are followed.</w:t>
      </w:r>
      <w:r>
        <w:t xml:space="preserve"> </w:t>
      </w:r>
      <w:r>
        <w:rPr>
          <w:b/>
        </w:rPr>
        <w:t xml:space="preserve">Objective:</w:t>
      </w:r>
      <w:r>
        <w:t xml:space="preserve"> </w:t>
      </w:r>
      <w:r>
        <w:t xml:space="preserve">Our objective is to conduct a scoping review of existing IPD-MA, and summarise their properties. Furthermore, we aim to inform when and how IPD-MA are performed, whether state-of the art methods are used and whether they are clearly described.</w:t>
      </w:r>
    </w:p>
    <w:p>
      <w:pPr>
        <w:pStyle w:val="3"/>
      </w:pPr>
      <w:bookmarkStart w:id="22" w:name="methods"/>
      <w:r>
        <w:t xml:space="preserve">Methods</w:t>
      </w:r>
      <w:bookmarkEnd w:id="22"/>
    </w:p>
    <w:p>
      <w:pPr>
        <w:pStyle w:val="FirstParagraph"/>
      </w:pPr>
      <w:r>
        <w:t xml:space="preserve">We performed a scoping review to identify IPD-MA performed the last five years. We searched MEDLINE and the Cochrane Library for IPD-MA, written in English and from 01/01/2015 to 01/05/2019 time period. We included both IPD meta-analyses of randomised clinical trials and observational studies, but excluded diagnostic IPD-MA. We screened the abstracts and extracted their goal.</w:t>
      </w:r>
      <w:r>
        <w:br/>
      </w:r>
      <w:r>
        <w:rPr>
          <w:b/>
        </w:rPr>
        <w:t xml:space="preserve">(we can include more databases i.e. EMBASE etc)</w:t>
      </w:r>
    </w:p>
    <w:p>
      <w:pPr>
        <w:pStyle w:val="3"/>
      </w:pPr>
      <w:bookmarkStart w:id="23" w:name="results"/>
      <w:r>
        <w:t xml:space="preserve">Results</w:t>
      </w:r>
      <w:bookmarkEnd w:id="23"/>
    </w:p>
    <w:p>
      <w:pPr>
        <w:pStyle w:val="FirstParagraph"/>
      </w:pPr>
      <w:r>
        <w:t xml:space="preserve">Our search resulted in 1538 articles. We included only IPD-MAs with at least one treatment comparison. We showed an increase per year in IPD-MAs performed.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w:t>
      </w:r>
      <w:r>
        <w:t xml:space="preserve"> </w:t>
      </w:r>
      <w:r>
        <w:t xml:space="preserve">Nevertheless, more information should be provided in both the abstract and the article over the statistical approaches followed.</w:t>
      </w:r>
      <w:r>
        <w:br/>
      </w:r>
      <w:r>
        <w:rPr>
          <w:b/>
        </w:rPr>
        <w:t xml:space="preserve">An increasing trend in one-stage methods frequency by year has been showed. Most of the IPD-MAs had as a goal to investigate for subgroups effects. Reporting type of</w:t>
      </w:r>
      <w:r>
        <w:rPr>
          <w:b/>
        </w:rPr>
        <w:t xml:space="preserve"> </w:t>
      </w:r>
    </w:p>
    <w:p>
      <w:pPr>
        <w:pStyle w:val="3"/>
      </w:pPr>
      <w:bookmarkStart w:id="24" w:name="conclusions"/>
      <w:r>
        <w:t xml:space="preserve">Conclusions</w:t>
      </w:r>
      <w:bookmarkEnd w:id="24"/>
    </w:p>
    <w:p>
      <w:pPr>
        <w:pStyle w:val="FirstParagraph"/>
      </w:pPr>
      <w:r>
        <w:t xml:space="preserve">Goal and statistical approach description is still unclear.</w:t>
      </w:r>
      <w:r>
        <w:t xml:space="preserve"> </w:t>
      </w:r>
      <w:r>
        <w:t xml:space="preserve">One-stage methods are increasing per year.</w:t>
      </w:r>
      <w:r>
        <w:t xml:space="preserve"> </w:t>
      </w:r>
      <w:r>
        <w:t xml:space="preserve">Subgroups analysis is the primary goal of IPD-MAs.</w:t>
      </w:r>
    </w:p>
    <w:p>
      <w:pPr>
        <w:pStyle w:val="7"/>
      </w:pPr>
      <w:bookmarkStart w:id="25" w:name="section"/>
      <w:bookmarkEnd w:id="25"/>
    </w:p>
    <w:p>
      <w:pPr>
        <w:pStyle w:val="2"/>
      </w:pPr>
      <w:bookmarkStart w:id="26" w:name="introduction"/>
      <w:r>
        <w:t xml:space="preserve">Introduction</w:t>
      </w:r>
      <w:bookmarkEnd w:id="26"/>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rPr>
          <w:i/>
        </w:rPr>
        <w:t xml:space="preserve">we can place extra stuff</w:t>
      </w:r>
    </w:p>
    <w:p>
      <w:pPr>
        <w:pStyle w:val="12"/>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modification. The approaches that were mostly used were one aggregated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Simmonds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modelling should also centre the effect modifiers to their mean, in order to separate across and within trial information and therefore accounting for ecological bias.</w:t>
      </w:r>
    </w:p>
    <w:p>
      <w:pPr>
        <w:pStyle w:val="12"/>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12"/>
      </w:pPr>
      <w:r>
        <w:rPr>
          <w:b/>
        </w:rPr>
        <w:t xml:space="preserve">Reviews like ours and goal</w:t>
      </w:r>
      <w:r>
        <w:t xml:space="preserve"> </w:t>
      </w:r>
      <w:r>
        <w:t xml:space="preserve">So far systematic reviews over the IPD-MA practices are limited until 2014.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w:t>
      </w:r>
      <w:r>
        <w:t xml:space="preserve">(Riley, Lambert, and Abo-Zaid 2010)</w:t>
      </w:r>
      <w:r>
        <w:t xml:space="preserve"> </w:t>
      </w:r>
      <w:r>
        <w:t xml:space="preserve">identified 383 IPD-MAs performed form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7"/>
      </w:pPr>
      <w:bookmarkStart w:id="27" w:name="section-1"/>
      <w:bookmarkEnd w:id="27"/>
    </w:p>
    <w:p>
      <w:pPr>
        <w:pStyle w:val="2"/>
      </w:pPr>
      <w:bookmarkStart w:id="28" w:name="methods-1"/>
      <w:r>
        <w:t xml:space="preserve">Methods</w:t>
      </w:r>
      <w:bookmarkEnd w:id="28"/>
    </w:p>
    <w:p>
      <w:pPr>
        <w:pStyle w:val="FirstParagraph"/>
      </w:pPr>
      <w:r>
        <w:t xml:space="preserve">This study is a scoping review of current practices in IPD-MAs . We report our study according to the Preferred Reporting Items for Systematic Reviews and Meta-Analyses (PRISMA) guidelines. No formal protocol exists for this study.</w:t>
      </w:r>
    </w:p>
    <w:p>
      <w:pPr>
        <w:pStyle w:val="3"/>
      </w:pPr>
      <w:bookmarkStart w:id="29" w:name="ipd-ma-search-and-selection-strategy"/>
      <w:r>
        <w:t xml:space="preserve">IPD-MA search and selection strategy</w:t>
      </w:r>
      <w:bookmarkEnd w:id="29"/>
    </w:p>
    <w:p>
      <w:pPr>
        <w:pStyle w:val="FirstParagraph"/>
      </w:pPr>
      <w:r>
        <w:t xml:space="preserve">We searched in MEDLINE, PubMed, Cochrane library</w:t>
      </w:r>
      <w:r>
        <w:t xml:space="preserve"> </w:t>
      </w:r>
      <w:r>
        <w:rPr>
          <w:b/>
        </w:rPr>
        <w:t xml:space="preserve">(we can place more)</w:t>
      </w:r>
      <w:r>
        <w:t xml:space="preserve"> </w:t>
      </w:r>
      <w:r>
        <w:t xml:space="preserve">for IPD-MA conducted between 01/01/2015 and 01/05/2019, see in</w:t>
      </w:r>
      <w:r>
        <w:t xml:space="preserve"> </w:t>
      </w:r>
      <w:r>
        <w:rPr>
          <w:b/>
        </w:rPr>
        <w:t xml:space="preserve">Supplementary material</w:t>
      </w:r>
      <w:r>
        <w:t xml:space="preserve"> </w:t>
      </w:r>
      <w:r>
        <w:t xml:space="preserve">for search strategy. We included IPD-MAs of either RCTs or observational studies, reporting at least one intervention in human subjects. We excluded IPD-MAs not written in English. We also excluded diagnostic and prediction IPD-MAs. We removed duplicate papers and from series we included only the last article. When unclear we considered full-text assessment. Any disagreement was solved by a third reviewer.</w:t>
      </w:r>
      <w:r>
        <w:t xml:space="preserve"> </w:t>
      </w:r>
      <w:r>
        <w:rPr>
          <w:b/>
        </w:rPr>
        <w:t xml:space="preserve">if we have to find one it is suggest though</w:t>
      </w:r>
    </w:p>
    <w:p>
      <w:pPr>
        <w:pStyle w:val="3"/>
      </w:pPr>
      <w:bookmarkStart w:id="30" w:name="data-extraction-and-statistical-analysis"/>
      <w:r>
        <w:t xml:space="preserve">Data extraction and statistical analysis</w:t>
      </w:r>
      <w:bookmarkEnd w:id="30"/>
    </w:p>
    <w:p>
      <w:pPr>
        <w:pStyle w:val="FirstParagraph"/>
      </w:pPr>
      <w:r>
        <w:t xml:space="preserve">For all eligible papers we extracted information that was classified in three categories: 1) the reporting of the IPD-MA (such as the medical field, number of included studies and participants, the goal described in the abstract); 2) the statistical analysis of the IPD-MA (type of outcome,type of statistical approach,descriptions of methods, and assessment of heterogeneity); and 3) the reporting of the results (forest-plots, how many comparisons were performed, proportion of statistically significant, reporting of subgroup analyses and/or interaction terms) and 4) when</w:t>
      </w:r>
    </w:p>
    <w:p>
      <w:pPr>
        <w:pStyle w:val="7"/>
      </w:pPr>
      <w:bookmarkStart w:id="31" w:name="section-2"/>
      <w:bookmarkEnd w:id="31"/>
    </w:p>
    <w:p>
      <w:pPr>
        <w:pStyle w:val="2"/>
      </w:pPr>
      <w:bookmarkStart w:id="32" w:name="results-1"/>
      <w:r>
        <w:t xml:space="preserve">Results</w:t>
      </w:r>
      <w:bookmarkEnd w:id="32"/>
    </w:p>
    <w:p>
      <w:pPr>
        <w:pStyle w:val="FirstParagraph"/>
      </w:pPr>
      <w:r>
        <w:t xml:space="preserve">We identified 1538 publised IPD-MAs. Of these</w:t>
      </w:r>
    </w:p>
    <w:p>
      <w:pPr>
        <w:pStyle w:val="6"/>
      </w:pPr>
      <w:bookmarkStart w:id="33" w:name="section-3"/>
      <w:bookmarkEnd w:id="33"/>
    </w:p>
    <w:p>
      <w:pPr>
        <w:pStyle w:val="FirstParagraph"/>
      </w:pPr>
      <w:r>
        <w:drawing>
          <wp:inline>
            <wp:extent cx="5943600" cy="3962400"/>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p>
      <w:pPr>
        <w:pStyle w:val="7"/>
      </w:pPr>
      <w:bookmarkStart w:id="36" w:name="section-4"/>
      <w:bookmarkEnd w:id="36"/>
    </w:p>
    <w:p>
      <w:pPr>
        <w:pStyle w:val="2"/>
      </w:pPr>
      <w:bookmarkStart w:id="37" w:name="references"/>
      <w:r>
        <w:t xml:space="preserve">References</w:t>
      </w:r>
      <w:bookmarkEnd w:id="37"/>
    </w:p>
    <w:bookmarkStart w:id="70" w:name="refs"/>
    <w:bookmarkStart w:id="39" w:name="ref-Stewart_1995"/>
    <w:p>
      <w:pPr>
        <w:pStyle w:val="29"/>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8">
        <w:r>
          <w:rPr>
            <w:rStyle w:val="22"/>
          </w:rPr>
          <w:t xml:space="preserve">https://doi.org/10.1002/sim.4780141902</w:t>
        </w:r>
      </w:hyperlink>
      <w:r>
        <w:t xml:space="preserve">.</w:t>
      </w:r>
    </w:p>
    <w:bookmarkEnd w:id="39"/>
    <w:bookmarkStart w:id="41" w:name="ref-CHALMERS_1993"/>
    <w:p>
      <w:pPr>
        <w:pStyle w:val="29"/>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40">
        <w:r>
          <w:rPr>
            <w:rStyle w:val="22"/>
          </w:rPr>
          <w:t xml:space="preserve">https://doi.org/10.1111/j.1749-6632.1993.tb26345.x</w:t>
        </w:r>
      </w:hyperlink>
      <w:r>
        <w:t xml:space="preserve">.</w:t>
      </w:r>
    </w:p>
    <w:bookmarkEnd w:id="41"/>
    <w:bookmarkStart w:id="43" w:name="ref-Fisher_2011"/>
    <w:p>
      <w:pPr>
        <w:pStyle w:val="29"/>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42">
        <w:r>
          <w:rPr>
            <w:rStyle w:val="22"/>
          </w:rPr>
          <w:t xml:space="preserve">https://doi.org/10.1016/j.jclinepi.2010.11.016</w:t>
        </w:r>
      </w:hyperlink>
      <w:r>
        <w:t xml:space="preserve">.</w:t>
      </w:r>
    </w:p>
    <w:bookmarkEnd w:id="43"/>
    <w:bookmarkStart w:id="45" w:name="ref-Hua_2016"/>
    <w:p>
      <w:pPr>
        <w:pStyle w:val="29"/>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44">
        <w:r>
          <w:rPr>
            <w:rStyle w:val="22"/>
          </w:rPr>
          <w:t xml:space="preserve">https://doi.org/10.1002/sim.7171</w:t>
        </w:r>
      </w:hyperlink>
      <w:r>
        <w:t xml:space="preserve">.</w:t>
      </w:r>
    </w:p>
    <w:bookmarkEnd w:id="45"/>
    <w:bookmarkStart w:id="47" w:name="ref-IntHout_2016"/>
    <w:p>
      <w:pPr>
        <w:pStyle w:val="29"/>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6">
        <w:r>
          <w:rPr>
            <w:rStyle w:val="22"/>
          </w:rPr>
          <w:t xml:space="preserve">https://doi.org/10.1136/bmjopen-2015-010247</w:t>
        </w:r>
      </w:hyperlink>
      <w:r>
        <w:t xml:space="preserve">.</w:t>
      </w:r>
    </w:p>
    <w:bookmarkEnd w:id="47"/>
    <w:bookmarkStart w:id="49" w:name="ref-Riley_2010"/>
    <w:p>
      <w:pPr>
        <w:pStyle w:val="29"/>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8">
        <w:r>
          <w:rPr>
            <w:rStyle w:val="22"/>
          </w:rPr>
          <w:t xml:space="preserve">https://doi.org/10.1136/bmj.c221</w:t>
        </w:r>
      </w:hyperlink>
      <w:r>
        <w:t xml:space="preserve">.</w:t>
      </w:r>
    </w:p>
    <w:bookmarkEnd w:id="49"/>
    <w:bookmarkStart w:id="51" w:name="ref-royston_interaction_2013"/>
    <w:p>
      <w:pPr>
        <w:pStyle w:val="29"/>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50">
        <w:r>
          <w:rPr>
            <w:rStyle w:val="22"/>
          </w:rPr>
          <w:t xml:space="preserve">https://doi.org/10.1002/sim.5813</w:t>
        </w:r>
      </w:hyperlink>
      <w:r>
        <w:t xml:space="preserve">.</w:t>
      </w:r>
    </w:p>
    <w:bookmarkEnd w:id="51"/>
    <w:bookmarkStart w:id="53" w:name="ref-Sauerbrei_2011"/>
    <w:p>
      <w:pPr>
        <w:pStyle w:val="29"/>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2">
        <w:r>
          <w:rPr>
            <w:rStyle w:val="22"/>
          </w:rPr>
          <w:t xml:space="preserve">https://doi.org/10.1002/sim.4333</w:t>
        </w:r>
      </w:hyperlink>
      <w:r>
        <w:t xml:space="preserve">.</w:t>
      </w:r>
    </w:p>
    <w:bookmarkEnd w:id="53"/>
    <w:bookmarkStart w:id="55" w:name="ref-Schuit_2018"/>
    <w:p>
      <w:pPr>
        <w:pStyle w:val="29"/>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54">
        <w:r>
          <w:rPr>
            <w:rStyle w:val="22"/>
          </w:rPr>
          <w:t xml:space="preserve">https://doi.org/10.1093/ije/dyy239</w:t>
        </w:r>
      </w:hyperlink>
      <w:r>
        <w:t xml:space="preserve">.</w:t>
      </w:r>
    </w:p>
    <w:bookmarkEnd w:id="55"/>
    <w:bookmarkStart w:id="57" w:name="ref-Simmonds_2005"/>
    <w:p>
      <w:pPr>
        <w:pStyle w:val="29"/>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6">
        <w:r>
          <w:rPr>
            <w:rStyle w:val="22"/>
          </w:rPr>
          <w:t xml:space="preserve">https://doi.org/10.1191/1740774505cn087oa</w:t>
        </w:r>
      </w:hyperlink>
      <w:r>
        <w:t xml:space="preserve">.</w:t>
      </w:r>
    </w:p>
    <w:bookmarkEnd w:id="57"/>
    <w:bookmarkStart w:id="59" w:name="ref-Simmonds_2015"/>
    <w:p>
      <w:pPr>
        <w:pStyle w:val="29"/>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8">
        <w:r>
          <w:rPr>
            <w:rStyle w:val="22"/>
          </w:rPr>
          <w:t xml:space="preserve">https://doi.org/10.1016/j.cct.2015.06.012</w:t>
        </w:r>
      </w:hyperlink>
      <w:r>
        <w:t xml:space="preserve">.</w:t>
      </w:r>
    </w:p>
    <w:bookmarkEnd w:id="59"/>
    <w:bookmarkStart w:id="61" w:name="ref-Simmonds_2007"/>
    <w:p>
      <w:pPr>
        <w:pStyle w:val="29"/>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60">
        <w:r>
          <w:rPr>
            <w:rStyle w:val="22"/>
          </w:rPr>
          <w:t xml:space="preserve">https://doi.org/10.1002/sim.2768</w:t>
        </w:r>
      </w:hyperlink>
      <w:r>
        <w:t xml:space="preserve">.</w:t>
      </w:r>
    </w:p>
    <w:bookmarkEnd w:id="61"/>
    <w:bookmarkStart w:id="63" w:name="ref-Stewart_1993"/>
    <w:p>
      <w:pPr>
        <w:pStyle w:val="29"/>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2">
        <w:r>
          <w:rPr>
            <w:rStyle w:val="22"/>
          </w:rPr>
          <w:t xml:space="preserve">https://doi.org/10.1016/0140-6736(93)93004-k</w:t>
        </w:r>
      </w:hyperlink>
      <w:r>
        <w:t xml:space="preserve">.</w:t>
      </w:r>
    </w:p>
    <w:bookmarkEnd w:id="63"/>
    <w:bookmarkStart w:id="65" w:name="ref-Stewart_2015"/>
    <w:p>
      <w:pPr>
        <w:pStyle w:val="29"/>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64">
        <w:r>
          <w:rPr>
            <w:rStyle w:val="22"/>
          </w:rPr>
          <w:t xml:space="preserve">https://doi.org/10.1001/jama.2015.3656</w:t>
        </w:r>
      </w:hyperlink>
      <w:r>
        <w:t xml:space="preserve">.</w:t>
      </w:r>
    </w:p>
    <w:bookmarkEnd w:id="65"/>
    <w:bookmarkStart w:id="67" w:name="ref-Stewart_2002"/>
    <w:p>
      <w:pPr>
        <w:pStyle w:val="29"/>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6">
        <w:r>
          <w:rPr>
            <w:rStyle w:val="22"/>
          </w:rPr>
          <w:t xml:space="preserve">https://doi.org/10.1177/0163278702025001006</w:t>
        </w:r>
      </w:hyperlink>
      <w:r>
        <w:t xml:space="preserve">.</w:t>
      </w:r>
    </w:p>
    <w:bookmarkEnd w:id="67"/>
    <w:bookmarkStart w:id="69" w:name="ref-van_Walraven_2010"/>
    <w:p>
      <w:pPr>
        <w:pStyle w:val="29"/>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8">
        <w:r>
          <w:rPr>
            <w:rStyle w:val="22"/>
          </w:rPr>
          <w:t xml:space="preserve">https://doi.org/10.1016/j.jclinepi.2009.04.001</w:t>
        </w:r>
      </w:hyperlink>
      <w:r>
        <w:t xml:space="preserve">.</w:t>
      </w:r>
    </w:p>
    <w:bookmarkEnd w:id="69"/>
    <w:bookmarkEnd w:id="70"/>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qFormat/>
    <w:uiPriority w:val="0"/>
    <w:rPr>
      <w:rFonts w:ascii="Consolas" w:hAnsi="Consolas"/>
      <w:b w:val="0"/>
      <w:i/>
      <w:color w:val="8F5902"/>
      <w:sz w:val="22"/>
      <w:szCs w:val="16"/>
      <w:shd w:val="clear" w:color="auto" w:fill="F8F8F8"/>
    </w:rPr>
  </w:style>
  <w:style w:type="character" w:customStyle="1" w:styleId="54">
    <w:name w:val="CommentVarTok"/>
    <w:basedOn w:val="36"/>
    <w:qFormat/>
    <w:uiPriority w:val="0"/>
    <w:rPr>
      <w:rFonts w:ascii="Consolas" w:hAnsi="Consolas"/>
      <w:b w:val="0"/>
      <w:i/>
      <w:color w:val="8F5902"/>
      <w:sz w:val="22"/>
      <w:szCs w:val="16"/>
      <w:shd w:val="clear" w:color="auto" w:fill="F8F8F8"/>
    </w:rPr>
  </w:style>
  <w:style w:type="character" w:customStyle="1" w:styleId="55">
    <w:name w:val="OtherTok"/>
    <w:basedOn w:val="36"/>
    <w:qFormat/>
    <w:uiPriority w:val="0"/>
    <w:rPr>
      <w:rFonts w:ascii="Consolas" w:hAnsi="Consolas"/>
      <w:color w:val="8F5902"/>
      <w:sz w:val="22"/>
      <w:szCs w:val="16"/>
      <w:shd w:val="clear" w:color="auto" w:fill="F8F8F8"/>
    </w:rPr>
  </w:style>
  <w:style w:type="character" w:customStyle="1" w:styleId="56">
    <w:name w:val="FunctionTok"/>
    <w:basedOn w:val="36"/>
    <w:qFormat/>
    <w:uiPriority w:val="0"/>
    <w:rPr>
      <w:rFonts w:ascii="Consolas" w:hAnsi="Consolas"/>
      <w:color w:val="000000"/>
      <w:sz w:val="22"/>
      <w:szCs w:val="16"/>
      <w:shd w:val="clear" w:color="auto" w:fill="F8F8F8"/>
    </w:rPr>
  </w:style>
  <w:style w:type="character" w:customStyle="1" w:styleId="57">
    <w:name w:val="VariableTok"/>
    <w:basedOn w:val="36"/>
    <w:qFormat/>
    <w:uiPriority w:val="0"/>
    <w:rPr>
      <w:rFonts w:ascii="Consolas" w:hAnsi="Consolas"/>
      <w:color w:val="000000"/>
      <w:sz w:val="22"/>
      <w:szCs w:val="16"/>
      <w:shd w:val="clear" w:color="auto" w:fill="F8F8F8"/>
    </w:rPr>
  </w:style>
  <w:style w:type="character" w:customStyle="1" w:styleId="58">
    <w:name w:val="ControlFlowTok"/>
    <w:basedOn w:val="36"/>
    <w:qFormat/>
    <w:uiPriority w:val="0"/>
    <w:rPr>
      <w:rFonts w:ascii="Consolas" w:hAnsi="Consolas"/>
      <w:b w:val="0"/>
      <w:color w:val="204A87"/>
      <w:sz w:val="22"/>
      <w:szCs w:val="16"/>
      <w:shd w:val="clear" w:color="auto" w:fill="F8F8F8"/>
    </w:rPr>
  </w:style>
  <w:style w:type="character" w:customStyle="1" w:styleId="59">
    <w:name w:val="OperatorTok"/>
    <w:basedOn w:val="36"/>
    <w:qFormat/>
    <w:uiPriority w:val="0"/>
    <w:rPr>
      <w:rFonts w:ascii="Consolas" w:hAnsi="Consolas"/>
      <w:b w:val="0"/>
      <w:color w:val="CE5C00"/>
      <w:sz w:val="22"/>
      <w:szCs w:val="16"/>
      <w:shd w:val="clear" w:color="auto" w:fill="F8F8F8"/>
    </w:rPr>
  </w:style>
  <w:style w:type="character" w:customStyle="1" w:styleId="60">
    <w:name w:val="BuiltInTok"/>
    <w:basedOn w:val="36"/>
    <w:qFormat/>
    <w:uiPriority w:val="0"/>
    <w:rPr>
      <w:rFonts w:ascii="Consolas" w:hAnsi="Consolas"/>
      <w:sz w:val="22"/>
      <w:szCs w:val="16"/>
      <w:shd w:val="clear" w:color="auto" w:fill="F8F8F8"/>
    </w:rPr>
  </w:style>
  <w:style w:type="character" w:customStyle="1" w:styleId="61">
    <w:name w:val="ExtensionTok"/>
    <w:basedOn w:val="36"/>
    <w:qFormat/>
    <w:uiPriority w:val="0"/>
    <w:rPr>
      <w:rFonts w:ascii="Consolas" w:hAnsi="Consolas"/>
      <w:sz w:val="22"/>
      <w:szCs w:val="16"/>
      <w:shd w:val="clear" w:color="auto" w:fill="F8F8F8"/>
    </w:rPr>
  </w:style>
  <w:style w:type="character" w:customStyle="1" w:styleId="62">
    <w:name w:val="PreprocessorTok"/>
    <w:basedOn w:val="36"/>
    <w:qFormat/>
    <w:uiPriority w:val="0"/>
    <w:rPr>
      <w:rFonts w:ascii="Consolas" w:hAnsi="Consolas"/>
      <w:i/>
      <w:color w:val="8F5902"/>
      <w:sz w:val="22"/>
      <w:szCs w:val="16"/>
      <w:shd w:val="clear" w:color="auto" w:fill="F8F8F8"/>
    </w:rPr>
  </w:style>
  <w:style w:type="character" w:customStyle="1" w:styleId="63">
    <w:name w:val="AttributeTok"/>
    <w:basedOn w:val="36"/>
    <w:qFormat/>
    <w:uiPriority w:val="0"/>
    <w:rPr>
      <w:rFonts w:ascii="Consolas" w:hAnsi="Consolas"/>
      <w:color w:val="C4A000"/>
      <w:sz w:val="22"/>
      <w:szCs w:val="16"/>
      <w:shd w:val="clear" w:color="auto" w:fill="F8F8F8"/>
    </w:rPr>
  </w:style>
  <w:style w:type="character" w:customStyle="1" w:styleId="64">
    <w:name w:val="RegionMarkerTok"/>
    <w:basedOn w:val="36"/>
    <w:qFormat/>
    <w:uiPriority w:val="0"/>
    <w:rPr>
      <w:rFonts w:ascii="Consolas" w:hAnsi="Consolas"/>
      <w:sz w:val="22"/>
      <w:szCs w:val="16"/>
      <w:shd w:val="clear" w:color="auto" w:fill="F8F8F8"/>
    </w:rPr>
  </w:style>
  <w:style w:type="character" w:customStyle="1" w:styleId="65">
    <w:name w:val="InformationTok"/>
    <w:basedOn w:val="36"/>
    <w:qFormat/>
    <w:uiPriority w:val="0"/>
    <w:rPr>
      <w:rFonts w:ascii="Consolas" w:hAnsi="Consolas"/>
      <w:b w:val="0"/>
      <w:i/>
      <w:color w:val="8F5902"/>
      <w:sz w:val="22"/>
      <w:szCs w:val="16"/>
      <w:shd w:val="clear" w:color="auto" w:fill="F8F8F8"/>
    </w:rPr>
  </w:style>
  <w:style w:type="character" w:customStyle="1" w:styleId="66">
    <w:name w:val="WarningTok"/>
    <w:basedOn w:val="36"/>
    <w:qFormat/>
    <w:uiPriority w:val="0"/>
    <w:rPr>
      <w:rFonts w:ascii="Consolas" w:hAnsi="Consolas"/>
      <w:b w:val="0"/>
      <w:i/>
      <w:color w:val="8F5902"/>
      <w:sz w:val="22"/>
      <w:szCs w:val="16"/>
      <w:shd w:val="clear" w:color="auto" w:fill="F8F8F8"/>
    </w:rPr>
  </w:style>
  <w:style w:type="character" w:customStyle="1" w:styleId="67">
    <w:name w:val="AlertTok"/>
    <w:basedOn w:val="36"/>
    <w:qFormat/>
    <w:uiPriority w:val="0"/>
    <w:rPr>
      <w:rFonts w:ascii="Consolas" w:hAnsi="Consolas"/>
      <w:color w:val="EF2929"/>
      <w:sz w:val="22"/>
      <w:szCs w:val="16"/>
      <w:shd w:val="clear" w:color="auto" w:fill="F8F8F8"/>
    </w:rPr>
  </w:style>
  <w:style w:type="character" w:customStyle="1" w:styleId="68">
    <w:name w:val="ErrorTok"/>
    <w:basedOn w:val="36"/>
    <w:qFormat/>
    <w:uiPriority w:val="0"/>
    <w:rPr>
      <w:rFonts w:ascii="Consolas" w:hAnsi="Consolas"/>
      <w:b w:val="0"/>
      <w:color w:val="A40000"/>
      <w:sz w:val="22"/>
      <w:szCs w:val="16"/>
      <w:shd w:val="clear" w:color="auto" w:fill="F8F8F8"/>
    </w:rPr>
  </w:style>
  <w:style w:type="character" w:customStyle="1" w:styleId="69">
    <w:name w:val="NormalTok"/>
    <w:basedOn w:val="36"/>
    <w:qFormat/>
    <w:uiPriority w:val="0"/>
    <w:rPr>
      <w:rFonts w:ascii="Consolas" w:hAnsi="Consolas"/>
      <w:sz w:val="22"/>
      <w:szCs w:val="16"/>
      <w:shd w:val="clear" w:color="auto" w:fill="F8F8F8"/>
    </w:rPr>
  </w:style>
  <w:style w:type="character" w:customStyle="1" w:styleId="70">
    <w:name w:val="Heading 1 Char"/>
    <w:basedOn w:val="18"/>
    <w:link w:val="2"/>
    <w:qFormat/>
    <w:uiPriority w:val="9"/>
    <w:rPr>
      <w:smallCaps/>
      <w:spacing w:val="5"/>
      <w:sz w:val="32"/>
      <w:szCs w:val="32"/>
    </w:rPr>
  </w:style>
  <w:style w:type="character" w:customStyle="1" w:styleId="71">
    <w:name w:val="Heading 2 Char"/>
    <w:basedOn w:val="18"/>
    <w:link w:val="3"/>
    <w:qFormat/>
    <w:uiPriority w:val="9"/>
    <w:rPr>
      <w:smallCaps/>
      <w:spacing w:val="5"/>
      <w:sz w:val="28"/>
      <w:szCs w:val="28"/>
    </w:rPr>
  </w:style>
  <w:style w:type="character" w:customStyle="1" w:styleId="72">
    <w:name w:val="Heading 3 Char"/>
    <w:basedOn w:val="18"/>
    <w:link w:val="4"/>
    <w:qFormat/>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64" Target="https://doi.org/10.1001/jama.2015.3656" TargetMode="External" /><Relationship Type="http://schemas.openxmlformats.org/officeDocument/2006/relationships/hyperlink" Id="rId60" Target="https://doi.org/10.1002/sim.2768" TargetMode="External" /><Relationship Type="http://schemas.openxmlformats.org/officeDocument/2006/relationships/hyperlink" Id="rId52" Target="https://doi.org/10.1002/sim.4333" TargetMode="External" /><Relationship Type="http://schemas.openxmlformats.org/officeDocument/2006/relationships/hyperlink" Id="rId38" Target="https://doi.org/10.1002/sim.4780141902" TargetMode="External" /><Relationship Type="http://schemas.openxmlformats.org/officeDocument/2006/relationships/hyperlink" Id="rId50" Target="https://doi.org/10.1002/sim.5813" TargetMode="External" /><Relationship Type="http://schemas.openxmlformats.org/officeDocument/2006/relationships/hyperlink" Id="rId44" Target="https://doi.org/10.1002/sim.7171" TargetMode="External" /><Relationship Type="http://schemas.openxmlformats.org/officeDocument/2006/relationships/hyperlink" Id="rId62" Target="https://doi.org/10.1016/0140-6736(93)93004-k" TargetMode="External" /><Relationship Type="http://schemas.openxmlformats.org/officeDocument/2006/relationships/hyperlink" Id="rId58" Target="https://doi.org/10.1016/j.cct.2015.06.012" TargetMode="External" /><Relationship Type="http://schemas.openxmlformats.org/officeDocument/2006/relationships/hyperlink" Id="rId68" Target="https://doi.org/10.1016/j.jclinepi.2009.04.001" TargetMode="External" /><Relationship Type="http://schemas.openxmlformats.org/officeDocument/2006/relationships/hyperlink" Id="rId42" Target="https://doi.org/10.1016/j.jclinepi.2010.11.016" TargetMode="External" /><Relationship Type="http://schemas.openxmlformats.org/officeDocument/2006/relationships/hyperlink" Id="rId54" Target="https://doi.org/10.1093/ije/dyy239" TargetMode="External" /><Relationship Type="http://schemas.openxmlformats.org/officeDocument/2006/relationships/hyperlink" Id="rId40" Target="https://doi.org/10.1111/j.1749-6632.1993.tb26345.x" TargetMode="External" /><Relationship Type="http://schemas.openxmlformats.org/officeDocument/2006/relationships/hyperlink" Id="rId48" Target="https://doi.org/10.1136/bmj.c221" TargetMode="External" /><Relationship Type="http://schemas.openxmlformats.org/officeDocument/2006/relationships/hyperlink" Id="rId46" Target="https://doi.org/10.1136/bmjopen-2015-010247" TargetMode="External" /><Relationship Type="http://schemas.openxmlformats.org/officeDocument/2006/relationships/hyperlink" Id="rId66" Target="https://doi.org/10.1177/0163278702025001006" TargetMode="External" /><Relationship Type="http://schemas.openxmlformats.org/officeDocument/2006/relationships/hyperlink" Id="rId56"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1/jama.2015.3656" TargetMode="External" /><Relationship Type="http://schemas.openxmlformats.org/officeDocument/2006/relationships/hyperlink" Id="rId60" Target="https://doi.org/10.1002/sim.2768" TargetMode="External" /><Relationship Type="http://schemas.openxmlformats.org/officeDocument/2006/relationships/hyperlink" Id="rId52" Target="https://doi.org/10.1002/sim.4333" TargetMode="External" /><Relationship Type="http://schemas.openxmlformats.org/officeDocument/2006/relationships/hyperlink" Id="rId38" Target="https://doi.org/10.1002/sim.4780141902" TargetMode="External" /><Relationship Type="http://schemas.openxmlformats.org/officeDocument/2006/relationships/hyperlink" Id="rId50" Target="https://doi.org/10.1002/sim.5813" TargetMode="External" /><Relationship Type="http://schemas.openxmlformats.org/officeDocument/2006/relationships/hyperlink" Id="rId44" Target="https://doi.org/10.1002/sim.7171" TargetMode="External" /><Relationship Type="http://schemas.openxmlformats.org/officeDocument/2006/relationships/hyperlink" Id="rId62" Target="https://doi.org/10.1016/0140-6736(93)93004-k" TargetMode="External" /><Relationship Type="http://schemas.openxmlformats.org/officeDocument/2006/relationships/hyperlink" Id="rId58" Target="https://doi.org/10.1016/j.cct.2015.06.012" TargetMode="External" /><Relationship Type="http://schemas.openxmlformats.org/officeDocument/2006/relationships/hyperlink" Id="rId68" Target="https://doi.org/10.1016/j.jclinepi.2009.04.001" TargetMode="External" /><Relationship Type="http://schemas.openxmlformats.org/officeDocument/2006/relationships/hyperlink" Id="rId42" Target="https://doi.org/10.1016/j.jclinepi.2010.11.016" TargetMode="External" /><Relationship Type="http://schemas.openxmlformats.org/officeDocument/2006/relationships/hyperlink" Id="rId54" Target="https://doi.org/10.1093/ije/dyy239" TargetMode="External" /><Relationship Type="http://schemas.openxmlformats.org/officeDocument/2006/relationships/hyperlink" Id="rId40" Target="https://doi.org/10.1111/j.1749-6632.1993.tb26345.x" TargetMode="External" /><Relationship Type="http://schemas.openxmlformats.org/officeDocument/2006/relationships/hyperlink" Id="rId48" Target="https://doi.org/10.1136/bmj.c221" TargetMode="External" /><Relationship Type="http://schemas.openxmlformats.org/officeDocument/2006/relationships/hyperlink" Id="rId46" Target="https://doi.org/10.1136/bmjopen-2015-010247" TargetMode="External" /><Relationship Type="http://schemas.openxmlformats.org/officeDocument/2006/relationships/hyperlink" Id="rId66" Target="https://doi.org/10.1177/0163278702025001006" TargetMode="External" /><Relationship Type="http://schemas.openxmlformats.org/officeDocument/2006/relationships/hyperlink" Id="rId56"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4</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2019-05-24T17:49:28Z</dcterms:created>
  <dcterms:modified xsi:type="dcterms:W3CDTF">2019-05-24T17:49:28Z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date">
    <vt:lpwstr>May 13, 2019</vt:lpwstr>
  </property>
  <property fmtid="{D5CDD505-2E9C-101B-9397-08002B2CF9AE}" pid="4" name="output">
    <vt:lpwstr/>
  </property>
</Properties>
</file>