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4.png" ContentType="image/png"/>
  <Override PartName="/word/media/rId52.png" ContentType="image/png"/>
  <Override PartName="/word/media/rId45.png" ContentType="image/png"/>
  <Override PartName="/word/media/rId50.png" ContentType="image/png"/>
  <Override PartName="/word/media/rId49.png" ContentType="image/png"/>
  <Override PartName="/word/media/rId35.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02</w:t>
      </w:r>
      <w:r>
        <w:t xml:space="preserve"> </w:t>
      </w:r>
      <w:r>
        <w:t xml:space="preserve">November,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provide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4. 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BodyText"/>
      </w:pPr>
      <w:r>
        <w:t xml:space="preserve">Effect modification may be present in both categorical and/or continuous covariates. For instance, differences in the treatment effect may be present between smokers and non-smokers, or across the levels of the age of the patient. If subgroups are already defined only hypothesis testing may be conducted, using statistical tools such as generalised linear models combined with meta-analytical tools, or generalised linear mixed-effects models with interaction terms included. On the other hand, effect modification across a continuous variable is more challenging, as the subgroups are non-existent. Furthermore, besides confirming an effect modification, we may be compelled to state at what point does the treatment effect changes.</w:t>
      </w:r>
    </w:p>
    <w:p>
      <w:pPr>
        <w:pStyle w:val="Compact"/>
      </w:pPr>
      <w:r>
        <w:t xml:space="preserve">A common technique is to categorise the continuous covariate. Thereto, subgroups are created using prior knowledge driven from literature. Nevertheless, this technique is only reasonable when we wish to confirm that the treatment effect is different between the levels of the categorised variable. For example, if we want to investigate women before and after menopause, we can categorise age in a fixed value between 40 and 50, according to our beliefs. As a consequence, categorisation has been criticised for misspecification, loss of information and power, inflation of the type I error rate when adjusting for confounding and even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whether a variable is an effect modifier, we have to explore the functional form of the outcome-effect modifier association. Various approaches to account for non-linear associations have been developed, such as: fractional polynomials (FP)</w:t>
      </w:r>
      <w:r>
        <w:t xml:space="preserve"> </w:t>
      </w:r>
      <w:r>
        <w:t xml:space="preserve">[7]</w:t>
      </w:r>
      <w:r>
        <w:t xml:space="preserve"> </w:t>
      </w:r>
      <w:r>
        <w:t xml:space="preserve">and splines.</w:t>
      </w:r>
    </w:p>
    <w:p>
      <w:pPr>
        <w:pStyle w:val="Compact"/>
      </w:pPr>
      <w:r>
        <w:t xml:space="preserve">Regression based approaches such as: linear models, piecewise polynomials, fractional polynomials and smoothing splines may be performed either in one or two stages. In two-stage approach, each trial is first modelled separately, using an appropriate statistical model of choice. Subsequently, we pool either the extracted coefficients, if commone across the trials, or their fitted functions using standard meta-analytical tools. In contrast, in one-stage IPD-MA all IPD from every trial are analysed simultaneously whilst accounting for the clustering of participants within studies. Hereto, researchers model interactions between treatment and patient-level variables, while accounting also for the shape of its association with the outcome.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Furthermore, state-of-the-art plot and tree-based methods have been developed for exploring effect modification. Generalised linear mixed-effects model trees (GLMM-tree) introduced by Fokkema et al.</w:t>
      </w:r>
      <w:r>
        <w:t xml:space="preserve"> </w:t>
      </w:r>
      <w:r>
        <w:t xml:space="preserve">[10]</w:t>
      </w:r>
      <w:r>
        <w:t xml:space="preserve"> </w:t>
      </w:r>
      <w:r>
        <w:t xml:space="preserve">can handle non-linear associations, whilst accounting for within studies clustering of the participants. Furthermore, since they don’t use assumptions GLMM-trees can be used for exploratory data-analysis. Finally, meta-stepp is a plot based moving average (sliding window) method that approximates non-linear effects from clustered data</w:t>
      </w:r>
      <w:r>
        <w:t xml:space="preserve"> </w:t>
      </w:r>
      <w:r>
        <w:t xml:space="preserve">[11]</w:t>
      </w:r>
      <w:r>
        <w:t xml:space="preserve">.</w:t>
      </w:r>
      <w:r>
        <w:t xml:space="preserve"> </w:t>
      </w:r>
      <w:r>
        <w:t xml:space="preserve">Although, providing the whole information of the outcome-continuous effect modifier association is more informative, clinical decisions are based in cut-points (knots) in which the treatment effect is altered. These knots may be altered if the assumptions are altered or if the outcome-effect modifier functional form is mis-specified.</w:t>
      </w:r>
    </w:p>
    <w:p>
      <w:pPr>
        <w:pStyle w:val="BodyText"/>
      </w:pPr>
      <w:r>
        <w:t xml:space="preserve">It is often unclear when each method should be preferred. It is also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more appropriate and when. We aim to describe and illustrate the aforementioned methods. We will introduce the IPD-sets and the methods we used in chapter 2.</w:t>
      </w:r>
    </w:p>
    <w:p>
      <w:pPr>
        <w:pStyle w:val="Heading1"/>
      </w:pPr>
      <w:bookmarkStart w:id="28" w:name="example-datasets"/>
      <w:r>
        <w:t xml:space="preserve">2. Example datasets</w:t>
      </w:r>
      <w:bookmarkEnd w:id="28"/>
    </w:p>
    <w:p>
      <w:pPr>
        <w:pStyle w:val="FirstParagraph"/>
      </w:pPr>
      <w:r>
        <w:t xml:space="preserve">We used 2 IPD-sets to illustrate our methods.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investigated also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used to investigate the effect of Somatostatin on liver volume reduction. Gevers et al. collected IPD from 3 randomised placebo-controlled trials with a total of 107 participants.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[Caroli et al.]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will occur.</w:t>
      </w:r>
    </w:p>
    <w:p>
      <w:pPr>
        <w:pStyle w:val="Heading1"/>
      </w:pPr>
      <w:bookmarkStart w:id="29" w:name="methods"/>
      <w:r>
        <w:t xml:space="preserve">3. Methods</w:t>
      </w:r>
      <w:bookmarkEnd w:id="29"/>
    </w:p>
    <w:p>
      <w:pPr>
        <w:pStyle w:val="Heading2"/>
      </w:pPr>
      <w:bookmarkStart w:id="30" w:name="notation"/>
      <w:r>
        <w:t xml:space="preserve">3.1 Notation</w:t>
      </w:r>
      <w:bookmarkEnd w:id="30"/>
    </w:p>
    <w:p>
      <w:pPr>
        <w:pStyle w:val="FirstParagraph"/>
      </w:pPr>
      <w:r>
        <w:t xml:space="preserve">As described in section 2, both our datasets are composed of multiple trials. Therefore, we introduce some notation that will be used hereto.</w:t>
      </w:r>
    </w:p>
    <w:p>
      <w:pPr>
        <w:pStyle w:val="BodyText"/>
      </w:pPr>
      <w:r>
        <w:t xml:space="preserve">We are denoting:</w:t>
      </w:r>
    </w:p>
    <w:p>
      <w:pPr>
        <w:pStyle w:val="Compact"/>
        <w:numPr>
          <w:numId w:val="1001"/>
          <w:ilvl w:val="0"/>
        </w:numPr>
      </w:pPr>
      <w:r>
        <w:t xml:space="preserve">The studies as j = 1,2 ,…,J,</w:t>
      </w:r>
    </w:p>
    <w:p>
      <w:pPr>
        <w:pStyle w:val="Compact"/>
        <w:numPr>
          <w:numId w:val="1001"/>
          <w:ilvl w:val="0"/>
        </w:numPr>
      </w:pPr>
      <w:r>
        <w:t xml:space="preserve">Individuals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 X =</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Knot (cut-point)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1" w:name="recursive-partitioning-tree-based-methods"/>
      <w:r>
        <w:t xml:space="preserve">3.2. Recursive-partitioning (tree-based) methods</w:t>
      </w:r>
      <w:bookmarkEnd w:id="31"/>
    </w:p>
    <w:p>
      <w:pPr>
        <w:pStyle w:val="FirstParagraph"/>
      </w:pPr>
      <w:r>
        <w:t xml:space="preserve">Recursive partitioning is a statistical method typically used in multivariable analysis</w:t>
      </w:r>
      <w:r>
        <w:t xml:space="preserve"> </w:t>
      </w:r>
      <w:r>
        <w:t xml:space="preserve">[16]</w:t>
      </w:r>
      <w:r>
        <w:t xml:space="preserve">. A decision tree is generated by dichotomising the variable in cut-points were the outcome is differed. Recursive partitioning techniques can handle non-linear associations as they make no functional form assumptions and can be a first step to explore the underlying structure of the data, such as whether there are outcome differences across the levels of a continuous or categorical variable. However, splitting the data-set into clusters is sensitive and minor changes in the data may lead to completely different trees. Therefore, leaving the within trial clustering unaccounted may lead to erroneous results.</w:t>
      </w:r>
    </w:p>
    <w:p>
      <w:pPr>
        <w:pStyle w:val="Heading3"/>
      </w:pPr>
      <w:bookmarkStart w:id="32" w:name="generalised-linear-mixed-model-trees-glmm-or-glmer-trees"/>
      <w:r>
        <w:t xml:space="preserve">3.2.1 Generalised Linear Mixed Model Trees (glmm or glmer trees)</w:t>
      </w:r>
      <w:bookmarkEnd w:id="32"/>
    </w:p>
    <w:p>
      <w:pPr>
        <w:pStyle w:val="FirstParagraph"/>
      </w:pPr>
      <w:r>
        <w:t xml:space="preserve">The Generalised linear mixed model (GLMM) tree approach is a state-of-the-art technique, proposed by Fokkema et al.</w:t>
      </w:r>
      <w:r>
        <w:t xml:space="preserve"> </w:t>
      </w:r>
      <w:r>
        <w:t xml:space="preserve">[10]</w:t>
      </w:r>
      <w:r>
        <w:t xml:space="preserve"> </w:t>
      </w:r>
      <w:r>
        <w:t xml:space="preserve">for the detection of treatment-effect modifier interactions when we have clustered data. In our case, we assume that the participants are clustered within the trials A model-based recursive partitioning</w:t>
      </w:r>
      <w:r>
        <w:t xml:space="preserve"> </w:t>
      </w:r>
      <w:r>
        <w:t xml:space="preserve">[17,18]</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2"/>
          <w:ilvl w:val="0"/>
        </w:numPr>
      </w:pPr>
      <w:r>
        <w:t xml:space="preserve">fit the parametric model to the dataset,</w:t>
      </w:r>
    </w:p>
    <w:p>
      <w:pPr>
        <w:pStyle w:val="Compact"/>
        <w:numPr>
          <w:numId w:val="1002"/>
          <w:ilvl w:val="0"/>
        </w:numPr>
      </w:pPr>
      <w:r>
        <w:t xml:space="preserve">statistically test for parameter instability with respect to each of a set of partitioning variables,</w:t>
      </w:r>
    </w:p>
    <w:p>
      <w:pPr>
        <w:pStyle w:val="Compact"/>
        <w:numPr>
          <w:numId w:val="1002"/>
          <w:ilvl w:val="0"/>
        </w:numPr>
      </w:pPr>
      <w:r>
        <w:t xml:space="preserve">if there is some overall parameter instability, split the dataset with respect to the variable associated with the highest instability,</w:t>
      </w:r>
    </w:p>
    <w:p>
      <w:pPr>
        <w:pStyle w:val="Compact"/>
        <w:numPr>
          <w:numId w:val="1002"/>
          <w:ilvl w:val="0"/>
        </w:numPr>
      </w:pPr>
      <w:r>
        <w:t xml:space="preserve">repeat the procedure in each of the resulting subgroups.</w:t>
      </w:r>
    </w:p>
    <w:p>
      <w:pPr>
        <w:pStyle w:val="Heading2"/>
      </w:pPr>
      <w:bookmarkStart w:id="33" w:name="regression-based-approaches"/>
      <w:r>
        <w:t xml:space="preserve">3.3 Regression based approaches</w:t>
      </w:r>
      <w:bookmarkEnd w:id="33"/>
    </w:p>
    <w:p>
      <w:pPr>
        <w:pStyle w:val="FirstParagraph"/>
      </w:pPr>
      <w:r>
        <w:t xml:space="preserve">In regression-based approaches it is important to model the appropriate functional form of the association between the effect modifier and the outcome. If the appropriate form is already known, modelling will be straightforward. However, if not, splines and/or fractional polynomials may be used to evaluate the functional form of the association.</w:t>
      </w:r>
      <w:r>
        <w:t xml:space="preserve"> </w:t>
      </w:r>
      <w:r>
        <w:t xml:space="preserve">Another aspect to take into consideration while modelling the functional form, is whether there may be cut-points (knots) where the shape of the association changes. If these exist, this should be also taken into consideration. Again, if the cut-points are known, modelling will be more straightforward than when they are unknown. These two dimensions define how to proceed with the regression model.</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4"/>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5"/>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within trial clustering should be accounted</w:t>
      </w:r>
      <w:r>
        <w:t xml:space="preserve"> </w:t>
      </w:r>
      <w:r>
        <w:t xml:space="preserve">[19]</w:t>
      </w:r>
      <w:r>
        <w:t xml:space="preserve">. This may be achieved, as described in introduction, either by conducting a two-stage meta-analysis, or using a mixed effects models or an equivalent method in one-stage approaches.</w:t>
      </w:r>
      <w:r>
        <w:t xml:space="preserve"> </w:t>
      </w:r>
      <w:r>
        <w:t xml:space="preserve">Therefore, we will begin the two-stage methods and then describe the one-stage approaches. Within each section we will begin with the global functional forms as they make more assumptions and gradually describe methods that offer more flexibility.</w:t>
      </w:r>
    </w:p>
    <w:p>
      <w:pPr>
        <w:pStyle w:val="Heading3"/>
      </w:pPr>
      <w:bookmarkStart w:id="36" w:name="two-stage-approaches"/>
      <w:r>
        <w:t xml:space="preserve">3.3.1. Two-stage approaches</w:t>
      </w:r>
      <w:bookmarkEnd w:id="36"/>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7" w:name="first-stage-per-trial-modelling"/>
      <w:r>
        <w:t xml:space="preserve">3.3.1.1 First stage: Per-trial modelling</w:t>
      </w:r>
      <w:bookmarkEnd w:id="37"/>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respectively. Depending on the a priori knowledge of the association’s functional form and the cut-points where the effect is altered we may fit.</w:t>
      </w:r>
    </w:p>
    <w:p>
      <w:pPr>
        <w:pStyle w:val="BodyText"/>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3"/>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BodyText"/>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4"/>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4"/>
          <w:ilvl w:val="0"/>
        </w:numPr>
      </w:pPr>
      <w:r>
        <w:t xml:space="preserve">Piecewise-polynomials mostly used are piecewise constant, linear, quadratic and cubic.</w:t>
      </w:r>
    </w:p>
    <w:p>
      <w:pPr>
        <w:pStyle w:val="FirstParagraph"/>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[20]</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[21]</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5"/>
          <w:ilvl w:val="0"/>
        </w:numPr>
      </w:pPr>
      <w:r>
        <w:t xml:space="preserve">Overall FP, where the FSP is applied in the pooled data, in order to find the best FP (stratified by data-set).</w:t>
      </w:r>
    </w:p>
    <w:p>
      <w:pPr>
        <w:pStyle w:val="Compact"/>
        <w:numPr>
          <w:numId w:val="1005"/>
          <w:ilvl w:val="0"/>
        </w:numPr>
      </w:pPr>
      <w:r>
        <w:t xml:space="preserve">Study-wise FP2, the best FP2 is selected for each study</w:t>
      </w:r>
    </w:p>
    <w:p>
      <w:pPr>
        <w:pStyle w:val="Compact"/>
        <w:numPr>
          <w:numId w:val="1005"/>
          <w:ilvl w:val="0"/>
        </w:numPr>
      </w:pPr>
      <w:r>
        <w:t xml:space="preserve">Study wise selected FP, where the best fitting FP is extracted per study</w:t>
      </w:r>
    </w:p>
    <w:p>
      <w:pPr>
        <w:pStyle w:val="FirstParagraph"/>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w:t>
      </w:r>
      <w:r>
        <w:t xml:space="preserve"> </w:t>
      </w:r>
      <w:r>
        <w:t xml:space="preserve">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Heading4"/>
      </w:pPr>
      <w:bookmarkStart w:id="38" w:name="second-stage-combination-of-the-first-stage-results"/>
      <w:r>
        <w:t xml:space="preserve">3.3.1.2 Second-stage combination of the first stage results</w:t>
      </w:r>
      <w:bookmarkEnd w:id="38"/>
    </w:p>
    <w:p>
      <w:pPr>
        <w:pStyle w:val="FirstParagraph"/>
      </w:pPr>
      <w:r>
        <w:t xml:space="preserve">As a second-stage in the two-stage IPD-MA, we may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per trial</w:t>
      </w:r>
      <w:r>
        <w:t xml:space="preserve"> </w:t>
      </w:r>
      <m:oMath>
        <m:r>
          <m:t>b</m:t>
        </m:r>
        <m:r>
          <m:t>e</m:t>
        </m:r>
        <m:r>
          <m:t>t</m:t>
        </m:r>
        <m:sSub>
          <m:e>
            <m:r>
              <m:t>a</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common effect or random effects. This approach only works when common powers are present across studies. Therefore, it is applicable in piecewise,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[23]</w:t>
      </w:r>
      <w:r>
        <w:t xml:space="preserve"> </w:t>
      </w:r>
      <w:r>
        <w:t xml:space="preserve">and the HKSJ adjustment</w:t>
      </w:r>
      <w:r>
        <w:t xml:space="preserve"> </w:t>
      </w:r>
      <w:r>
        <w:t xml:space="preserve">[24]</w:t>
      </w:r>
      <w:r>
        <w:t xml:space="preserv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39" w:name="one-stage-approaches"/>
      <w:r>
        <w:t xml:space="preserve">3.3.2. One-stage approaches</w:t>
      </w:r>
      <w:bookmarkEnd w:id="39"/>
    </w:p>
    <w:p>
      <w:pPr>
        <w:pStyle w:val="Heading4"/>
      </w:pPr>
      <w:bookmarkStart w:id="40" w:name="centred-one-stage-ipd-ma"/>
      <w:r>
        <w:t xml:space="preserve">3.3.2.1 Centred One-stage IPD-MA</w:t>
      </w:r>
      <w:bookmarkEnd w:id="40"/>
    </w:p>
    <w:p>
      <w:pPr>
        <w:pStyle w:val="FirstParagraph"/>
      </w:pPr>
      <w:r>
        <w:t xml:space="preserve">We follow recent recommendations</w:t>
      </w:r>
      <w:r>
        <w:t xml:space="preserve"> </w:t>
      </w:r>
      <w:r>
        <w:t xml:space="preserve">[27]</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1" w:name="multilevel-fractional-polynomials"/>
      <w:r>
        <w:t xml:space="preserve">3.3.2.2 Multilevel Fractional polynomials</w:t>
      </w:r>
      <w:bookmarkEnd w:id="41"/>
    </w:p>
    <w:p>
      <w:pPr>
        <w:pStyle w:val="FirstParagraph"/>
      </w:pPr>
      <w:r>
        <w:t xml:space="preserve">Fractional polynomials may be used using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2" w:name="section-1"/>
      <w:bookmarkEnd w:id="42"/>
    </w:p>
    <w:p>
      <w:pPr>
        <w:pStyle w:val="Heading1"/>
      </w:pPr>
      <w:bookmarkStart w:id="43" w:name="results-1"/>
      <w:r>
        <w:t xml:space="preserve">Results</w:t>
      </w:r>
      <w:bookmarkEnd w:id="43"/>
    </w:p>
    <w:p>
      <w:pPr>
        <w:pStyle w:val="FirstParagraph"/>
      </w:pPr>
      <w:r>
        <w:t xml:space="preserve">We will illustrate the results of the aforementioned approaches by ascending order of assumptions made. Therefore, we will start with the tree-based approach and smoothing splines, as we believe that these should be the first</w:t>
      </w:r>
      <w:r>
        <w:t xml:space="preserve"> </w:t>
      </w:r>
      <w:r>
        <w:t xml:space="preserve">“</w:t>
      </w:r>
      <w:r>
        <w:t xml:space="preserve">exploratory</w:t>
      </w:r>
      <w:r>
        <w:t xml:space="preserve">”</w:t>
      </w:r>
      <w:r>
        <w:t xml:space="preserve"> </w:t>
      </w:r>
      <w:r>
        <w:t xml:space="preserve">steps. In the Gevers et al. data-set we increased the level of significance for the lmer, due to small sample size per trial.</w:t>
      </w:r>
    </w:p>
    <w:p>
      <w:pPr>
        <w:pStyle w:val="Heading3"/>
      </w:pPr>
      <w:bookmarkStart w:id="44" w:name="lmer-trees"/>
      <w:r>
        <w:t xml:space="preserve">Lmer trees</w:t>
      </w:r>
      <w:bookmarkEnd w:id="44"/>
    </w:p>
    <w:p>
      <w:pPr>
        <w:pStyle w:val="FirstParagraph"/>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5"/>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t xml:space="preserve">We show that there is a difference between the average outcomes of male and females. This difference seems to emanate from young women (</w:t>
      </w:r>
      <m:oMath>
        <m:r>
          <m:t>≤</m:t>
        </m:r>
      </m:oMath>
      <w:r>
        <w:t xml:space="preserve"> </w:t>
      </w:r>
      <w:r>
        <w:t xml:space="preserve">46 years).</w:t>
      </w:r>
    </w:p>
    <w:p>
      <w:pPr>
        <w:pStyle w:val="Heading3"/>
      </w:pPr>
      <w:bookmarkStart w:id="46" w:name="glmer-trees"/>
      <w:r>
        <w:t xml:space="preserve">Glmer trees</w:t>
      </w:r>
      <w:bookmarkEnd w:id="46"/>
    </w:p>
    <w:p>
      <w:pPr>
        <w:pStyle w:val="FirstParagraph"/>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7"/>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t xml:space="preserve">On the Rovers et al., dataset we show that age is a potential effect modifier and we may also have a tree-way interaction with bilateral otitis.</w:t>
      </w:r>
    </w:p>
    <w:p>
      <w:pPr>
        <w:pStyle w:val="Heading2"/>
      </w:pPr>
      <w:bookmarkStart w:id="48" w:name="two-stage-smoothing-splines-i-need-to-explain-her-some-things"/>
      <w:r>
        <w:t xml:space="preserve">Two-stage smoothing splines (I need to explain her some things)</w:t>
      </w:r>
      <w:bookmarkEnd w:id="48"/>
    </w:p>
    <w:p>
      <w:pPr>
        <w:pStyle w:val="FirstParagraph"/>
      </w:pPr>
      <w:r>
        <w:t xml:space="preserve">In contrast with linear regression models, in nonlinear models we cannot interpret the shape of the regression line from the summary.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Two-Stage%20smoothing%20splines%20in%20Somatostatin-1.png" id="0" name="Picture"/>
                    <pic:cNvPicPr>
                      <a:picLocks noChangeArrowheads="1" noChangeAspect="1"/>
                    </pic:cNvPicPr>
                  </pic:nvPicPr>
                  <pic:blipFill>
                    <a:blip r:embed="rId49"/>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In the acute otitis media data-set we show that children 0-5 years have a treatment benefit.</w:t>
      </w:r>
    </w:p>
    <w:p>
      <w:pPr>
        <w:pStyle w:val="BodyText"/>
      </w:pPr>
      <w:r>
        <w:drawing>
          <wp:inline>
            <wp:extent cx="5943600" cy="3962399"/>
            <wp:effectExtent b="0" l="0" r="0" t="0"/>
            <wp:docPr descr="" title="" id="1" name="Picture"/>
            <a:graphic>
              <a:graphicData uri="http://schemas.openxmlformats.org/drawingml/2006/picture">
                <pic:pic>
                  <pic:nvPicPr>
                    <pic:cNvPr descr="Figs/Two-Stage%20smoothing%20splines%20in%20AOM-1.png" id="0" name="Picture"/>
                    <pic:cNvPicPr>
                      <a:picLocks noChangeArrowheads="1" noChangeAspect="1"/>
                    </pic:cNvPicPr>
                  </pic:nvPicPr>
                  <pic:blipFill>
                    <a:blip r:embed="rId50"/>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1" w:name="one-stage-smoothing-splines"/>
      <w:r>
        <w:t xml:space="preserve">One-stage smoothing splines</w:t>
      </w:r>
      <w:bookmarkEnd w:id="51"/>
    </w:p>
    <w:p>
      <w:pPr>
        <w:pStyle w:val="FirstParagraph"/>
      </w:pPr>
      <w:r>
        <w:drawing>
          <wp:inline>
            <wp:extent cx="5943600" cy="3962399"/>
            <wp:effectExtent b="0" l="0" r="0" t="0"/>
            <wp:docPr descr="" title="" id="1" name="Picture"/>
            <a:graphic>
              <a:graphicData uri="http://schemas.openxmlformats.org/drawingml/2006/picture">
                <pic:pic>
                  <pic:nvPicPr>
                    <pic:cNvPr descr="Figs/One-Stage%20smoothing%20splines%20in%20Somatostatin-1.png" id="0" name="Picture"/>
                    <pic:cNvPicPr>
                      <a:picLocks noChangeArrowheads="1" noChangeAspect="1"/>
                    </pic:cNvPicPr>
                  </pic:nvPicPr>
                  <pic:blipFill>
                    <a:blip r:embed="rId52"/>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3" w:name="two-stage-fractional-polynomials"/>
      <w:r>
        <w:t xml:space="preserve">Two-stage Fractional Polynomials</w:t>
      </w:r>
      <w:bookmarkEnd w:id="53"/>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 In this method we couldn’t investigate threeway interactions, as 2 studies had insufficient</w:t>
      </w:r>
      <w:r>
        <w:t xml:space="preserve"> </w:t>
      </w:r>
      <w:r>
        <w:rPr>
          <w:b/>
        </w:rPr>
        <w:t xml:space="preserve">female</w:t>
      </w:r>
      <w:r>
        <w:t xml:space="preserve"> </w:t>
      </w:r>
      <w:r>
        <w:t xml:space="preserve">participants and limited sample size.</w:t>
      </w:r>
    </w:p>
    <w:p>
      <w:pPr>
        <w:pStyle w:val="BodyText"/>
      </w:pPr>
      <w:r>
        <w:t xml:space="preserve">Little et al. had no information over the bilateral otitis media and Appelman et al. didn’t have enough participants to investigate the FP shape. So we droped these studies.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-0.6950201</w:t>
            </w:r>
          </w:p>
        </w:tc>
        <w:tc>
          <w:p>
            <w:pPr>
              <w:pStyle w:val="Compact"/>
              <w:jc w:val="right"/>
            </w:pPr>
            <w:r>
              <w:t xml:space="preserve">0.2422115</w:t>
            </w:r>
          </w:p>
        </w:tc>
        <w:tc>
          <w:p>
            <w:pPr>
              <w:pStyle w:val="Compact"/>
              <w:jc w:val="right"/>
            </w:pPr>
            <w:r>
              <w:t xml:space="preserve">-2.8694758</w:t>
            </w:r>
          </w:p>
        </w:tc>
        <w:tc>
          <w:p>
            <w:pPr>
              <w:pStyle w:val="Compact"/>
              <w:jc w:val="right"/>
            </w:pPr>
            <w:r>
              <w:t xml:space="preserve">0.0041115</w:t>
            </w:r>
          </w:p>
        </w:tc>
        <w:tc>
          <w:p>
            <w:pPr>
              <w:pStyle w:val="Compact"/>
              <w:jc w:val="right"/>
            </w:pPr>
            <w:r>
              <w:t xml:space="preserve">-1.1697460</w:t>
            </w:r>
          </w:p>
        </w:tc>
        <w:tc>
          <w:p>
            <w:pPr>
              <w:pStyle w:val="Compact"/>
              <w:jc w:val="right"/>
            </w:pPr>
            <w:r>
              <w:t xml:space="preserve">-0.2202942</w:t>
            </w:r>
          </w:p>
        </w:tc>
      </w:tr>
      <w:tr>
        <w:tc>
          <w:p>
            <w:pPr>
              <w:pStyle w:val="Compact"/>
              <w:jc w:val="left"/>
            </w:pPr>
            <w:r>
              <w:t xml:space="preserve">Treatment</w:t>
            </w:r>
          </w:p>
        </w:tc>
        <w:tc>
          <w:p>
            <w:pPr>
              <w:pStyle w:val="Compact"/>
              <w:jc w:val="right"/>
            </w:pPr>
            <w:r>
              <w:t xml:space="preserve">-0.3425320</w:t>
            </w:r>
          </w:p>
        </w:tc>
        <w:tc>
          <w:p>
            <w:pPr>
              <w:pStyle w:val="Compact"/>
              <w:jc w:val="right"/>
            </w:pPr>
            <w:r>
              <w:t xml:space="preserve">0.1749038</w:t>
            </w:r>
          </w:p>
        </w:tc>
        <w:tc>
          <w:p>
            <w:pPr>
              <w:pStyle w:val="Compact"/>
              <w:jc w:val="right"/>
            </w:pPr>
            <w:r>
              <w:t xml:space="preserve">-1.9584027</w:t>
            </w:r>
          </w:p>
        </w:tc>
        <w:tc>
          <w:p>
            <w:pPr>
              <w:pStyle w:val="Compact"/>
              <w:jc w:val="right"/>
            </w:pPr>
            <w:r>
              <w:t xml:space="preserve">0.0501828</w:t>
            </w:r>
          </w:p>
        </w:tc>
        <w:tc>
          <w:p>
            <w:pPr>
              <w:pStyle w:val="Compact"/>
              <w:jc w:val="right"/>
            </w:pPr>
            <w:r>
              <w:t xml:space="preserve">-0.6853371</w:t>
            </w:r>
          </w:p>
        </w:tc>
        <w:tc>
          <w:p>
            <w:pPr>
              <w:pStyle w:val="Compact"/>
              <w:jc w:val="right"/>
            </w:pPr>
            <w:r>
              <w:t xml:space="preserve">0.0002731</w:t>
            </w:r>
          </w:p>
        </w:tc>
      </w:tr>
      <w:tr>
        <w:tc>
          <w:p>
            <w:pPr>
              <w:pStyle w:val="Compact"/>
              <w:jc w:val="left"/>
            </w:pPr>
            <w:r>
              <w:t xml:space="preserve">FP(Age)</w:t>
            </w:r>
          </w:p>
        </w:tc>
        <w:tc>
          <w:p>
            <w:pPr>
              <w:pStyle w:val="Compact"/>
              <w:jc w:val="right"/>
            </w:pPr>
            <w:r>
              <w:t xml:space="preserve">-0.0500669</w:t>
            </w:r>
          </w:p>
        </w:tc>
        <w:tc>
          <w:p>
            <w:pPr>
              <w:pStyle w:val="Compact"/>
              <w:jc w:val="right"/>
            </w:pPr>
            <w:r>
              <w:t xml:space="preserve">0.5641338</w:t>
            </w:r>
          </w:p>
        </w:tc>
        <w:tc>
          <w:p>
            <w:pPr>
              <w:pStyle w:val="Compact"/>
              <w:jc w:val="right"/>
            </w:pPr>
            <w:r>
              <w:t xml:space="preserve">-0.0887501</w:t>
            </w:r>
          </w:p>
        </w:tc>
        <w:tc>
          <w:p>
            <w:pPr>
              <w:pStyle w:val="Compact"/>
              <w:jc w:val="right"/>
            </w:pPr>
            <w:r>
              <w:t xml:space="preserve">0.9292805</w:t>
            </w:r>
          </w:p>
        </w:tc>
        <w:tc>
          <w:p>
            <w:pPr>
              <w:pStyle w:val="Compact"/>
              <w:jc w:val="right"/>
            </w:pPr>
            <w:r>
              <w:t xml:space="preserve">-1.1557489</w:t>
            </w:r>
          </w:p>
        </w:tc>
        <w:tc>
          <w:p>
            <w:pPr>
              <w:pStyle w:val="Compact"/>
              <w:jc w:val="right"/>
            </w:pPr>
            <w:r>
              <w:t xml:space="preserve">1.0556151</w:t>
            </w:r>
          </w:p>
        </w:tc>
      </w:tr>
      <w:tr>
        <w:tc>
          <w:p>
            <w:pPr>
              <w:pStyle w:val="Compact"/>
              <w:jc w:val="left"/>
            </w:pPr>
            <w:r>
              <w:t xml:space="preserve">Bilateral</w:t>
            </w:r>
          </w:p>
        </w:tc>
        <w:tc>
          <w:p>
            <w:pPr>
              <w:pStyle w:val="Compact"/>
              <w:jc w:val="right"/>
            </w:pPr>
            <w:r>
              <w:t xml:space="preserve">0.2004053</w:t>
            </w:r>
          </w:p>
        </w:tc>
        <w:tc>
          <w:p>
            <w:pPr>
              <w:pStyle w:val="Compact"/>
              <w:jc w:val="right"/>
            </w:pPr>
            <w:r>
              <w:t xml:space="preserve">0.2981016</w:t>
            </w:r>
          </w:p>
        </w:tc>
        <w:tc>
          <w:p>
            <w:pPr>
              <w:pStyle w:val="Compact"/>
              <w:jc w:val="right"/>
            </w:pPr>
            <w:r>
              <w:t xml:space="preserve">0.6722718</w:t>
            </w:r>
          </w:p>
        </w:tc>
        <w:tc>
          <w:p>
            <w:pPr>
              <w:pStyle w:val="Compact"/>
              <w:jc w:val="right"/>
            </w:pPr>
            <w:r>
              <w:t xml:space="preserve">0.5014107</w:t>
            </w:r>
          </w:p>
        </w:tc>
        <w:tc>
          <w:p>
            <w:pPr>
              <w:pStyle w:val="Compact"/>
              <w:jc w:val="right"/>
            </w:pPr>
            <w:r>
              <w:t xml:space="preserve">-0.3838630</w:t>
            </w:r>
          </w:p>
        </w:tc>
        <w:tc>
          <w:p>
            <w:pPr>
              <w:pStyle w:val="Compact"/>
              <w:jc w:val="right"/>
            </w:pPr>
            <w:r>
              <w:t xml:space="preserve">0.7846736</w:t>
            </w:r>
          </w:p>
        </w:tc>
      </w:tr>
      <w:tr>
        <w:tc>
          <w:p>
            <w:pPr>
              <w:pStyle w:val="Compact"/>
              <w:jc w:val="left"/>
            </w:pPr>
            <w:r>
              <w:t xml:space="preserve">Treatment x FP(Age)</w:t>
            </w:r>
          </w:p>
        </w:tc>
        <w:tc>
          <w:p>
            <w:pPr>
              <w:pStyle w:val="Compact"/>
              <w:jc w:val="right"/>
            </w:pPr>
            <w:r>
              <w:t xml:space="preserve">-0.4583444</w:t>
            </w:r>
          </w:p>
        </w:tc>
        <w:tc>
          <w:p>
            <w:pPr>
              <w:pStyle w:val="Compact"/>
              <w:jc w:val="right"/>
            </w:pPr>
            <w:r>
              <w:t xml:space="preserve">0.7742653</w:t>
            </w:r>
          </w:p>
        </w:tc>
        <w:tc>
          <w:p>
            <w:pPr>
              <w:pStyle w:val="Compact"/>
              <w:jc w:val="right"/>
            </w:pPr>
            <w:r>
              <w:t xml:space="preserve">-0.5919733</w:t>
            </w:r>
          </w:p>
        </w:tc>
        <w:tc>
          <w:p>
            <w:pPr>
              <w:pStyle w:val="Compact"/>
              <w:jc w:val="right"/>
            </w:pPr>
            <w:r>
              <w:t xml:space="preserve">0.5538685</w:t>
            </w:r>
          </w:p>
        </w:tc>
        <w:tc>
          <w:p>
            <w:pPr>
              <w:pStyle w:val="Compact"/>
              <w:jc w:val="right"/>
            </w:pPr>
            <w:r>
              <w:t xml:space="preserve">-1.9758765</w:t>
            </w:r>
          </w:p>
        </w:tc>
        <w:tc>
          <w:p>
            <w:pPr>
              <w:pStyle w:val="Compact"/>
              <w:jc w:val="right"/>
            </w:pPr>
            <w:r>
              <w:t xml:space="preserve">1.0591878</w:t>
            </w:r>
          </w:p>
        </w:tc>
      </w:tr>
      <w:tr>
        <w:tc>
          <w:p>
            <w:pPr>
              <w:pStyle w:val="Compact"/>
              <w:jc w:val="left"/>
            </w:pPr>
            <w:r>
              <w:t xml:space="preserve">Treatment x Bilateral</w:t>
            </w:r>
          </w:p>
        </w:tc>
        <w:tc>
          <w:p>
            <w:pPr>
              <w:pStyle w:val="Compact"/>
              <w:jc w:val="right"/>
            </w:pPr>
            <w:r>
              <w:t xml:space="preserve">-0.3600468</w:t>
            </w:r>
          </w:p>
        </w:tc>
        <w:tc>
          <w:p>
            <w:pPr>
              <w:pStyle w:val="Compact"/>
              <w:jc w:val="right"/>
            </w:pPr>
            <w:r>
              <w:t xml:space="preserve">0.3262627</w:t>
            </w:r>
          </w:p>
        </w:tc>
        <w:tc>
          <w:p>
            <w:pPr>
              <w:pStyle w:val="Compact"/>
              <w:jc w:val="right"/>
            </w:pPr>
            <w:r>
              <w:t xml:space="preserve">-1.1035487</w:t>
            </w:r>
          </w:p>
        </w:tc>
        <w:tc>
          <w:p>
            <w:pPr>
              <w:pStyle w:val="Compact"/>
              <w:jc w:val="right"/>
            </w:pPr>
            <w:r>
              <w:t xml:space="preserve">0.2697890</w:t>
            </w:r>
          </w:p>
        </w:tc>
        <w:tc>
          <w:p>
            <w:pPr>
              <w:pStyle w:val="Compact"/>
              <w:jc w:val="right"/>
            </w:pPr>
            <w:r>
              <w:t xml:space="preserve">-0.9995099</w:t>
            </w:r>
          </w:p>
        </w:tc>
        <w:tc>
          <w:p>
            <w:pPr>
              <w:pStyle w:val="Compact"/>
              <w:jc w:val="right"/>
            </w:pPr>
            <w:r>
              <w:t xml:space="preserve">0.2794163</w:t>
            </w:r>
          </w:p>
        </w:tc>
      </w:tr>
      <w:tr>
        <w:tc>
          <w:p>
            <w:pPr>
              <w:pStyle w:val="Compact"/>
              <w:jc w:val="left"/>
            </w:pPr>
            <w:r>
              <w:t xml:space="preserve">Treatment x FP(Age)</w:t>
            </w:r>
          </w:p>
        </w:tc>
        <w:tc>
          <w:p>
            <w:pPr>
              <w:pStyle w:val="Compact"/>
              <w:jc w:val="right"/>
            </w:pPr>
            <w:r>
              <w:t xml:space="preserve">-3.2709854</w:t>
            </w:r>
          </w:p>
        </w:tc>
        <w:tc>
          <w:p>
            <w:pPr>
              <w:pStyle w:val="Compact"/>
              <w:jc w:val="right"/>
            </w:pPr>
            <w:r>
              <w:t xml:space="preserve">1.3596717</w:t>
            </w:r>
          </w:p>
        </w:tc>
        <w:tc>
          <w:p>
            <w:pPr>
              <w:pStyle w:val="Compact"/>
              <w:jc w:val="right"/>
            </w:pPr>
            <w:r>
              <w:t xml:space="preserve">-2.4057171</w:t>
            </w:r>
          </w:p>
        </w:tc>
        <w:tc>
          <w:p>
            <w:pPr>
              <w:pStyle w:val="Compact"/>
              <w:jc w:val="right"/>
            </w:pPr>
            <w:r>
              <w:t xml:space="preserve">0.0161408</w:t>
            </w:r>
          </w:p>
        </w:tc>
        <w:tc>
          <w:p>
            <w:pPr>
              <w:pStyle w:val="Compact"/>
              <w:jc w:val="right"/>
            </w:pPr>
            <w:r>
              <w:t xml:space="preserve">-5.9358929</w:t>
            </w:r>
          </w:p>
        </w:tc>
        <w:tc>
          <w:p>
            <w:pPr>
              <w:pStyle w:val="Compact"/>
              <w:jc w:val="right"/>
            </w:pPr>
            <w:r>
              <w:t xml:space="preserve">-0.6060778</w:t>
            </w:r>
          </w:p>
        </w:tc>
      </w:tr>
      <w:tr>
        <w:tc>
          <w:p>
            <w:pPr>
              <w:pStyle w:val="Compact"/>
              <w:jc w:val="left"/>
            </w:pPr>
            <w:r>
              <w:t xml:space="preserve">Treatment x FP(Age) x Bilateral</w:t>
            </w:r>
          </w:p>
        </w:tc>
        <w:tc>
          <w:p>
            <w:pPr>
              <w:pStyle w:val="Compact"/>
              <w:jc w:val="right"/>
            </w:pPr>
            <w:r>
              <w:t xml:space="preserve">0.6110426</w:t>
            </w:r>
          </w:p>
        </w:tc>
        <w:tc>
          <w:p>
            <w:pPr>
              <w:pStyle w:val="Compact"/>
              <w:jc w:val="right"/>
            </w:pPr>
            <w:r>
              <w:t xml:space="preserve">1.9663869</w:t>
            </w:r>
          </w:p>
        </w:tc>
        <w:tc>
          <w:p>
            <w:pPr>
              <w:pStyle w:val="Compact"/>
              <w:jc w:val="right"/>
            </w:pPr>
            <w:r>
              <w:t xml:space="preserve">0.3107439</w:t>
            </w:r>
          </w:p>
        </w:tc>
        <w:tc>
          <w:p>
            <w:pPr>
              <w:pStyle w:val="Compact"/>
              <w:jc w:val="right"/>
            </w:pPr>
            <w:r>
              <w:t xml:space="preserve">0.7559954</w:t>
            </w:r>
          </w:p>
        </w:tc>
        <w:tc>
          <w:p>
            <w:pPr>
              <w:pStyle w:val="Compact"/>
              <w:jc w:val="right"/>
            </w:pPr>
            <w:r>
              <w:t xml:space="preserve">-3.2430049</w:t>
            </w:r>
          </w:p>
        </w:tc>
        <w:tc>
          <w:p>
            <w:pPr>
              <w:pStyle w:val="Compact"/>
              <w:jc w:val="right"/>
            </w:pPr>
            <w:r>
              <w:t xml:space="preserve">4.4650902</w:t>
            </w:r>
          </w:p>
        </w:tc>
      </w:tr>
    </w:tbl>
    <w:p>
      <w:pPr>
        <w:pStyle w:val="SourceCode"/>
      </w:pPr>
      <w:r>
        <w:br w:type="textWrapping"/>
      </w:r>
      <w:r>
        <w:rPr>
          <w:rStyle w:val="VerbatimChar"/>
        </w:rPr>
        <w:t xml:space="preserve">Chi-squared test:</w:t>
      </w:r>
      <w:r>
        <w:br w:type="textWrapping"/>
      </w:r>
      <w:r>
        <w:rPr>
          <w:rStyle w:val="VerbatimChar"/>
        </w:rPr>
        <w:t xml:space="preserve">X2 = 9.275, df = 3, P(&gt; X2) = 0.02585</w:t>
      </w:r>
    </w:p>
    <w:p>
      <w:pPr>
        <w:pStyle w:val="FirstParagraph"/>
      </w:pPr>
      <w:r>
        <w:t xml:space="preserve">We couldn’t show that age is an effect modifier on 0.05</w:t>
      </w:r>
      <w:r>
        <w:t xml:space="preserve"> </w:t>
      </w:r>
      <m:oMath>
        <m:r>
          <m:t>α</m:t>
        </m:r>
      </m:oMath>
      <w:r>
        <w:t xml:space="preserve">.</w:t>
      </w:r>
    </w:p>
    <w:p>
      <w:pPr>
        <w:pStyle w:val="Heading2"/>
      </w:pPr>
      <w:bookmarkStart w:id="54" w:name="study-wise-fp2-the-best-fp2-is-selected-for-each-study"/>
      <w:r>
        <w:t xml:space="preserve">Study-wise FP2, the best FP2 is selected for each study</w:t>
      </w:r>
      <w:bookmarkEnd w:id="54"/>
    </w:p>
    <w:p>
      <w:pPr>
        <w:pStyle w:val="FirstParagraph"/>
      </w:pPr>
      <w:r>
        <w:t xml:space="preserve">The best fitting FP2s for the somatostatin per trial suffered from the same problems as the overall FP.</w:t>
      </w:r>
    </w:p>
    <w:p>
      <w:pPr>
        <w:pStyle w:val="BodyText"/>
      </w:pPr>
      <w:r>
        <w:t xml:space="preserve">Only 2 studies (Damoiseaux, Burke) could converge using the FP2 method.</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t xml:space="preserve">In two-stage meta-analysis using linear assumptions, effect modification across age was not statistically significant.</w:t>
      </w:r>
    </w:p>
    <w:p>
      <w:pPr>
        <w:pStyle w:val="BodyText"/>
      </w:pPr>
      <w:r>
        <w:t xml:space="preserve">For the Gevers et al the two-stage meta-analysis of interaction terms showed no statistically significant results.</w:t>
      </w:r>
    </w:p>
    <w:p>
      <w:pPr>
        <w:pStyle w:val="BodyText"/>
      </w:pPr>
      <w:r>
        <w:t xml:space="preserve">Little et al had no bilateral information. The study was dropped.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0.0749289</w:t>
            </w:r>
          </w:p>
        </w:tc>
        <w:tc>
          <w:p>
            <w:pPr>
              <w:pStyle w:val="Compact"/>
              <w:jc w:val="right"/>
            </w:pPr>
            <w:r>
              <w:t xml:space="preserve">0.2821152</w:t>
            </w:r>
          </w:p>
        </w:tc>
        <w:tc>
          <w:p>
            <w:pPr>
              <w:pStyle w:val="Compact"/>
              <w:jc w:val="right"/>
            </w:pPr>
            <w:r>
              <w:t xml:space="preserve">0.2655970</w:t>
            </w:r>
          </w:p>
        </w:tc>
        <w:tc>
          <w:p>
            <w:pPr>
              <w:pStyle w:val="Compact"/>
              <w:jc w:val="right"/>
            </w:pPr>
            <w:r>
              <w:t xml:space="preserve">0.7905496</w:t>
            </w:r>
          </w:p>
        </w:tc>
        <w:tc>
          <w:p>
            <w:pPr>
              <w:pStyle w:val="Compact"/>
              <w:jc w:val="right"/>
            </w:pPr>
            <w:r>
              <w:t xml:space="preserve">-0.4780067</w:t>
            </w:r>
          </w:p>
        </w:tc>
        <w:tc>
          <w:p>
            <w:pPr>
              <w:pStyle w:val="Compact"/>
              <w:jc w:val="right"/>
            </w:pPr>
            <w:r>
              <w:t xml:space="preserve">0.6278646</w:t>
            </w:r>
          </w:p>
        </w:tc>
      </w:tr>
      <w:tr>
        <w:tc>
          <w:p>
            <w:pPr>
              <w:pStyle w:val="Compact"/>
              <w:jc w:val="left"/>
            </w:pPr>
            <w:r>
              <w:t xml:space="preserve">Treatment</w:t>
            </w:r>
          </w:p>
        </w:tc>
        <w:tc>
          <w:p>
            <w:pPr>
              <w:pStyle w:val="Compact"/>
              <w:jc w:val="right"/>
            </w:pPr>
            <w:r>
              <w:t xml:space="preserve">0.0995788</w:t>
            </w:r>
          </w:p>
        </w:tc>
        <w:tc>
          <w:p>
            <w:pPr>
              <w:pStyle w:val="Compact"/>
              <w:jc w:val="right"/>
            </w:pPr>
            <w:r>
              <w:t xml:space="preserve">0.4148682</w:t>
            </w:r>
          </w:p>
        </w:tc>
        <w:tc>
          <w:p>
            <w:pPr>
              <w:pStyle w:val="Compact"/>
              <w:jc w:val="right"/>
            </w:pPr>
            <w:r>
              <w:t xml:space="preserve">0.2400251</w:t>
            </w:r>
          </w:p>
        </w:tc>
        <w:tc>
          <w:p>
            <w:pPr>
              <w:pStyle w:val="Compact"/>
              <w:jc w:val="right"/>
            </w:pPr>
            <w:r>
              <w:t xml:space="preserve">0.8103108</w:t>
            </w:r>
          </w:p>
        </w:tc>
        <w:tc>
          <w:p>
            <w:pPr>
              <w:pStyle w:val="Compact"/>
              <w:jc w:val="right"/>
            </w:pPr>
            <w:r>
              <w:t xml:space="preserve">-0.7135480</w:t>
            </w:r>
          </w:p>
        </w:tc>
        <w:tc>
          <w:p>
            <w:pPr>
              <w:pStyle w:val="Compact"/>
              <w:jc w:val="right"/>
            </w:pPr>
            <w:r>
              <w:t xml:space="preserve">0.9127055</w:t>
            </w:r>
          </w:p>
        </w:tc>
      </w:tr>
      <w:tr>
        <w:tc>
          <w:p>
            <w:pPr>
              <w:pStyle w:val="Compact"/>
              <w:jc w:val="left"/>
            </w:pPr>
            <w:r>
              <w:t xml:space="preserve">Age</w:t>
            </w:r>
          </w:p>
        </w:tc>
        <w:tc>
          <w:p>
            <w:pPr>
              <w:pStyle w:val="Compact"/>
              <w:jc w:val="right"/>
            </w:pPr>
            <w:r>
              <w:t xml:space="preserve">-0.4685843</w:t>
            </w:r>
          </w:p>
        </w:tc>
        <w:tc>
          <w:p>
            <w:pPr>
              <w:pStyle w:val="Compact"/>
              <w:jc w:val="right"/>
            </w:pPr>
            <w:r>
              <w:t xml:space="preserve">0.1394622</w:t>
            </w:r>
          </w:p>
        </w:tc>
        <w:tc>
          <w:p>
            <w:pPr>
              <w:pStyle w:val="Compact"/>
              <w:jc w:val="right"/>
            </w:pPr>
            <w:r>
              <w:t xml:space="preserve">-3.3599388</w:t>
            </w:r>
          </w:p>
        </w:tc>
        <w:tc>
          <w:p>
            <w:pPr>
              <w:pStyle w:val="Compact"/>
              <w:jc w:val="right"/>
            </w:pPr>
            <w:r>
              <w:t xml:space="preserve">0.0007796</w:t>
            </w:r>
          </w:p>
        </w:tc>
        <w:tc>
          <w:p>
            <w:pPr>
              <w:pStyle w:val="Compact"/>
              <w:jc w:val="right"/>
            </w:pPr>
            <w:r>
              <w:t xml:space="preserve">-0.7419251</w:t>
            </w:r>
          </w:p>
        </w:tc>
        <w:tc>
          <w:p>
            <w:pPr>
              <w:pStyle w:val="Compact"/>
              <w:jc w:val="right"/>
            </w:pPr>
            <w:r>
              <w:t xml:space="preserve">-0.1952435</w:t>
            </w:r>
          </w:p>
        </w:tc>
      </w:tr>
      <w:tr>
        <w:tc>
          <w:p>
            <w:pPr>
              <w:pStyle w:val="Compact"/>
              <w:jc w:val="left"/>
            </w:pPr>
            <w:r>
              <w:t xml:space="preserve">Bilateral</w:t>
            </w:r>
          </w:p>
        </w:tc>
        <w:tc>
          <w:p>
            <w:pPr>
              <w:pStyle w:val="Compact"/>
              <w:jc w:val="right"/>
            </w:pPr>
            <w:r>
              <w:t xml:space="preserve">0.5636798</w:t>
            </w:r>
          </w:p>
        </w:tc>
        <w:tc>
          <w:p>
            <w:pPr>
              <w:pStyle w:val="Compact"/>
              <w:jc w:val="right"/>
            </w:pPr>
            <w:r>
              <w:t xml:space="preserve">0.4481089</w:t>
            </w:r>
          </w:p>
        </w:tc>
        <w:tc>
          <w:p>
            <w:pPr>
              <w:pStyle w:val="Compact"/>
              <w:jc w:val="right"/>
            </w:pPr>
            <w:r>
              <w:t xml:space="preserve">1.2579080</w:t>
            </w:r>
          </w:p>
        </w:tc>
        <w:tc>
          <w:p>
            <w:pPr>
              <w:pStyle w:val="Compact"/>
              <w:jc w:val="right"/>
            </w:pPr>
            <w:r>
              <w:t xml:space="preserve">0.2084250</w:t>
            </w:r>
          </w:p>
        </w:tc>
        <w:tc>
          <w:p>
            <w:pPr>
              <w:pStyle w:val="Compact"/>
              <w:jc w:val="right"/>
            </w:pPr>
            <w:r>
              <w:t xml:space="preserve">-0.3145975</w:t>
            </w:r>
          </w:p>
        </w:tc>
        <w:tc>
          <w:p>
            <w:pPr>
              <w:pStyle w:val="Compact"/>
              <w:jc w:val="right"/>
            </w:pPr>
            <w:r>
              <w:t xml:space="preserve">1.4419571</w:t>
            </w:r>
          </w:p>
        </w:tc>
      </w:tr>
      <w:tr>
        <w:tc>
          <w:p>
            <w:pPr>
              <w:pStyle w:val="Compact"/>
              <w:jc w:val="left"/>
            </w:pPr>
            <w:r>
              <w:t xml:space="preserve">Age^2</w:t>
            </w:r>
          </w:p>
        </w:tc>
        <w:tc>
          <w:p>
            <w:pPr>
              <w:pStyle w:val="Compact"/>
              <w:jc w:val="right"/>
            </w:pPr>
            <w:r>
              <w:t xml:space="preserve">0.0431829</w:t>
            </w:r>
          </w:p>
        </w:tc>
        <w:tc>
          <w:p>
            <w:pPr>
              <w:pStyle w:val="Compact"/>
              <w:jc w:val="right"/>
            </w:pPr>
            <w:r>
              <w:t xml:space="preserve">0.0142133</w:t>
            </w:r>
          </w:p>
        </w:tc>
        <w:tc>
          <w:p>
            <w:pPr>
              <w:pStyle w:val="Compact"/>
              <w:jc w:val="right"/>
            </w:pPr>
            <w:r>
              <w:t xml:space="preserve">3.0381976</w:t>
            </w:r>
          </w:p>
        </w:tc>
        <w:tc>
          <w:p>
            <w:pPr>
              <w:pStyle w:val="Compact"/>
              <w:jc w:val="right"/>
            </w:pPr>
            <w:r>
              <w:t xml:space="preserve">0.0023800</w:t>
            </w:r>
          </w:p>
        </w:tc>
        <w:tc>
          <w:p>
            <w:pPr>
              <w:pStyle w:val="Compact"/>
              <w:jc w:val="right"/>
            </w:pPr>
            <w:r>
              <w:t xml:space="preserve">0.0153253</w:t>
            </w:r>
          </w:p>
        </w:tc>
        <w:tc>
          <w:p>
            <w:pPr>
              <w:pStyle w:val="Compact"/>
              <w:jc w:val="right"/>
            </w:pPr>
            <w:r>
              <w:t xml:space="preserve">0.0710406</w:t>
            </w:r>
          </w:p>
        </w:tc>
      </w:tr>
      <w:tr>
        <w:tc>
          <w:p>
            <w:pPr>
              <w:pStyle w:val="Compact"/>
              <w:jc w:val="left"/>
            </w:pPr>
            <w:r>
              <w:t xml:space="preserve">Treatment x Age</w:t>
            </w:r>
          </w:p>
        </w:tc>
        <w:tc>
          <w:p>
            <w:pPr>
              <w:pStyle w:val="Compact"/>
              <w:jc w:val="right"/>
            </w:pPr>
            <w:r>
              <w:t xml:space="preserve">-0.2708037</w:t>
            </w:r>
          </w:p>
        </w:tc>
        <w:tc>
          <w:p>
            <w:pPr>
              <w:pStyle w:val="Compact"/>
              <w:jc w:val="right"/>
            </w:pPr>
            <w:r>
              <w:t xml:space="preserve">0.2191412</w:t>
            </w:r>
          </w:p>
        </w:tc>
        <w:tc>
          <w:p>
            <w:pPr>
              <w:pStyle w:val="Compact"/>
              <w:jc w:val="right"/>
            </w:pPr>
            <w:r>
              <w:t xml:space="preserve">-1.2357501</w:t>
            </w:r>
          </w:p>
        </w:tc>
        <w:tc>
          <w:p>
            <w:pPr>
              <w:pStyle w:val="Compact"/>
              <w:jc w:val="right"/>
            </w:pPr>
            <w:r>
              <w:t xml:space="preserve">0.2165515</w:t>
            </w:r>
          </w:p>
        </w:tc>
        <w:tc>
          <w:p>
            <w:pPr>
              <w:pStyle w:val="Compact"/>
              <w:jc w:val="right"/>
            </w:pPr>
            <w:r>
              <w:t xml:space="preserve">-0.7003126</w:t>
            </w:r>
          </w:p>
        </w:tc>
        <w:tc>
          <w:p>
            <w:pPr>
              <w:pStyle w:val="Compact"/>
              <w:jc w:val="right"/>
            </w:pPr>
            <w:r>
              <w:t xml:space="preserve">0.1587051</w:t>
            </w:r>
          </w:p>
        </w:tc>
      </w:tr>
      <w:tr>
        <w:tc>
          <w:p>
            <w:pPr>
              <w:pStyle w:val="Compact"/>
              <w:jc w:val="left"/>
            </w:pPr>
            <w:r>
              <w:t xml:space="preserve">Treatment x Bilateral</w:t>
            </w:r>
          </w:p>
        </w:tc>
        <w:tc>
          <w:p>
            <w:pPr>
              <w:pStyle w:val="Compact"/>
              <w:jc w:val="right"/>
            </w:pPr>
            <w:r>
              <w:t xml:space="preserve">-1.7094617</w:t>
            </w:r>
          </w:p>
        </w:tc>
        <w:tc>
          <w:p>
            <w:pPr>
              <w:pStyle w:val="Compact"/>
              <w:jc w:val="right"/>
            </w:pPr>
            <w:r>
              <w:t xml:space="preserve">0.7181031</w:t>
            </w:r>
          </w:p>
        </w:tc>
        <w:tc>
          <w:p>
            <w:pPr>
              <w:pStyle w:val="Compact"/>
              <w:jc w:val="right"/>
            </w:pPr>
            <w:r>
              <w:t xml:space="preserve">-2.3805241</w:t>
            </w:r>
          </w:p>
        </w:tc>
        <w:tc>
          <w:p>
            <w:pPr>
              <w:pStyle w:val="Compact"/>
              <w:jc w:val="right"/>
            </w:pPr>
            <w:r>
              <w:t xml:space="preserve">0.0172880</w:t>
            </w:r>
          </w:p>
        </w:tc>
        <w:tc>
          <w:p>
            <w:pPr>
              <w:pStyle w:val="Compact"/>
              <w:jc w:val="right"/>
            </w:pPr>
            <w:r>
              <w:t xml:space="preserve">-3.1169178</w:t>
            </w:r>
          </w:p>
        </w:tc>
        <w:tc>
          <w:p>
            <w:pPr>
              <w:pStyle w:val="Compact"/>
              <w:jc w:val="right"/>
            </w:pPr>
            <w:r>
              <w:t xml:space="preserve">-0.3020055</w:t>
            </w:r>
          </w:p>
        </w:tc>
      </w:tr>
      <w:tr>
        <w:tc>
          <w:p>
            <w:pPr>
              <w:pStyle w:val="Compact"/>
              <w:jc w:val="left"/>
            </w:pPr>
            <w:r>
              <w:t xml:space="preserve">Age x Bilateral</w:t>
            </w:r>
          </w:p>
        </w:tc>
        <w:tc>
          <w:p>
            <w:pPr>
              <w:pStyle w:val="Compact"/>
              <w:jc w:val="right"/>
            </w:pPr>
            <w:r>
              <w:t xml:space="preserve">-0.0054451</w:t>
            </w:r>
          </w:p>
        </w:tc>
        <w:tc>
          <w:p>
            <w:pPr>
              <w:pStyle w:val="Compact"/>
              <w:jc w:val="right"/>
            </w:pPr>
            <w:r>
              <w:t xml:space="preserve">0.3024232</w:t>
            </w:r>
          </w:p>
        </w:tc>
        <w:tc>
          <w:p>
            <w:pPr>
              <w:pStyle w:val="Compact"/>
              <w:jc w:val="right"/>
            </w:pPr>
            <w:r>
              <w:t xml:space="preserve">-0.0180048</w:t>
            </w:r>
          </w:p>
        </w:tc>
        <w:tc>
          <w:p>
            <w:pPr>
              <w:pStyle w:val="Compact"/>
              <w:jc w:val="right"/>
            </w:pPr>
            <w:r>
              <w:t xml:space="preserve">0.9856350</w:t>
            </w:r>
          </w:p>
        </w:tc>
        <w:tc>
          <w:p>
            <w:pPr>
              <w:pStyle w:val="Compact"/>
              <w:jc w:val="right"/>
            </w:pPr>
            <w:r>
              <w:t xml:space="preserve">-0.5981837</w:t>
            </w:r>
          </w:p>
        </w:tc>
        <w:tc>
          <w:p>
            <w:pPr>
              <w:pStyle w:val="Compact"/>
              <w:jc w:val="right"/>
            </w:pPr>
            <w:r>
              <w:t xml:space="preserve">0.5872935</w:t>
            </w:r>
          </w:p>
        </w:tc>
      </w:tr>
      <w:tr>
        <w:tc>
          <w:p>
            <w:pPr>
              <w:pStyle w:val="Compact"/>
              <w:jc w:val="left"/>
            </w:pPr>
            <w:r>
              <w:t xml:space="preserve">Treatment x Age^2</w:t>
            </w:r>
          </w:p>
        </w:tc>
        <w:tc>
          <w:p>
            <w:pPr>
              <w:pStyle w:val="Compact"/>
              <w:jc w:val="right"/>
            </w:pPr>
            <w:r>
              <w:t xml:space="preserve">0.0309591</w:t>
            </w:r>
          </w:p>
        </w:tc>
        <w:tc>
          <w:p>
            <w:pPr>
              <w:pStyle w:val="Compact"/>
              <w:jc w:val="right"/>
            </w:pPr>
            <w:r>
              <w:t xml:space="preserve">0.0232635</w:t>
            </w:r>
          </w:p>
        </w:tc>
        <w:tc>
          <w:p>
            <w:pPr>
              <w:pStyle w:val="Compact"/>
              <w:jc w:val="right"/>
            </w:pPr>
            <w:r>
              <w:t xml:space="preserve">1.3308008</w:t>
            </w:r>
          </w:p>
        </w:tc>
        <w:tc>
          <w:p>
            <w:pPr>
              <w:pStyle w:val="Compact"/>
              <w:jc w:val="right"/>
            </w:pPr>
            <w:r>
              <w:t xml:space="preserve">0.1832546</w:t>
            </w:r>
          </w:p>
        </w:tc>
        <w:tc>
          <w:p>
            <w:pPr>
              <w:pStyle w:val="Compact"/>
              <w:jc w:val="right"/>
            </w:pPr>
            <w:r>
              <w:t xml:space="preserve">-0.0146366</w:t>
            </w:r>
          </w:p>
        </w:tc>
        <w:tc>
          <w:p>
            <w:pPr>
              <w:pStyle w:val="Compact"/>
              <w:jc w:val="right"/>
            </w:pPr>
            <w:r>
              <w:t xml:space="preserve">0.0765548</w:t>
            </w:r>
          </w:p>
        </w:tc>
      </w:tr>
      <w:tr>
        <w:tc>
          <w:p>
            <w:pPr>
              <w:pStyle w:val="Compact"/>
              <w:jc w:val="left"/>
            </w:pPr>
            <w:r>
              <w:t xml:space="preserve">Age^2 x Bilateral</w:t>
            </w:r>
          </w:p>
        </w:tc>
        <w:tc>
          <w:p>
            <w:pPr>
              <w:pStyle w:val="Compact"/>
              <w:jc w:val="right"/>
            </w:pPr>
            <w:r>
              <w:t xml:space="preserve">-0.0041067</w:t>
            </w:r>
          </w:p>
        </w:tc>
        <w:tc>
          <w:p>
            <w:pPr>
              <w:pStyle w:val="Compact"/>
              <w:jc w:val="right"/>
            </w:pPr>
            <w:r>
              <w:t xml:space="preserve">0.0381418</w:t>
            </w:r>
          </w:p>
        </w:tc>
        <w:tc>
          <w:p>
            <w:pPr>
              <w:pStyle w:val="Compact"/>
              <w:jc w:val="right"/>
            </w:pPr>
            <w:r>
              <w:t xml:space="preserve">-0.1076691</w:t>
            </w:r>
          </w:p>
        </w:tc>
        <w:tc>
          <w:p>
            <w:pPr>
              <w:pStyle w:val="Compact"/>
              <w:jc w:val="right"/>
            </w:pPr>
            <w:r>
              <w:t xml:space="preserve">0.9142582</w:t>
            </w:r>
          </w:p>
        </w:tc>
        <w:tc>
          <w:p>
            <w:pPr>
              <w:pStyle w:val="Compact"/>
              <w:jc w:val="right"/>
            </w:pPr>
            <w:r>
              <w:t xml:space="preserve">-0.0788632</w:t>
            </w:r>
          </w:p>
        </w:tc>
        <w:tc>
          <w:p>
            <w:pPr>
              <w:pStyle w:val="Compact"/>
              <w:jc w:val="right"/>
            </w:pPr>
            <w:r>
              <w:t xml:space="preserve">0.0706498</w:t>
            </w:r>
          </w:p>
        </w:tc>
      </w:tr>
      <w:tr>
        <w:tc>
          <w:p>
            <w:pPr>
              <w:pStyle w:val="Compact"/>
              <w:jc w:val="left"/>
            </w:pPr>
            <w:r>
              <w:t xml:space="preserve">Treatment x Age x Bilateral</w:t>
            </w:r>
          </w:p>
        </w:tc>
        <w:tc>
          <w:p>
            <w:pPr>
              <w:pStyle w:val="Compact"/>
              <w:jc w:val="right"/>
            </w:pPr>
            <w:r>
              <w:t xml:space="preserve">0.9330975</w:t>
            </w:r>
          </w:p>
        </w:tc>
        <w:tc>
          <w:p>
            <w:pPr>
              <w:pStyle w:val="Compact"/>
              <w:jc w:val="right"/>
            </w:pPr>
            <w:r>
              <w:t xml:space="preserve">0.5354990</w:t>
            </w:r>
          </w:p>
        </w:tc>
        <w:tc>
          <w:p>
            <w:pPr>
              <w:pStyle w:val="Compact"/>
              <w:jc w:val="right"/>
            </w:pPr>
            <w:r>
              <w:t xml:space="preserve">1.7424823</w:t>
            </w:r>
          </w:p>
        </w:tc>
        <w:tc>
          <w:p>
            <w:pPr>
              <w:pStyle w:val="Compact"/>
              <w:jc w:val="right"/>
            </w:pPr>
            <w:r>
              <w:t xml:space="preserve">0.0814241</w:t>
            </w:r>
          </w:p>
        </w:tc>
        <w:tc>
          <w:p>
            <w:pPr>
              <w:pStyle w:val="Compact"/>
              <w:jc w:val="right"/>
            </w:pPr>
            <w:r>
              <w:t xml:space="preserve">-0.1164612</w:t>
            </w:r>
          </w:p>
        </w:tc>
        <w:tc>
          <w:p>
            <w:pPr>
              <w:pStyle w:val="Compact"/>
              <w:jc w:val="right"/>
            </w:pPr>
            <w:r>
              <w:t xml:space="preserve">1.9826561</w:t>
            </w:r>
          </w:p>
        </w:tc>
      </w:tr>
      <w:tr>
        <w:tc>
          <w:p>
            <w:pPr>
              <w:pStyle w:val="Compact"/>
              <w:jc w:val="left"/>
            </w:pPr>
            <w:r>
              <w:t xml:space="preserve">Treatment x Age^2 x Bilateral</w:t>
            </w:r>
          </w:p>
        </w:tc>
        <w:tc>
          <w:p>
            <w:pPr>
              <w:pStyle w:val="Compact"/>
              <w:jc w:val="right"/>
            </w:pPr>
            <w:r>
              <w:t xml:space="preserve">-0.1123904</w:t>
            </w:r>
          </w:p>
        </w:tc>
        <w:tc>
          <w:p>
            <w:pPr>
              <w:pStyle w:val="Compact"/>
              <w:jc w:val="right"/>
            </w:pPr>
            <w:r>
              <w:t xml:space="preserve">0.0767058</w:t>
            </w:r>
          </w:p>
        </w:tc>
        <w:tc>
          <w:p>
            <w:pPr>
              <w:pStyle w:val="Compact"/>
              <w:jc w:val="right"/>
            </w:pPr>
            <w:r>
              <w:t xml:space="preserve">-1.4652147</w:t>
            </w:r>
          </w:p>
        </w:tc>
        <w:tc>
          <w:p>
            <w:pPr>
              <w:pStyle w:val="Compact"/>
              <w:jc w:val="right"/>
            </w:pPr>
            <w:r>
              <w:t xml:space="preserve">0.1428624</w:t>
            </w:r>
          </w:p>
        </w:tc>
        <w:tc>
          <w:p>
            <w:pPr>
              <w:pStyle w:val="Compact"/>
              <w:jc w:val="right"/>
            </w:pPr>
            <w:r>
              <w:t xml:space="preserve">-0.2627309</w:t>
            </w:r>
          </w:p>
        </w:tc>
        <w:tc>
          <w:p>
            <w:pPr>
              <w:pStyle w:val="Compact"/>
              <w:jc w:val="right"/>
            </w:pPr>
            <w:r>
              <w:t xml:space="preserve">0.0379501</w:t>
            </w:r>
          </w:p>
        </w:tc>
      </w:tr>
    </w:tbl>
    <w:p>
      <w:pPr>
        <w:pStyle w:val="SourceCode"/>
      </w:pPr>
      <w:r>
        <w:br w:type="textWrapping"/>
      </w:r>
      <w:r>
        <w:rPr>
          <w:rStyle w:val="VerbatimChar"/>
        </w:rPr>
        <w:t xml:space="preserve">Chi-squared test:</w:t>
      </w:r>
      <w:r>
        <w:br w:type="textWrapping"/>
      </w:r>
      <w:r>
        <w:rPr>
          <w:rStyle w:val="VerbatimChar"/>
        </w:rPr>
        <w:t xml:space="preserve">X2 = 4.059, df = 4, P(&gt; X2) = 0.3981</w:t>
      </w:r>
    </w:p>
    <w:p>
      <w:pPr>
        <w:pStyle w:val="FirstParagraph"/>
      </w:pPr>
      <w:r>
        <w:rPr>
          <w:i/>
        </w:rPr>
        <w:t xml:space="preserve">One-stage IPD-MA</w:t>
      </w:r>
    </w:p>
    <w:p>
      <w:pPr>
        <w:pStyle w:val="Heading5"/>
      </w:pPr>
      <w:bookmarkStart w:id="55" w:name="section-2"/>
      <w:bookmarkEnd w:id="55"/>
    </w:p>
    <w:p>
      <w:pPr>
        <w:pStyle w:val="Heading1"/>
      </w:pPr>
      <w:bookmarkStart w:id="56" w:name="discussion"/>
      <w:r>
        <w:t xml:space="preserve">Discussion</w:t>
      </w:r>
      <w:bookmarkEnd w:id="56"/>
    </w:p>
    <w:p>
      <w:pPr>
        <w:pStyle w:val="Heading5"/>
      </w:pPr>
      <w:bookmarkStart w:id="57" w:name="section-3"/>
      <w:bookmarkEnd w:id="57"/>
    </w:p>
    <w:p>
      <w:pPr>
        <w:pStyle w:val="Heading1"/>
      </w:pPr>
      <w:bookmarkStart w:id="58" w:name="references"/>
      <w:r>
        <w:t xml:space="preserve">References</w:t>
      </w:r>
      <w:bookmarkEnd w:id="58"/>
    </w:p>
    <w:bookmarkStart w:id="121" w:name="refs"/>
    <w:bookmarkStart w:id="60" w:name="ref-Royston_2005"/>
    <w:p>
      <w:pPr>
        <w:pStyle w:val="Bibliography"/>
      </w:pPr>
      <w:r>
        <w:t xml:space="preserve">[1] Royston P, Altman DG, Sauerbrei W. Dichotomizing continuous predictors in multiple regression: A bad idea. Statistics in Medicine 2005;25:127–41. doi:</w:t>
      </w:r>
      <w:hyperlink r:id="rId59">
        <w:r>
          <w:rPr>
            <w:rStyle w:val="Hyperlink"/>
          </w:rPr>
          <w:t xml:space="preserve">10.1002/sim.2331</w:t>
        </w:r>
      </w:hyperlink>
      <w:r>
        <w:t xml:space="preserve">.</w:t>
      </w:r>
    </w:p>
    <w:bookmarkEnd w:id="60"/>
    <w:bookmarkStart w:id="62" w:name="ref-Altman_2006"/>
    <w:p>
      <w:pPr>
        <w:pStyle w:val="Bibliography"/>
      </w:pPr>
      <w:r>
        <w:t xml:space="preserve">[2] Altman DG. The cost of dichotomising continuous variables. BMJ 2006;332:1080–0. doi:</w:t>
      </w:r>
      <w:hyperlink r:id="rId61">
        <w:r>
          <w:rPr>
            <w:rStyle w:val="Hyperlink"/>
          </w:rPr>
          <w:t xml:space="preserve">10.1136/bmj.332.7549.1080</w:t>
        </w:r>
      </w:hyperlink>
      <w:r>
        <w:t xml:space="preserve">.</w:t>
      </w:r>
    </w:p>
    <w:bookmarkEnd w:id="62"/>
    <w:bookmarkStart w:id="64"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63">
        <w:r>
          <w:rPr>
            <w:rStyle w:val="Hyperlink"/>
          </w:rPr>
          <w:t xml:space="preserve">10.1002/sim.1687</w:t>
        </w:r>
      </w:hyperlink>
      <w:r>
        <w:t xml:space="preserve">.</w:t>
      </w:r>
    </w:p>
    <w:bookmarkEnd w:id="64"/>
    <w:bookmarkStart w:id="66" w:name="ref-Maxwell_1993"/>
    <w:p>
      <w:pPr>
        <w:pStyle w:val="Bibliography"/>
      </w:pPr>
      <w:r>
        <w:t xml:space="preserve">[4] Maxwell SE, Delaney HD. Bivariate median splits and spurious statistical significance. Psychological Bulletin 1993;113:181–90. doi:</w:t>
      </w:r>
      <w:hyperlink r:id="rId65">
        <w:r>
          <w:rPr>
            <w:rStyle w:val="Hyperlink"/>
          </w:rPr>
          <w:t xml:space="preserve">10.1037/0033-2909.113.1.181</w:t>
        </w:r>
      </w:hyperlink>
      <w:r>
        <w:t xml:space="preserve">.</w:t>
      </w:r>
    </w:p>
    <w:bookmarkEnd w:id="66"/>
    <w:bookmarkStart w:id="68" w:name="ref-Weinberg_1995"/>
    <w:p>
      <w:pPr>
        <w:pStyle w:val="Bibliography"/>
      </w:pPr>
      <w:r>
        <w:t xml:space="preserve">[5] Weinberg C. How bad is categorization? Epidemiology 1995;6:345–6. doi:</w:t>
      </w:r>
      <w:hyperlink r:id="rId67">
        <w:r>
          <w:rPr>
            <w:rStyle w:val="Hyperlink"/>
          </w:rPr>
          <w:t xml:space="preserve">10.1097/00001648-199507000-00002</w:t>
        </w:r>
      </w:hyperlink>
      <w:r>
        <w:t xml:space="preserve">.</w:t>
      </w:r>
    </w:p>
    <w:bookmarkEnd w:id="68"/>
    <w:bookmarkStart w:id="70"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69">
        <w:r>
          <w:rPr>
            <w:rStyle w:val="Hyperlink"/>
          </w:rPr>
          <w:t xml:space="preserve">10.1002/oby.21615</w:t>
        </w:r>
      </w:hyperlink>
      <w:r>
        <w:t xml:space="preserve">.</w:t>
      </w:r>
    </w:p>
    <w:bookmarkEnd w:id="70"/>
    <w:bookmarkStart w:id="72" w:name="ref-Sauerbrei_2011"/>
    <w:p>
      <w:pPr>
        <w:pStyle w:val="Bibliography"/>
      </w:pPr>
      <w:r>
        <w:t xml:space="preserve">[7] Sauerbrei W, Royston P. A new strategy for meta-analysis of continuous covariates in observational studies. Statistics in Medicine 2011;30:3341–60. doi:</w:t>
      </w:r>
      <w:hyperlink r:id="rId71">
        <w:r>
          <w:rPr>
            <w:rStyle w:val="Hyperlink"/>
          </w:rPr>
          <w:t xml:space="preserve">10.1002/sim.4333</w:t>
        </w:r>
      </w:hyperlink>
      <w:r>
        <w:t xml:space="preserve">.</w:t>
      </w:r>
    </w:p>
    <w:bookmarkEnd w:id="72"/>
    <w:bookmarkStart w:id="74"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73">
        <w:r>
          <w:rPr>
            <w:rStyle w:val="Hyperlink"/>
          </w:rPr>
          <w:t xml:space="preserve">10.1002/sim.5813</w:t>
        </w:r>
      </w:hyperlink>
      <w:r>
        <w:t xml:space="preserve">.</w:t>
      </w:r>
    </w:p>
    <w:bookmarkEnd w:id="74"/>
    <w:bookmarkStart w:id="76"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75">
        <w:r>
          <w:rPr>
            <w:rStyle w:val="Hyperlink"/>
          </w:rPr>
          <w:t xml:space="preserve">10.1002/sim.7930</w:t>
        </w:r>
      </w:hyperlink>
      <w:r>
        <w:t xml:space="preserve">.</w:t>
      </w:r>
    </w:p>
    <w:bookmarkEnd w:id="76"/>
    <w:bookmarkStart w:id="78"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77">
        <w:r>
          <w:rPr>
            <w:rStyle w:val="Hyperlink"/>
          </w:rPr>
          <w:t xml:space="preserve">10.3758/s13428-017-0971-x</w:t>
        </w:r>
      </w:hyperlink>
      <w:r>
        <w:t xml:space="preserve">.</w:t>
      </w:r>
    </w:p>
    <w:bookmarkEnd w:id="78"/>
    <w:bookmarkStart w:id="80" w:name="ref-Wang_2016"/>
    <w:p>
      <w:pPr>
        <w:pStyle w:val="Bibliography"/>
      </w:pPr>
      <w:r>
        <w:t xml:space="preserve">[11] Wang XV, Cole B, Bonetti M, Gelber RD. Meta-STEPP: Subpopulation treatment effect pattern plot for individual patient data meta-analysis. Statistics in Medicine 2016;35:3704–16. doi:</w:t>
      </w:r>
      <w:hyperlink r:id="rId79">
        <w:r>
          <w:rPr>
            <w:rStyle w:val="Hyperlink"/>
          </w:rPr>
          <w:t xml:space="preserve">10.1002/sim.6958</w:t>
        </w:r>
      </w:hyperlink>
      <w:r>
        <w:t xml:space="preserve">.</w:t>
      </w:r>
    </w:p>
    <w:bookmarkEnd w:id="80"/>
    <w:bookmarkStart w:id="82" w:name="ref-Royston_2008"/>
    <w:p>
      <w:pPr>
        <w:pStyle w:val="Bibliography"/>
      </w:pPr>
      <w:r>
        <w:t xml:space="preserve">[12] Royston P, Sauerbrei W. Interactions between treatment and continuous covariates: A step toward individualizing therapy. Journal of Clinical Oncology 2008;26:1397–9. doi:</w:t>
      </w:r>
      <w:hyperlink r:id="rId81">
        <w:r>
          <w:rPr>
            <w:rStyle w:val="Hyperlink"/>
          </w:rPr>
          <w:t xml:space="preserve">10.1200/jco.2007.14.8981</w:t>
        </w:r>
      </w:hyperlink>
      <w:r>
        <w:t xml:space="preserve">.</w:t>
      </w:r>
    </w:p>
    <w:bookmarkEnd w:id="82"/>
    <w:bookmarkStart w:id="84" w:name="ref-Sun_2010"/>
    <w:p>
      <w:pPr>
        <w:pStyle w:val="Bibliography"/>
      </w:pPr>
      <w:r>
        <w:t xml:space="preserve">[13] Sun X, Briel M, Walter SD, Guyatt GH. Is a subgroup effect believable? Updating criteria to evaluate the credibility of subgroup analyses. BMJ 2010;340:c117–7. doi:</w:t>
      </w:r>
      <w:hyperlink r:id="rId83">
        <w:r>
          <w:rPr>
            <w:rStyle w:val="Hyperlink"/>
          </w:rPr>
          <w:t xml:space="preserve">10.1136/bmj.c117</w:t>
        </w:r>
      </w:hyperlink>
      <w:r>
        <w:t xml:space="preserve">.</w:t>
      </w:r>
    </w:p>
    <w:bookmarkEnd w:id="84"/>
    <w:bookmarkStart w:id="86"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85">
        <w:r>
          <w:rPr>
            <w:rStyle w:val="Hyperlink"/>
          </w:rPr>
          <w:t xml:space="preserve">10.1016/s0140-6736(06)69606-2</w:t>
        </w:r>
      </w:hyperlink>
      <w:r>
        <w:t xml:space="preserve">.</w:t>
      </w:r>
    </w:p>
    <w:bookmarkEnd w:id="86"/>
    <w:bookmarkStart w:id="88"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87">
        <w:r>
          <w:rPr>
            <w:rStyle w:val="Hyperlink"/>
          </w:rPr>
          <w:t xml:space="preserve">10.1053/j.gastro.2013.04.055</w:t>
        </w:r>
      </w:hyperlink>
      <w:r>
        <w:t xml:space="preserve">.</w:t>
      </w:r>
    </w:p>
    <w:bookmarkEnd w:id="88"/>
    <w:bookmarkStart w:id="90" w:name="ref-Breiman_2017"/>
    <w:p>
      <w:pPr>
        <w:pStyle w:val="Bibliography"/>
      </w:pPr>
      <w:r>
        <w:t xml:space="preserve">[16] Breiman L. Classification and regression trees. Routledge; 2017. doi:</w:t>
      </w:r>
      <w:hyperlink r:id="rId89">
        <w:r>
          <w:rPr>
            <w:rStyle w:val="Hyperlink"/>
          </w:rPr>
          <w:t xml:space="preserve">10.1201/9781315139470</w:t>
        </w:r>
      </w:hyperlink>
      <w:r>
        <w:t xml:space="preserve">.</w:t>
      </w:r>
    </w:p>
    <w:bookmarkEnd w:id="90"/>
    <w:bookmarkStart w:id="92" w:name="ref-Zeileis_2008"/>
    <w:p>
      <w:pPr>
        <w:pStyle w:val="Bibliography"/>
      </w:pPr>
      <w:r>
        <w:t xml:space="preserve">[17] Zeileis A, Hothorn T, Hornik K. Model-based recursive partitioning. Journal of Computational and Graphical Statistics 2008;17:492–514. doi:</w:t>
      </w:r>
      <w:hyperlink r:id="rId91">
        <w:r>
          <w:rPr>
            <w:rStyle w:val="Hyperlink"/>
          </w:rPr>
          <w:t xml:space="preserve">10.1198/106186008x319331</w:t>
        </w:r>
      </w:hyperlink>
      <w:r>
        <w:t xml:space="preserve">.</w:t>
      </w:r>
    </w:p>
    <w:bookmarkEnd w:id="92"/>
    <w:bookmarkStart w:id="94" w:name="ref-Su_2009"/>
    <w:p>
      <w:pPr>
        <w:pStyle w:val="Bibliography"/>
      </w:pPr>
      <w:r>
        <w:t xml:space="preserve">[18] Su X, Tsai C-L, Wang H, Nickerson DM, Li B. Subgroup analysis via recursive partitioning. SSRN Electronic Journal 2009. doi:</w:t>
      </w:r>
      <w:hyperlink r:id="rId93">
        <w:r>
          <w:rPr>
            <w:rStyle w:val="Hyperlink"/>
          </w:rPr>
          <w:t xml:space="preserve">10.2139/ssrn.1341380</w:t>
        </w:r>
      </w:hyperlink>
      <w:r>
        <w:t xml:space="preserve">.</w:t>
      </w:r>
    </w:p>
    <w:bookmarkEnd w:id="94"/>
    <w:bookmarkStart w:id="96" w:name="ref-Abo_Zaid_2013"/>
    <w:p>
      <w:pPr>
        <w:pStyle w:val="Bibliography"/>
      </w:pPr>
      <w:r>
        <w:t xml:space="preserve">[19] Abo-Zaid G, Guo B, Deeks JJ, Debray TP, Steyerberg EW, Moons KG, et al. Individual participant data meta-analyses should not ignore clustering. Journal of Clinical Epidemiology 2013;66:865–873.e4. doi:</w:t>
      </w:r>
      <w:hyperlink r:id="rId95">
        <w:r>
          <w:rPr>
            <w:rStyle w:val="Hyperlink"/>
          </w:rPr>
          <w:t xml:space="preserve">10.1016/j.jclinepi.2012.12.017</w:t>
        </w:r>
      </w:hyperlink>
      <w:r>
        <w:t xml:space="preserve">.</w:t>
      </w:r>
    </w:p>
    <w:bookmarkEnd w:id="96"/>
    <w:bookmarkStart w:id="98" w:name="ref-Royston_1994"/>
    <w:p>
      <w:pPr>
        <w:pStyle w:val="Bibliography"/>
      </w:pPr>
      <w:r>
        <w:t xml:space="preserve">[20] Royston P, Altman DG. Regression using fractional polynomials of continuous covariates: Parsimonious parametric modelling. Applied Statistics 1994;43:429. doi:</w:t>
      </w:r>
      <w:hyperlink r:id="rId97">
        <w:r>
          <w:rPr>
            <w:rStyle w:val="Hyperlink"/>
          </w:rPr>
          <w:t xml:space="preserve">10.2307/2986270</w:t>
        </w:r>
      </w:hyperlink>
      <w:r>
        <w:t xml:space="preserve">.</w:t>
      </w:r>
    </w:p>
    <w:bookmarkEnd w:id="98"/>
    <w:bookmarkStart w:id="100" w:name="ref-Ambler_2001"/>
    <w:p>
      <w:pPr>
        <w:pStyle w:val="Bibliography"/>
      </w:pPr>
      <w:r>
        <w:t xml:space="preserve">[21] Ambler G, Royston P. Fractional polynomial model selection procedures: Investigation of type i error rate. Journal of Statistical Computation and Simulation 2001;69:89–108. doi:</w:t>
      </w:r>
      <w:hyperlink r:id="rId99">
        <w:r>
          <w:rPr>
            <w:rStyle w:val="Hyperlink"/>
          </w:rPr>
          <w:t xml:space="preserve">10.1080/00949650108812083</w:t>
        </w:r>
      </w:hyperlink>
      <w:r>
        <w:t xml:space="preserve">.</w:t>
      </w:r>
    </w:p>
    <w:bookmarkEnd w:id="100"/>
    <w:bookmarkStart w:id="102" w:name="ref-Sauerbrei_1999"/>
    <w:p>
      <w:pPr>
        <w:pStyle w:val="Bibliography"/>
      </w:pPr>
      <w:r>
        <w:t xml:space="preserve">[22] Sauerbrei W, Royston P. Building multivariable prognostic and diagnostic models: Transformation of the predictors by using fractional polynomials. Journal of the Royal Statistical Society: Series A (Statistics in Society) 1999;162:71–94. doi:</w:t>
      </w:r>
      <w:hyperlink r:id="rId101">
        <w:r>
          <w:rPr>
            <w:rStyle w:val="Hyperlink"/>
          </w:rPr>
          <w:t xml:space="preserve">10.1111/1467-985x.00122</w:t>
        </w:r>
      </w:hyperlink>
      <w:r>
        <w:t xml:space="preserve">.</w:t>
      </w:r>
    </w:p>
    <w:bookmarkEnd w:id="102"/>
    <w:bookmarkStart w:id="104" w:name="ref-Stijnen_2007"/>
    <w:p>
      <w:pPr>
        <w:pStyle w:val="Bibliography"/>
      </w:pPr>
      <w:r>
        <w:t xml:space="preserve">[23] Stijnen T, Houwelingen JCV. Empirical bayes methods in clinical trials meta-analysis. Biometrical Journal 2007;32:335–46. doi:</w:t>
      </w:r>
      <w:hyperlink r:id="rId103">
        <w:r>
          <w:rPr>
            <w:rStyle w:val="Hyperlink"/>
          </w:rPr>
          <w:t xml:space="preserve">10.1002/bimj.4710320316</w:t>
        </w:r>
      </w:hyperlink>
      <w:r>
        <w:t xml:space="preserve">.</w:t>
      </w:r>
    </w:p>
    <w:bookmarkEnd w:id="104"/>
    <w:bookmarkStart w:id="106" w:name="ref-Hartung_2001"/>
    <w:p>
      <w:pPr>
        <w:pStyle w:val="Bibliography"/>
      </w:pPr>
      <w:r>
        <w:t xml:space="preserve">[24] Hartung J, Knapp G. A refined method for the meta-analysis of controlled clinical trials with binary outcome. Statistics in Medicine 2001;20:3875–89. doi:</w:t>
      </w:r>
      <w:hyperlink r:id="rId105">
        <w:r>
          <w:rPr>
            <w:rStyle w:val="Hyperlink"/>
          </w:rPr>
          <w:t xml:space="preserve">10.1002/sim.1009</w:t>
        </w:r>
      </w:hyperlink>
      <w:r>
        <w:t xml:space="preserve">.</w:t>
      </w:r>
    </w:p>
    <w:bookmarkEnd w:id="106"/>
    <w:bookmarkStart w:id="108" w:name="ref-IntHout_2014"/>
    <w:p>
      <w:pPr>
        <w:pStyle w:val="Bibliography"/>
      </w:pPr>
      <w:r>
        <w:t xml:space="preserve">[25] IntHout J, Ioannidis JP, Borm GF. The hartung-knapp-sidik-jonkman method for random effects meta-analysis is straightforward and considerably outperforms the standard DerSimonian-laird method. BMC Medical Research Methodology 2014;14. doi:</w:t>
      </w:r>
      <w:hyperlink r:id="rId107">
        <w:r>
          <w:rPr>
            <w:rStyle w:val="Hyperlink"/>
          </w:rPr>
          <w:t xml:space="preserve">10.1186/1471-2288-14-25</w:t>
        </w:r>
      </w:hyperlink>
      <w:r>
        <w:t xml:space="preserve">.</w:t>
      </w:r>
    </w:p>
    <w:bookmarkEnd w:id="108"/>
    <w:bookmarkStart w:id="110"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09">
        <w:r>
          <w:rPr>
            <w:rStyle w:val="Hyperlink"/>
          </w:rPr>
          <w:t xml:space="preserve">10.1002/sim.7974</w:t>
        </w:r>
      </w:hyperlink>
      <w:r>
        <w:t xml:space="preserve">.</w:t>
      </w:r>
    </w:p>
    <w:bookmarkEnd w:id="110"/>
    <w:bookmarkStart w:id="112" w:name="ref-Hua_2016"/>
    <w:p>
      <w:pPr>
        <w:pStyle w:val="Bibliography"/>
      </w:pPr>
      <w:r>
        <w:t xml:space="preserve">[27]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11">
        <w:r>
          <w:rPr>
            <w:rStyle w:val="Hyperlink"/>
          </w:rPr>
          <w:t xml:space="preserve">10.1002/sim.7171</w:t>
        </w:r>
      </w:hyperlink>
      <w:r>
        <w:t xml:space="preserve">.</w:t>
      </w:r>
    </w:p>
    <w:bookmarkEnd w:id="112"/>
    <w:bookmarkStart w:id="114" w:name="ref-Long_2010"/>
    <w:p>
      <w:pPr>
        <w:pStyle w:val="Bibliography"/>
      </w:pPr>
      <w:r>
        <w:t xml:space="preserve">[28] Long J, Ryoo J. Using fractional polynomials to model non-linear trends in longitudinal data. British Journal of Mathematical and Statistical Psychology 2010;63:177–203. doi:</w:t>
      </w:r>
      <w:hyperlink r:id="rId113">
        <w:r>
          <w:rPr>
            <w:rStyle w:val="Hyperlink"/>
          </w:rPr>
          <w:t xml:space="preserve">10.1348/000711009x431509</w:t>
        </w:r>
      </w:hyperlink>
      <w:r>
        <w:t xml:space="preserve">.</w:t>
      </w:r>
    </w:p>
    <w:bookmarkEnd w:id="114"/>
    <w:bookmarkStart w:id="116" w:name="ref-Johnson_2012"/>
    <w:p>
      <w:pPr>
        <w:pStyle w:val="Bibliography"/>
      </w:pPr>
      <w:r>
        <w:t xml:space="preserve">[29] Johnson W, Balakrishna N, Griffiths PL. Modeling physical growth using mixed effects models. American Journal of Physical Anthropology 2012;150:58–67. doi:</w:t>
      </w:r>
      <w:hyperlink r:id="rId115">
        <w:r>
          <w:rPr>
            <w:rStyle w:val="Hyperlink"/>
          </w:rPr>
          <w:t xml:space="preserve">10.1002/ajpa.22128</w:t>
        </w:r>
      </w:hyperlink>
      <w:r>
        <w:t xml:space="preserve">.</w:t>
      </w:r>
    </w:p>
    <w:bookmarkEnd w:id="116"/>
    <w:bookmarkStart w:id="118" w:name="ref-Akaike_1974"/>
    <w:p>
      <w:pPr>
        <w:pStyle w:val="Bibliography"/>
      </w:pPr>
      <w:r>
        <w:t xml:space="preserve">[30] Akaike H. A new look at the statistical model identification. In:. Springer series in statistics, Springer New York; 1974, pp. 215–22. doi:</w:t>
      </w:r>
      <w:hyperlink r:id="rId117">
        <w:r>
          <w:rPr>
            <w:rStyle w:val="Hyperlink"/>
          </w:rPr>
          <w:t xml:space="preserve">10.1007/978-1-4612-1694-0_16</w:t>
        </w:r>
      </w:hyperlink>
      <w:r>
        <w:t xml:space="preserve">.</w:t>
      </w:r>
    </w:p>
    <w:bookmarkEnd w:id="118"/>
    <w:bookmarkStart w:id="120" w:name="ref-Schwarz_1978"/>
    <w:p>
      <w:pPr>
        <w:pStyle w:val="Bibliography"/>
      </w:pPr>
      <w:r>
        <w:t xml:space="preserve">[31] Schwarz G. Estimating the dimension of a model. The Annals of Statistics 1978;6:461–4. doi:</w:t>
      </w:r>
      <w:hyperlink r:id="rId119">
        <w:r>
          <w:rPr>
            <w:rStyle w:val="Hyperlink"/>
          </w:rPr>
          <w:t xml:space="preserve">10.1214/aos/1176344136</w:t>
        </w:r>
      </w:hyperlink>
      <w:r>
        <w:t xml:space="preserve">.</w:t>
      </w:r>
    </w:p>
    <w:bookmarkEnd w:id="120"/>
    <w:bookmarkEnd w:id="121"/>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722a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f6d005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4bc30d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115" Target="https://doi.org/10.1002/ajpa.22128" TargetMode="External" /><Relationship Type="http://schemas.openxmlformats.org/officeDocument/2006/relationships/hyperlink" Id="rId103" Target="https://doi.org/10.1002/bimj.4710320316" TargetMode="External" /><Relationship Type="http://schemas.openxmlformats.org/officeDocument/2006/relationships/hyperlink" Id="rId69" Target="https://doi.org/10.1002/oby.21615" TargetMode="External" /><Relationship Type="http://schemas.openxmlformats.org/officeDocument/2006/relationships/hyperlink" Id="rId105" Target="https://doi.org/10.1002/sim.1009" TargetMode="External" /><Relationship Type="http://schemas.openxmlformats.org/officeDocument/2006/relationships/hyperlink" Id="rId63" Target="https://doi.org/10.1002/sim.1687" TargetMode="External" /><Relationship Type="http://schemas.openxmlformats.org/officeDocument/2006/relationships/hyperlink" Id="rId59" Target="https://doi.org/10.1002/sim.2331" TargetMode="External" /><Relationship Type="http://schemas.openxmlformats.org/officeDocument/2006/relationships/hyperlink" Id="rId71" Target="https://doi.org/10.1002/sim.4333" TargetMode="External" /><Relationship Type="http://schemas.openxmlformats.org/officeDocument/2006/relationships/hyperlink" Id="rId73" Target="https://doi.org/10.1002/sim.5813" TargetMode="External" /><Relationship Type="http://schemas.openxmlformats.org/officeDocument/2006/relationships/hyperlink" Id="rId79" Target="https://doi.org/10.1002/sim.6958" TargetMode="External" /><Relationship Type="http://schemas.openxmlformats.org/officeDocument/2006/relationships/hyperlink" Id="rId111" Target="https://doi.org/10.1002/sim.7171" TargetMode="External" /><Relationship Type="http://schemas.openxmlformats.org/officeDocument/2006/relationships/hyperlink" Id="rId75" Target="https://doi.org/10.1002/sim.7930" TargetMode="External" /><Relationship Type="http://schemas.openxmlformats.org/officeDocument/2006/relationships/hyperlink" Id="rId109" Target="https://doi.org/10.1002/sim.7974" TargetMode="External" /><Relationship Type="http://schemas.openxmlformats.org/officeDocument/2006/relationships/hyperlink" Id="rId117" Target="https://doi.org/10.1007/978-1-4612-1694-0_16" TargetMode="External" /><Relationship Type="http://schemas.openxmlformats.org/officeDocument/2006/relationships/hyperlink" Id="rId95" Target="https://doi.org/10.1016/j.jclinepi.2012.12.017" TargetMode="External" /><Relationship Type="http://schemas.openxmlformats.org/officeDocument/2006/relationships/hyperlink" Id="rId85" Target="https://doi.org/10.1016/s0140-6736(06)69606-2" TargetMode="External" /><Relationship Type="http://schemas.openxmlformats.org/officeDocument/2006/relationships/hyperlink" Id="rId65" Target="https://doi.org/10.1037/0033-2909.113.1.181" TargetMode="External" /><Relationship Type="http://schemas.openxmlformats.org/officeDocument/2006/relationships/hyperlink" Id="rId87" Target="https://doi.org/10.1053/j.gastro.2013.04.055" TargetMode="External" /><Relationship Type="http://schemas.openxmlformats.org/officeDocument/2006/relationships/hyperlink" Id="rId99" Target="https://doi.org/10.1080/00949650108812083" TargetMode="External" /><Relationship Type="http://schemas.openxmlformats.org/officeDocument/2006/relationships/hyperlink" Id="rId67" Target="https://doi.org/10.1097/00001648-199507000-00002" TargetMode="External" /><Relationship Type="http://schemas.openxmlformats.org/officeDocument/2006/relationships/hyperlink" Id="rId101" Target="https://doi.org/10.1111/1467-985x.00122" TargetMode="External" /><Relationship Type="http://schemas.openxmlformats.org/officeDocument/2006/relationships/hyperlink" Id="rId61" Target="https://doi.org/10.1136/bmj.332.7549.1080" TargetMode="External" /><Relationship Type="http://schemas.openxmlformats.org/officeDocument/2006/relationships/hyperlink" Id="rId83" Target="https://doi.org/10.1136/bmj.c117" TargetMode="External" /><Relationship Type="http://schemas.openxmlformats.org/officeDocument/2006/relationships/hyperlink" Id="rId107" Target="https://doi.org/10.1186/1471-2288-14-25" TargetMode="External" /><Relationship Type="http://schemas.openxmlformats.org/officeDocument/2006/relationships/hyperlink" Id="rId91" Target="https://doi.org/10.1198/106186008x319331" TargetMode="External" /><Relationship Type="http://schemas.openxmlformats.org/officeDocument/2006/relationships/hyperlink" Id="rId81" Target="https://doi.org/10.1200/jco.2007.14.8981" TargetMode="External" /><Relationship Type="http://schemas.openxmlformats.org/officeDocument/2006/relationships/hyperlink" Id="rId89" Target="https://doi.org/10.1201/9781315139470" TargetMode="External" /><Relationship Type="http://schemas.openxmlformats.org/officeDocument/2006/relationships/hyperlink" Id="rId119" Target="https://doi.org/10.1214/aos/1176344136" TargetMode="External" /><Relationship Type="http://schemas.openxmlformats.org/officeDocument/2006/relationships/hyperlink" Id="rId113" Target="https://doi.org/10.1348/000711009x431509" TargetMode="External" /><Relationship Type="http://schemas.openxmlformats.org/officeDocument/2006/relationships/hyperlink" Id="rId93" Target="https://doi.org/10.2139/ssrn.1341380" TargetMode="External" /><Relationship Type="http://schemas.openxmlformats.org/officeDocument/2006/relationships/hyperlink" Id="rId97" Target="https://doi.org/10.2307/2986270" TargetMode="External" /><Relationship Type="http://schemas.openxmlformats.org/officeDocument/2006/relationships/hyperlink" Id="rId77"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15" Target="https://doi.org/10.1002/ajpa.22128" TargetMode="External" /><Relationship Type="http://schemas.openxmlformats.org/officeDocument/2006/relationships/hyperlink" Id="rId103" Target="https://doi.org/10.1002/bimj.4710320316" TargetMode="External" /><Relationship Type="http://schemas.openxmlformats.org/officeDocument/2006/relationships/hyperlink" Id="rId69" Target="https://doi.org/10.1002/oby.21615" TargetMode="External" /><Relationship Type="http://schemas.openxmlformats.org/officeDocument/2006/relationships/hyperlink" Id="rId105" Target="https://doi.org/10.1002/sim.1009" TargetMode="External" /><Relationship Type="http://schemas.openxmlformats.org/officeDocument/2006/relationships/hyperlink" Id="rId63" Target="https://doi.org/10.1002/sim.1687" TargetMode="External" /><Relationship Type="http://schemas.openxmlformats.org/officeDocument/2006/relationships/hyperlink" Id="rId59" Target="https://doi.org/10.1002/sim.2331" TargetMode="External" /><Relationship Type="http://schemas.openxmlformats.org/officeDocument/2006/relationships/hyperlink" Id="rId71" Target="https://doi.org/10.1002/sim.4333" TargetMode="External" /><Relationship Type="http://schemas.openxmlformats.org/officeDocument/2006/relationships/hyperlink" Id="rId73" Target="https://doi.org/10.1002/sim.5813" TargetMode="External" /><Relationship Type="http://schemas.openxmlformats.org/officeDocument/2006/relationships/hyperlink" Id="rId79" Target="https://doi.org/10.1002/sim.6958" TargetMode="External" /><Relationship Type="http://schemas.openxmlformats.org/officeDocument/2006/relationships/hyperlink" Id="rId111" Target="https://doi.org/10.1002/sim.7171" TargetMode="External" /><Relationship Type="http://schemas.openxmlformats.org/officeDocument/2006/relationships/hyperlink" Id="rId75" Target="https://doi.org/10.1002/sim.7930" TargetMode="External" /><Relationship Type="http://schemas.openxmlformats.org/officeDocument/2006/relationships/hyperlink" Id="rId109" Target="https://doi.org/10.1002/sim.7974" TargetMode="External" /><Relationship Type="http://schemas.openxmlformats.org/officeDocument/2006/relationships/hyperlink" Id="rId117" Target="https://doi.org/10.1007/978-1-4612-1694-0_16" TargetMode="External" /><Relationship Type="http://schemas.openxmlformats.org/officeDocument/2006/relationships/hyperlink" Id="rId95" Target="https://doi.org/10.1016/j.jclinepi.2012.12.017" TargetMode="External" /><Relationship Type="http://schemas.openxmlformats.org/officeDocument/2006/relationships/hyperlink" Id="rId85" Target="https://doi.org/10.1016/s0140-6736(06)69606-2" TargetMode="External" /><Relationship Type="http://schemas.openxmlformats.org/officeDocument/2006/relationships/hyperlink" Id="rId65" Target="https://doi.org/10.1037/0033-2909.113.1.181" TargetMode="External" /><Relationship Type="http://schemas.openxmlformats.org/officeDocument/2006/relationships/hyperlink" Id="rId87" Target="https://doi.org/10.1053/j.gastro.2013.04.055" TargetMode="External" /><Relationship Type="http://schemas.openxmlformats.org/officeDocument/2006/relationships/hyperlink" Id="rId99" Target="https://doi.org/10.1080/00949650108812083" TargetMode="External" /><Relationship Type="http://schemas.openxmlformats.org/officeDocument/2006/relationships/hyperlink" Id="rId67" Target="https://doi.org/10.1097/00001648-199507000-00002" TargetMode="External" /><Relationship Type="http://schemas.openxmlformats.org/officeDocument/2006/relationships/hyperlink" Id="rId101" Target="https://doi.org/10.1111/1467-985x.00122" TargetMode="External" /><Relationship Type="http://schemas.openxmlformats.org/officeDocument/2006/relationships/hyperlink" Id="rId61" Target="https://doi.org/10.1136/bmj.332.7549.1080" TargetMode="External" /><Relationship Type="http://schemas.openxmlformats.org/officeDocument/2006/relationships/hyperlink" Id="rId83" Target="https://doi.org/10.1136/bmj.c117" TargetMode="External" /><Relationship Type="http://schemas.openxmlformats.org/officeDocument/2006/relationships/hyperlink" Id="rId107" Target="https://doi.org/10.1186/1471-2288-14-25" TargetMode="External" /><Relationship Type="http://schemas.openxmlformats.org/officeDocument/2006/relationships/hyperlink" Id="rId91" Target="https://doi.org/10.1198/106186008x319331" TargetMode="External" /><Relationship Type="http://schemas.openxmlformats.org/officeDocument/2006/relationships/hyperlink" Id="rId81" Target="https://doi.org/10.1200/jco.2007.14.8981" TargetMode="External" /><Relationship Type="http://schemas.openxmlformats.org/officeDocument/2006/relationships/hyperlink" Id="rId89" Target="https://doi.org/10.1201/9781315139470" TargetMode="External" /><Relationship Type="http://schemas.openxmlformats.org/officeDocument/2006/relationships/hyperlink" Id="rId119" Target="https://doi.org/10.1214/aos/1176344136" TargetMode="External" /><Relationship Type="http://schemas.openxmlformats.org/officeDocument/2006/relationships/hyperlink" Id="rId113" Target="https://doi.org/10.1348/000711009x431509" TargetMode="External" /><Relationship Type="http://schemas.openxmlformats.org/officeDocument/2006/relationships/hyperlink" Id="rId93" Target="https://doi.org/10.2139/ssrn.1341380" TargetMode="External" /><Relationship Type="http://schemas.openxmlformats.org/officeDocument/2006/relationships/hyperlink" Id="rId97" Target="https://doi.org/10.2307/2986270" TargetMode="External" /><Relationship Type="http://schemas.openxmlformats.org/officeDocument/2006/relationships/hyperlink" Id="rId77"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2018-11-02T17:54:52Z</dcterms:created>
  <dcterms:modified xsi:type="dcterms:W3CDTF">2018-11-02T17:54:52Z</dcterms:modified>
</cp:coreProperties>
</file>