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14</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confirmatory hypothesis testing may be conducted.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A common technique is to categorise the continuous covariate. Thereto, subgroups are generated using prior knowledge driven from literature. Nevertheless,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 (FPs)</w:t>
      </w:r>
      <w:r>
        <w:t xml:space="preserve"> </w:t>
      </w:r>
      <w:r>
        <w:t xml:space="preserve">[7]</w:t>
      </w:r>
      <w:r>
        <w:t xml:space="preserve"> </w:t>
      </w:r>
      <w:r>
        <w:t xml:space="preserve">and splines.</w:t>
      </w:r>
    </w:p>
    <w:p>
      <w:pPr>
        <w:pStyle w:val="Compact"/>
      </w:pPr>
      <w:r>
        <w:t xml:space="preserve">Regression based approaches such as: linear models, piecewise polynomials or fractional polynomials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covariates.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and confirming effect modification. Generalised linear mixed-effects model trees (glmertree) introduced by Fokkema et al.</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cut-points in which the treatment effect is altered. These cut-points may be altered if the assumptions are altered or if the outcome-effect modifier functional form is mis-specified.</w:t>
      </w:r>
    </w:p>
    <w:p>
      <w:pPr>
        <w:pStyle w:val="BodyText"/>
      </w:pPr>
      <w:r>
        <w:t xml:space="preserve">It is often unclear when each method should be preferred. Also, it is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and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w:t>
      </w:r>
    </w:p>
    <w:p>
      <w:pPr>
        <w:pStyle w:val="Heading1"/>
      </w:pPr>
      <w:bookmarkStart w:id="28" w:name="data"/>
      <w:r>
        <w:t xml:space="preserve">2. Data</w:t>
      </w:r>
      <w:bookmarkEnd w:id="28"/>
    </w:p>
    <w:p>
      <w:pPr>
        <w:pStyle w:val="FirstParagraph"/>
      </w:pPr>
      <w:r>
        <w:t xml:space="preserve">We use 2 empirical IPD-sets.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investigating the effect of somatostatin in the liver volume reduction. Gevers et al. collected IPD from 3 randomised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therefore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We are denoting the studies as j = 1,2,…,J, individuals as i=1,2…,I, the per trial mean of age as</w:t>
      </w:r>
      <w:r>
        <w:t xml:space="preserve"> </w:t>
      </w:r>
      <m:oMath>
        <m:bar>
          <m:barPr>
            <m:pos m:val="top"/>
          </m:barPr>
          <m:e>
            <m:r>
              <m:t>A</m:t>
            </m:r>
            <m:r>
              <m:t>g</m:t>
            </m:r>
            <m:sSub>
              <m:e>
                <m:r>
                  <m:t>e</m:t>
                </m:r>
              </m:e>
              <m:sub>
                <m:r>
                  <m:t>j</m:t>
                </m:r>
              </m:sub>
            </m:sSub>
          </m:e>
        </m:bar>
      </m:oMath>
      <w:r>
        <w:t xml:space="preserve">, cut-point as</w:t>
      </w:r>
      <w:r>
        <w:t xml:space="preserve"> </w:t>
      </w:r>
      <m:oMath>
        <m:r>
          <m:t>κ</m:t>
        </m:r>
      </m:oMath>
    </w:p>
    <w:p>
      <w:pPr>
        <w:pStyle w:val="Heading2"/>
      </w:pPr>
      <w:bookmarkStart w:id="31" w:name="recursive-partitioning-tree-based-methods"/>
      <w:r>
        <w:t xml:space="preserve">3.2. Recursive-partitioning (tree-based) methods</w:t>
      </w:r>
      <w:bookmarkEnd w:id="31"/>
    </w:p>
    <w:p>
      <w:pPr>
        <w:pStyle w:val="Heading3"/>
      </w:pPr>
      <w:bookmarkStart w:id="32" w:name="generalised-linear-mixed-model-trees-glmm-or-glmer-trees"/>
      <w:r>
        <w:t xml:space="preserve">3.2.1 Generalised Linear Mixed Model Trees (glmm or glmer trees)</w:t>
      </w:r>
      <w:bookmarkEnd w:id="32"/>
    </w:p>
    <w:p>
      <w:pPr>
        <w:pStyle w:val="FirstParagraph"/>
      </w:pPr>
      <w:r>
        <w:t xml:space="preserve">Generalised linear mixed model trees approach is a state-of-the-art technique, proposed by Fokkema et al</w:t>
      </w:r>
      <w:r>
        <w:t xml:space="preserve"> </w:t>
      </w:r>
      <w:r>
        <w:t xml:space="preserve">[10]</w:t>
      </w:r>
      <w:r>
        <w:t xml:space="preserve"> </w:t>
      </w:r>
      <w:r>
        <w:t xml:space="preserve">for the detection of treatment-effect modifier interaction. A model-based recursive partitioning</w:t>
      </w:r>
      <w:r>
        <w:t xml:space="preserve"> </w:t>
      </w:r>
      <w:r>
        <w:t xml:space="preserve">[16,17]</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5"/>
      </w:pPr>
      <w:bookmarkStart w:id="33" w:name="section-1"/>
      <w:bookmarkEnd w:id="33"/>
    </w:p>
    <w:p>
      <w:pPr>
        <w:pStyle w:val="Heading2"/>
      </w:pPr>
      <w:bookmarkStart w:id="34" w:name="regression-based-approaches"/>
      <w:r>
        <w:t xml:space="preserve">3.3 Regression based approaches</w:t>
      </w:r>
      <w:bookmarkEnd w:id="34"/>
    </w:p>
    <w:p>
      <w:pPr>
        <w:pStyle w:val="FirstParagraph"/>
      </w:pPr>
      <w:r>
        <w:t xml:space="preserve">We identify 2 assumptions that a researcher may apriori have. The first is over the functional form the association of the outcome with the continuous covariate have and the second one over the cut-points known also as cut-offs or knots, where the effect is modified. In this framework, we consider that given the assumptions made we may choose the appropriate analysis to perform.</w:t>
      </w:r>
    </w:p>
    <w:p>
      <w:pPr>
        <w:pStyle w:val="CaptionedFigure"/>
      </w:pPr>
      <w:r>
        <w:drawing>
          <wp:inline>
            <wp:extent cx="5943600" cy="2595862"/>
            <wp:effectExtent b="0" l="0" r="0" t="0"/>
            <wp:docPr descr="Table 1" title="" id="1" name="Picture"/>
            <a:graphic>
              <a:graphicData uri="http://schemas.openxmlformats.org/drawingml/2006/picture">
                <pic:pic>
                  <pic:nvPicPr>
                    <pic:cNvPr descr="Figs/Assumption.png" id="0" name="Picture"/>
                    <pic:cNvPicPr>
                      <a:picLocks noChangeArrowheads="1" noChangeAspect="1"/>
                    </pic:cNvPicPr>
                  </pic:nvPicPr>
                  <pic:blipFill>
                    <a:blip r:embed="rId35"/>
                    <a:stretch>
                      <a:fillRect/>
                    </a:stretch>
                  </pic:blipFill>
                  <pic:spPr bwMode="auto">
                    <a:xfrm>
                      <a:off x="0" y="0"/>
                      <a:ext cx="5943600" cy="2595862"/>
                    </a:xfrm>
                    <a:prstGeom prst="rect">
                      <a:avLst/>
                    </a:prstGeom>
                    <a:noFill/>
                    <a:ln w="9525">
                      <a:noFill/>
                      <a:headEnd/>
                      <a:tailEnd/>
                    </a:ln>
                  </pic:spPr>
                </pic:pic>
              </a:graphicData>
            </a:graphic>
          </wp:inline>
        </w:drawing>
      </w:r>
    </w:p>
    <w:p>
      <w:pPr>
        <w:pStyle w:val="ImageCaption"/>
      </w:pPr>
      <w:r>
        <w:t xml:space="preserve">Table 1</w:t>
      </w:r>
    </w:p>
    <w:p>
      <w:pPr>
        <w:pStyle w:val="Heading3"/>
      </w:pPr>
      <w:bookmarkStart w:id="36" w:name="two-stage-approaches"/>
      <w:r>
        <w:t xml:space="preserve">3.3.1. Two-stage approaches</w:t>
      </w:r>
      <w:bookmarkEnd w:id="36"/>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BodyText"/>
      </w:pPr>
      <m:oMath>
        <m:r>
          <m:t>g</m:t>
        </m:r>
        <m:r>
          <m:t>(</m:t>
        </m:r>
        <m:sSub>
          <m:e>
            <m:r>
              <m:t>Y</m:t>
            </m:r>
          </m:e>
          <m:sub>
            <m:r>
              <m:t>i</m:t>
            </m:r>
            <m:r>
              <m:t>j</m:t>
            </m:r>
          </m:sub>
        </m:sSub>
        <m:r>
          <m:t>)</m:t>
        </m:r>
        <m:r>
          <m:t>=</m:t>
        </m:r>
        <m:sSub>
          <m:e>
            <m:r>
              <m:t>f</m:t>
            </m:r>
          </m:e>
          <m:sub>
            <m:r>
              <m:t>1</m:t>
            </m:r>
            <m:r>
              <m:t>j</m:t>
            </m:r>
          </m:sub>
        </m:sSub>
        <m:r>
          <m:t>(</m:t>
        </m:r>
        <m:r>
          <m:t>X</m:t>
        </m:r>
        <m:r>
          <m:t>)</m:t>
        </m:r>
        <m:r>
          <m:t>+</m:t>
        </m:r>
        <m:sSub>
          <m:e>
            <m:r>
              <m:t>f</m:t>
            </m:r>
          </m:e>
          <m:sub>
            <m:r>
              <m:t>2</m:t>
            </m:r>
            <m:r>
              <m:t>j</m:t>
            </m:r>
          </m:sub>
        </m:sSub>
        <m:r>
          <m:t>(</m:t>
        </m:r>
        <m:r>
          <m:t>A</m:t>
        </m:r>
        <m:r>
          <m:t>g</m:t>
        </m:r>
        <m:r>
          <m:t>e</m:t>
        </m:r>
        <m:r>
          <m:t>)</m:t>
        </m:r>
        <m:r>
          <m:t>×</m:t>
        </m:r>
        <m:r>
          <m:t>T</m:t>
        </m:r>
        <m:r>
          <m:t>r</m:t>
        </m:r>
        <m:r>
          <m:t>e</m:t>
        </m:r>
        <m:r>
          <m:t>a</m:t>
        </m:r>
        <m:r>
          <m:t>t</m:t>
        </m:r>
        <m:r>
          <m:t>m</m:t>
        </m:r>
        <m:r>
          <m:t>e</m:t>
        </m:r>
        <m:r>
          <m:t>n</m:t>
        </m:r>
        <m:r>
          <m:t>t</m:t>
        </m:r>
      </m:oMath>
    </w:p>
    <w:p>
      <w:pPr>
        <w:pStyle w:val="BodyText"/>
      </w:pPr>
      <w:r>
        <w:t xml:space="preserve">Subsequently, we can either pool the coefficients or the fitted functions using typical meta-analytical tools.</w:t>
      </w:r>
    </w:p>
    <w:p>
      <w:pPr>
        <w:pStyle w:val="Heading4"/>
      </w:pPr>
      <w:bookmarkStart w:id="37" w:name="first-stage-per-trial-modeling"/>
      <w:r>
        <w:t xml:space="preserve">3.3.1.1 First stage: Per-trial modeling</w:t>
      </w:r>
      <w:bookmarkEnd w:id="37"/>
    </w:p>
    <w:p>
      <w:pPr>
        <w:pStyle w:val="FirstParagraph"/>
      </w:pPr>
      <w:r>
        <w:t xml:space="preserve">The functions</w:t>
      </w:r>
      <w:r>
        <w:t xml:space="preserve"> </w:t>
      </w:r>
      <m:oMath>
        <m:sSub>
          <m:e>
            <m:r>
              <m:t>f</m:t>
            </m:r>
          </m:e>
          <m:sub>
            <m:r>
              <m:t>1</m:t>
            </m:r>
            <m:r>
              <m:t>j</m:t>
            </m:r>
          </m:sub>
        </m:sSub>
        <m:r>
          <m:t>,</m:t>
        </m:r>
        <m:sSub>
          <m:e>
            <m:r>
              <m:t>f</m:t>
            </m:r>
          </m:e>
          <m:sub>
            <m:r>
              <m:t>2</m:t>
            </m:r>
            <m:r>
              <m:t>j</m:t>
            </m:r>
          </m:sub>
        </m:sSub>
      </m:oMath>
      <w:r>
        <w:t xml:space="preserve"> </w:t>
      </w:r>
      <w:r>
        <w:t xml:space="preserve">are providing the functional shape of the outcome-effect modifier association per trial j for the treated and the control respectively. Depending on the apriori knowledge of the association’s functional form and the cut-points where the effect is altered we may fit.</w:t>
      </w:r>
    </w:p>
    <w:p>
      <w:pPr>
        <w:pStyle w:val="BodyText"/>
      </w:pPr>
      <w:r>
        <w:rPr>
          <w:i/>
        </w:rPr>
        <w:t xml:space="preserve">Known functional form and known cut-points</w:t>
      </w:r>
    </w:p>
    <w:p>
      <w:pPr>
        <w:pStyle w:val="Compact"/>
        <w:numPr>
          <w:numId w:val="1002"/>
          <w:ilvl w:val="0"/>
        </w:numPr>
      </w:pPr>
      <w:r>
        <w:t xml:space="preserve">Piecewise-polynomials with m cut-points (knots)</w:t>
      </w:r>
    </w:p>
    <w:p>
      <w:pPr>
        <w:pStyle w:val="Compact"/>
      </w:pPr>
      <m:oMathPara>
        <m:oMathParaPr>
          <m:jc m:val="center"/>
        </m:oMathParaPr>
        <m:oMath>
          <m:sSub>
            <m:e>
              <m:r>
                <m:t>f</m:t>
              </m:r>
            </m:e>
            <m:sub>
              <m:r>
                <m:t>1</m:t>
              </m:r>
            </m:sub>
          </m:sSub>
          <m:r>
            <m:t>=</m:t>
          </m:r>
          <m:nary>
            <m:naryPr>
              <m:chr m:val="∑"/>
              <m:limLoc m:val="undOvr"/>
              <m:subHide m:val="0"/>
              <m:supHide m:val="0"/>
            </m:naryPr>
            <m:sub>
              <m:r>
                <m:t>κ</m:t>
              </m:r>
              <m:r>
                <m:t>=</m:t>
              </m:r>
              <m:r>
                <m:t>1</m:t>
              </m:r>
            </m:sub>
            <m:sup>
              <m:r>
                <m:t>κ</m:t>
              </m:r>
              <m:r>
                <m:t>=</m:t>
              </m:r>
              <m:r>
                <m:t>m</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κ</m:t>
              </m:r>
              <m:r>
                <m:t>=</m:t>
              </m:r>
              <m:r>
                <m:t>1</m:t>
              </m:r>
            </m:sub>
            <m:sup>
              <m:r>
                <m:t>κ</m:t>
              </m:r>
              <m:r>
                <m:t>=</m:t>
              </m:r>
              <m:r>
                <m:t>m</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1"/>
        </w:numPr>
      </w:pPr>
      <w:r>
        <w:t xml:space="preserve">Piecewise intercept: within each interval</w:t>
      </w:r>
      <w:r>
        <w:t xml:space="preserve"> </w:t>
      </w:r>
      <m:oMath>
        <m:r>
          <m:t>ω</m:t>
        </m:r>
      </m:oMath>
      <w:r>
        <w:t xml:space="preserve"> </w:t>
      </w:r>
      <w:r>
        <w:t xml:space="preserve">both f1, f2 have the form of</w:t>
      </w:r>
      <w:r>
        <w:t xml:space="preserve"> </w:t>
      </w:r>
      <m:oMath>
        <m:sSub>
          <m:e>
            <m:r>
              <m:t>β</m:t>
            </m:r>
          </m:e>
          <m:sub>
            <m:r>
              <m:t>ω</m:t>
            </m:r>
          </m:sub>
        </m:sSub>
      </m:oMath>
      <w:r>
        <w:t xml:space="preserve"> </w:t>
      </w:r>
      <w:r>
        <w:t xml:space="preserve">(for k=2 equivalent to Dichotomisation and for k&gt;2 categorisation)</w:t>
      </w:r>
    </w:p>
    <w:p>
      <w:pPr>
        <w:pStyle w:val="Compact"/>
        <w:numPr>
          <w:numId w:val="1003"/>
          <w:ilvl w:val="1"/>
        </w:numPr>
      </w:pPr>
      <w:r>
        <w:t xml:space="preserve">Piece-linear: within each interval</w:t>
      </w:r>
      <w:r>
        <w:t xml:space="preserve"> </w:t>
      </w:r>
      <m:oMath>
        <m:r>
          <m:t>ω</m:t>
        </m:r>
      </m:oMath>
      <w:r>
        <w:t xml:space="preserve"> </w:t>
      </w:r>
      <w:r>
        <w:t xml:space="preserve">both f1, f2 have the form of</w:t>
      </w:r>
      <w:r>
        <w:t xml:space="preserve"> </w:t>
      </w:r>
      <m:oMath>
        <m:sSub>
          <m:e>
            <m:r>
              <m:t>β</m:t>
            </m:r>
          </m:e>
          <m:sub>
            <m:r>
              <m:t>ω</m:t>
            </m:r>
          </m:sub>
        </m:sSub>
        <m:r>
          <m:t>×</m:t>
        </m:r>
        <m:r>
          <m:t>X</m:t>
        </m:r>
      </m:oMath>
    </w:p>
    <w:p>
      <w:pPr>
        <w:pStyle w:val="Compact"/>
        <w:numPr>
          <w:numId w:val="1003"/>
          <w:ilvl w:val="1"/>
        </w:numPr>
      </w:pPr>
      <w:r>
        <w:t xml:space="preserve">Piece-linear: within each interval</w:t>
      </w:r>
      <w:r>
        <w:t xml:space="preserve"> </w:t>
      </w:r>
      <m:oMath>
        <m:r>
          <m:t>ω</m:t>
        </m:r>
      </m:oMath>
      <w:r>
        <w:t xml:space="preserve"> </w:t>
      </w:r>
      <w:r>
        <w:t xml:space="preserve">both f1, f2 have the form of</w:t>
      </w:r>
      <w:r>
        <w:t xml:space="preserve"> </w:t>
      </w:r>
      <m:oMath>
        <m:sSub>
          <m:e>
            <m:r>
              <m:t>β</m:t>
            </m:r>
          </m:e>
          <m:sub>
            <m:r>
              <m:t>ω</m:t>
            </m:r>
          </m:sub>
        </m:sSub>
        <m:r>
          <m:t>×</m:t>
        </m:r>
        <m:sSup>
          <m:e>
            <m:r>
              <m:t>X</m:t>
            </m:r>
          </m:e>
          <m:sup>
            <m:r>
              <m:t>2</m:t>
            </m:r>
          </m:sup>
        </m:sSup>
      </m:oMath>
    </w:p>
    <w:p>
      <w:pPr>
        <w:pStyle w:val="FirstParagraph"/>
      </w:pPr>
      <w:r>
        <w:rPr>
          <w:i/>
        </w:rPr>
        <w:t xml:space="preserve">Known functional form and unknown cut-points</w:t>
      </w:r>
    </w:p>
    <w:p>
      <w:pPr>
        <w:pStyle w:val="Compact"/>
        <w:numPr>
          <w:numId w:val="1004"/>
          <w:ilvl w:val="0"/>
        </w:numPr>
      </w:pPr>
      <w:r>
        <w:t xml:space="preserve">Global-polynomials:</w:t>
      </w:r>
    </w:p>
    <w:p>
      <w:pPr>
        <w:pStyle w:val="Compact"/>
      </w:pPr>
      <m:oMathPara>
        <m:oMathParaPr>
          <m:jc m:val="center"/>
        </m:oMathParaPr>
        <m:oMath>
          <m:sSub>
            <m:e>
              <m:r>
                <m:t>f</m:t>
              </m:r>
            </m:e>
            <m:sub>
              <m:r>
                <m:t>1</m:t>
              </m:r>
            </m:sub>
          </m:sSub>
          <m:r>
            <m:t>=</m:t>
          </m:r>
          <m:nary>
            <m:naryPr>
              <m:chr m:val="∑"/>
              <m:limLoc m:val="undOvr"/>
              <m:subHide m:val="0"/>
              <m:supHide m:val="0"/>
            </m:naryPr>
            <m:sub>
              <m:r>
                <m:t>p</m:t>
              </m:r>
              <m:r>
                <m:t>=</m:t>
              </m:r>
              <m:r>
                <m:t>1</m:t>
              </m:r>
            </m:sub>
            <m:sup>
              <m:r>
                <m:t>p</m:t>
              </m:r>
              <m:r>
                <m:t>=</m:t>
              </m:r>
              <m:r>
                <m:t>m</m:t>
              </m:r>
            </m:sup>
            <m:e>
              <m:sSub>
                <m:e>
                  <m:r>
                    <m:t>β</m:t>
                  </m:r>
                </m:e>
                <m:sub>
                  <m:r>
                    <m:t>1</m:t>
                  </m:r>
                  <m:r>
                    <m:t>p</m:t>
                  </m:r>
                </m:sub>
              </m:sSub>
            </m:e>
          </m:nary>
          <m:r>
            <m:t>×</m:t>
          </m:r>
          <m:sSup>
            <m:e>
              <m:r>
                <m:t>X</m:t>
              </m:r>
            </m:e>
            <m:sup>
              <m:r>
                <m:t>p</m:t>
              </m:r>
            </m:sup>
          </m:sSup>
        </m:oMath>
      </m:oMathPara>
    </w:p>
    <w:p>
      <w:pPr>
        <w:pStyle w:val="Compact"/>
      </w:pPr>
      <m:oMathPara>
        <m:oMathParaPr>
          <m:jc m:val="center"/>
        </m:oMathParaPr>
        <m:oMath>
          <m:sSub>
            <m:e>
              <m:r>
                <m:t>f</m:t>
              </m:r>
            </m:e>
            <m:sub>
              <m:r>
                <m:t>2</m:t>
              </m:r>
            </m:sub>
          </m:sSub>
          <m:r>
            <m:t>=</m:t>
          </m:r>
          <m:nary>
            <m:naryPr>
              <m:chr m:val="∑"/>
              <m:limLoc m:val="undOvr"/>
              <m:subHide m:val="0"/>
              <m:supHide m:val="0"/>
            </m:naryPr>
            <m:sub>
              <m:r>
                <m:t>p</m:t>
              </m:r>
              <m:r>
                <m:t>=</m:t>
              </m:r>
              <m:r>
                <m:t>1</m:t>
              </m:r>
            </m:sub>
            <m:sup>
              <m:r>
                <m:t>p</m:t>
              </m:r>
              <m:r>
                <m:t>=</m:t>
              </m:r>
              <m:r>
                <m:t>m</m:t>
              </m:r>
            </m:sup>
            <m:e>
              <m:sSub>
                <m:e>
                  <m:r>
                    <m:t>β</m:t>
                  </m:r>
                </m:e>
                <m:sub>
                  <m:r>
                    <m:t>2</m:t>
                  </m:r>
                  <m:r>
                    <m:t>p</m:t>
                  </m:r>
                </m:sub>
              </m:sSub>
            </m:e>
          </m:nary>
          <m:r>
            <m:t>×</m:t>
          </m:r>
          <m:sSup>
            <m:e>
              <m:r>
                <m:t>X</m:t>
              </m:r>
            </m:e>
            <m:sup>
              <m:r>
                <m:t>p</m:t>
              </m:r>
            </m:sup>
          </m:sSup>
        </m:oMath>
      </m:oMathPara>
    </w:p>
    <w:p>
      <w:pPr>
        <w:pStyle w:val="Compact"/>
        <w:numPr>
          <w:numId w:val="1005"/>
          <w:ilvl w:val="1"/>
        </w:numPr>
      </w:pPr>
      <w:r>
        <w:t xml:space="preserve">linear:</w:t>
      </w:r>
      <w:r>
        <w:t xml:space="preserve"> </w:t>
      </w:r>
      <m:oMath>
        <m:sSub>
          <m:e>
            <m:r>
              <m:t>f</m:t>
            </m:r>
          </m:e>
          <m:sub>
            <m:r>
              <m:t>1</m:t>
            </m:r>
          </m:sub>
        </m:sSub>
        <m:r>
          <m:t>=</m:t>
        </m:r>
        <m:sSub>
          <m:e>
            <m:r>
              <m:t>β</m:t>
            </m:r>
          </m:e>
          <m:sub>
            <m:r>
              <m:t>10</m:t>
            </m:r>
          </m:sub>
        </m:sSub>
        <m:r>
          <m:t>+</m:t>
        </m:r>
        <m:sSub>
          <m:e>
            <m:r>
              <m:t>β</m:t>
            </m:r>
          </m:e>
          <m:sub>
            <m:r>
              <m:t>11</m:t>
            </m:r>
          </m:sub>
        </m:sSub>
        <m:r>
          <m:t>×</m:t>
        </m:r>
        <m:r>
          <m:t>X</m:t>
        </m:r>
        <m:r>
          <m:t>,</m:t>
        </m:r>
        <m:sSub>
          <m:e>
            <m:r>
              <m:t>f</m:t>
            </m:r>
          </m:e>
          <m:sub>
            <m:r>
              <m:t>2</m:t>
            </m:r>
          </m:sub>
        </m:sSub>
        <m:r>
          <m:t>=</m:t>
        </m:r>
        <m:sSub>
          <m:e>
            <m:r>
              <m:t>β</m:t>
            </m:r>
          </m:e>
          <m:sub>
            <m:r>
              <m:t>20</m:t>
            </m:r>
          </m:sub>
        </m:sSub>
        <m:r>
          <m:t>+</m:t>
        </m:r>
        <m:sSub>
          <m:e>
            <m:r>
              <m:t>β</m:t>
            </m:r>
          </m:e>
          <m:sub>
            <m:r>
              <m:t>21</m:t>
            </m:r>
          </m:sub>
        </m:sSub>
        <m:r>
          <m:t>×</m:t>
        </m:r>
        <m:r>
          <m:t>X</m:t>
        </m:r>
      </m:oMath>
    </w:p>
    <w:p>
      <w:pPr>
        <w:pStyle w:val="Compact"/>
        <w:numPr>
          <w:numId w:val="1005"/>
          <w:ilvl w:val="1"/>
        </w:numPr>
      </w:pPr>
      <w:r>
        <w:t xml:space="preserve">Quadratic:</w:t>
      </w:r>
      <w:r>
        <w:t xml:space="preserve"> </w:t>
      </w:r>
      <m:oMath>
        <m:sSub>
          <m:e>
            <m:r>
              <m:t>f</m:t>
            </m:r>
          </m:e>
          <m:sub>
            <m:r>
              <m:t>1</m:t>
            </m:r>
          </m:sub>
        </m:sSub>
        <m:r>
          <m:t>=</m:t>
        </m:r>
        <m:sSub>
          <m:e>
            <m:r>
              <m:t>β</m:t>
            </m:r>
          </m:e>
          <m:sub>
            <m:r>
              <m:t>10</m:t>
            </m:r>
          </m:sub>
        </m:sSub>
        <m:r>
          <m:t>+</m:t>
        </m:r>
        <m:sSub>
          <m:e>
            <m:r>
              <m:t>β</m:t>
            </m:r>
          </m:e>
          <m:sub>
            <m:r>
              <m:t>11</m:t>
            </m:r>
          </m:sub>
        </m:sSub>
        <m:r>
          <m:t>×</m:t>
        </m:r>
        <m:r>
          <m:t>X</m:t>
        </m:r>
        <m:r>
          <m:t>+</m:t>
        </m:r>
        <m:sSub>
          <m:e>
            <m:r>
              <m:t>β</m:t>
            </m:r>
          </m:e>
          <m:sub>
            <m:r>
              <m:t>12</m:t>
            </m:r>
          </m:sub>
        </m:sSub>
        <m:r>
          <m:t>×</m:t>
        </m:r>
        <m:sSup>
          <m:e>
            <m:r>
              <m:t>X</m:t>
            </m:r>
          </m:e>
          <m:sup>
            <m:r>
              <m:t>2</m:t>
            </m:r>
          </m:sup>
        </m:sSup>
        <m:r>
          <m:t>,</m:t>
        </m:r>
        <m:sSub>
          <m:e>
            <m:r>
              <m:t>f</m:t>
            </m:r>
          </m:e>
          <m:sub>
            <m:r>
              <m:t>2</m:t>
            </m:r>
          </m:sub>
        </m:sSub>
        <m:r>
          <m:t>=</m:t>
        </m:r>
        <m:sSub>
          <m:e>
            <m:r>
              <m:t>β</m:t>
            </m:r>
          </m:e>
          <m:sub>
            <m:r>
              <m:t>20</m:t>
            </m:r>
          </m:sub>
        </m:sSub>
        <m:r>
          <m:t>+</m:t>
        </m:r>
        <m:sSub>
          <m:e>
            <m:r>
              <m:t>β</m:t>
            </m:r>
          </m:e>
          <m:sub>
            <m:r>
              <m:t>21</m:t>
            </m:r>
          </m:sub>
        </m:sSub>
        <m:r>
          <m:t>×</m:t>
        </m:r>
        <m:r>
          <m:t>X</m:t>
        </m:r>
        <m:r>
          <m:t>+</m:t>
        </m:r>
        <m:sSub>
          <m:e>
            <m:r>
              <m:t>β</m:t>
            </m:r>
          </m:e>
          <m:sub>
            <m:r>
              <m:t>22</m:t>
            </m:r>
          </m:sub>
        </m:sSub>
        <m:r>
          <m:t>×</m:t>
        </m:r>
        <m:sSup>
          <m:e>
            <m:r>
              <m:t>X</m:t>
            </m:r>
          </m:e>
          <m:sup>
            <m:r>
              <m:t>2</m:t>
            </m:r>
          </m:sup>
        </m:sSup>
      </m:oMath>
    </w:p>
    <w:p>
      <w:pPr>
        <w:pStyle w:val="Heading4"/>
      </w:pPr>
      <w:bookmarkStart w:id="38" w:name="fractional-polynomials"/>
      <w:r>
        <w:t xml:space="preserve">Fractional polynomials</w:t>
      </w:r>
      <w:bookmarkEnd w:id="38"/>
    </w:p>
    <w:p>
      <w:pPr>
        <w:pStyle w:val="FirstParagraph"/>
      </w:pPr>
      <w:r>
        <w:rPr>
          <w:i/>
        </w:rPr>
        <w:t xml:space="preserve">Unknown functional form and unknown cut-points</w:t>
      </w:r>
    </w:p>
    <w:p>
      <w:pPr>
        <w:pStyle w:val="BodyText"/>
      </w:pPr>
      <w:r>
        <w:t xml:space="preserve">Fractional polynomials</w:t>
      </w:r>
      <w:r>
        <w:t xml:space="preserve"> </w:t>
      </w:r>
      <w:r>
        <w:t xml:space="preserve">[18]</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[19]</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6"/>
          <w:ilvl w:val="0"/>
        </w:numPr>
      </w:pPr>
      <w:r>
        <w:t xml:space="preserve">Overall FP, where the FSP is applied in the pooled data, in order to find the best FP (stratified by data-set).</w:t>
      </w:r>
    </w:p>
    <w:p>
      <w:pPr>
        <w:pStyle w:val="Compact"/>
        <w:numPr>
          <w:numId w:val="1006"/>
          <w:ilvl w:val="0"/>
        </w:numPr>
      </w:pPr>
      <w:r>
        <w:t xml:space="preserve">Study-wise FP2, the best FP2 is selected for each study</w:t>
      </w:r>
    </w:p>
    <w:p>
      <w:pPr>
        <w:pStyle w:val="Compact"/>
        <w:numPr>
          <w:numId w:val="1006"/>
          <w:ilvl w:val="0"/>
        </w:numPr>
      </w:pPr>
      <w:r>
        <w:t xml:space="preserve">Study wise selected FP, where the best fitting FP is extracted per study</w:t>
      </w:r>
    </w:p>
    <w:p>
      <w:pPr>
        <w:pStyle w:val="Heading4"/>
      </w:pPr>
      <w:bookmarkStart w:id="39" w:name="second-stage-combination-of-the-first-stage-elicitations"/>
      <w:r>
        <w:t xml:space="preserve">3.3.1.2 Second-stage combination of the first stage elicitations</w:t>
      </w:r>
      <w:bookmarkEnd w:id="39"/>
    </w:p>
    <w:p>
      <w:pPr>
        <w:pStyle w:val="FirstParagraph"/>
      </w:pPr>
      <w:r>
        <w:t xml:space="preserve">As a second-stage in the two-stage IPD-MA, we either pool the estimates or the fitted functions extracted from the first stage.</w:t>
      </w:r>
      <w:r>
        <w:t xml:space="preserve"> </w:t>
      </w:r>
      <w:r>
        <w:t xml:space="preserve">The coefficients</w:t>
      </w:r>
      <w:r>
        <w:t xml:space="preserve"> </w:t>
      </w:r>
      <m:oMath>
        <m:sSub>
          <m:e>
            <m:r>
              <m:t>β</m:t>
            </m:r>
          </m:e>
          <m:sub>
            <m:r>
              <m:t>i</m:t>
            </m:r>
          </m:sub>
        </m:sSub>
      </m:oMath>
      <w:r>
        <w:t xml:space="preserve"> </w:t>
      </w:r>
      <w:r>
        <w:t xml:space="preserve">and</w:t>
      </w:r>
      <w:r>
        <w:t xml:space="preserve"> </w:t>
      </w:r>
      <m:oMath>
        <m:r>
          <m:t>S</m:t>
        </m:r>
        <m:sSub>
          <m:e>
            <m:r>
              <m:t>E</m:t>
            </m:r>
          </m:e>
          <m:sub>
            <m:r>
              <m:t>i</m:t>
            </m:r>
          </m:sub>
        </m:sSub>
      </m:oMath>
      <w:r>
        <w:t xml:space="preserve">, extracted in the first stage can be used in a multi-variate meta-analysis(CE or RE) to give an overall mean to extract the pooled</w:t>
      </w:r>
      <w:r>
        <w:t xml:space="preserve"> </w:t>
      </w:r>
      <m:oMath>
        <m:sSub>
          <m:e>
            <m:r>
              <m:t>b</m:t>
            </m:r>
          </m:e>
          <m:sub>
            <m:r>
              <m:t>0</m:t>
            </m:r>
          </m:sub>
        </m:sSub>
      </m:oMath>
      <w:r>
        <w:t xml:space="preserve"> </w:t>
      </w:r>
      <w:r>
        <w:t xml:space="preserve">and it’s SE. This approach only works when common powers have been used across studies. Therefore, it is applicable in piecewise and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[21]</w:t>
      </w:r>
      <w:r>
        <w:t xml:space="preserve"> </w:t>
      </w:r>
      <w:r>
        <w:t xml:space="preserve">and the HKSJ adjustment</w:t>
      </w:r>
      <w:r>
        <w:t xml:space="preserve"> </w:t>
      </w:r>
      <w:r>
        <w:t xml:space="preserve">[22]</w:t>
      </w:r>
      <w:r>
        <w:t xml:space="preserve">.</w:t>
      </w:r>
    </w:p>
    <w:p>
      <w:pPr>
        <w:pStyle w:val="BodyText"/>
      </w:pPr>
      <w:r>
        <w:t xml:space="preserve">The fitted function g can be calculated per study</w:t>
      </w:r>
      <w:r>
        <w:t xml:space="preserve"> </w:t>
      </w:r>
      <m:oMath>
        <m:groupChr>
          <m:groupChrPr>
            <m:chr m:val="̂"/>
            <m:pos m:val="top"/>
            <m:vertJc m:val="bot"/>
          </m:groupChrPr>
          <m:e>
            <m:sSub>
              <m:e>
                <m:r>
                  <m:t>g</m:t>
                </m:r>
              </m:e>
              <m:sub>
                <m:r>
                  <m:t>i</m:t>
                </m:r>
              </m:sub>
            </m:sSub>
          </m:e>
        </m:groupChr>
        <m:r>
          <m:t>(</m:t>
        </m:r>
        <m:r>
          <m:t>x</m:t>
        </m:r>
        <m:r>
          <m:t>;</m:t>
        </m:r>
        <m:sSub>
          <m:e>
            <m:r>
              <m:t>β</m:t>
            </m:r>
          </m:e>
          <m:sub>
            <m:r>
              <m:t>i</m:t>
            </m:r>
          </m:sub>
        </m:sSub>
        <m:r>
          <m:t>)</m:t>
        </m:r>
      </m:oMath>
      <w:r>
        <w:t xml:space="preserve"> </w:t>
      </w:r>
      <w:r>
        <w:t xml:space="preserve">and derive its standard error from</w:t>
      </w:r>
      <w:r>
        <w:t xml:space="preserve"> </w:t>
      </w:r>
      <m:oMath>
        <m:sSub>
          <m:e>
            <m:r>
              <m:t>S</m:t>
            </m:r>
          </m:e>
          <m:sub>
            <m:r>
              <m:t>i</m:t>
            </m:r>
          </m:sub>
        </m:sSub>
      </m:oMath>
      <w:r>
        <w:t xml:space="preserve">. Then we perform a meta-analysis, to get a pooled estimate</w:t>
      </w:r>
      <w:r>
        <w:t xml:space="preserve"> </w:t>
      </w:r>
      <m:oMath>
        <m:groupChr>
          <m:groupChrPr>
            <m:chr m:val="̂"/>
            <m:pos m:val="top"/>
            <m:vertJc m:val="bot"/>
          </m:groupChrPr>
          <m:e>
            <m:sSub>
              <m:e>
                <m:r>
                  <m:t>g</m:t>
                </m:r>
              </m:e>
              <m:sub>
                <m:r>
                  <m:t>i</m:t>
                </m:r>
              </m:sub>
            </m:sSub>
          </m:e>
        </m:groupChr>
        <m:r>
          <m:t>(</m:t>
        </m:r>
        <m:r>
          <m:t>x</m:t>
        </m:r>
        <m:r>
          <m:t>;</m:t>
        </m:r>
        <m:sSub>
          <m:e>
            <m:r>
              <m:t>β</m:t>
            </m:r>
          </m:e>
          <m:sub>
            <m:r>
              <m:t>i</m:t>
            </m:r>
          </m:sub>
        </m:sSub>
        <m:r>
          <m:t>)</m:t>
        </m:r>
      </m:oMath>
      <w:r>
        <w:t xml:space="preserve"> </w:t>
      </w:r>
      <w:r>
        <w:t xml:space="preserve">and it’s variance.</w:t>
      </w:r>
    </w:p>
    <w:p>
      <w:pPr>
        <w:pStyle w:val="Heading3"/>
      </w:pPr>
      <w:bookmarkStart w:id="40" w:name="one-stage-approaches"/>
      <w:r>
        <w:t xml:space="preserve">3.3.2. One-stage approaches</w:t>
      </w:r>
      <w:bookmarkEnd w:id="40"/>
    </w:p>
    <w:p>
      <w:pPr>
        <w:pStyle w:val="Heading4"/>
      </w:pPr>
      <w:bookmarkStart w:id="41" w:name="centred-one-stage-ipd-ma"/>
      <w:r>
        <w:t xml:space="preserve">3.3.2.1 Centred One-stage IPD-MA</w:t>
      </w:r>
      <w:bookmarkEnd w:id="41"/>
    </w:p>
    <w:p>
      <w:pPr>
        <w:pStyle w:val="FirstParagraph"/>
      </w:pPr>
      <w:r>
        <w:t xml:space="preserve">We follow recent recommendations</w:t>
      </w:r>
      <w:r>
        <w:t xml:space="preserve"> </w:t>
      </w:r>
      <w:r>
        <w:t xml:space="preserve">[24]</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p>
    <w:p>
      <w:pPr>
        <w:pStyle w:val="BodyText"/>
      </w:pP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r>
              <m:t>f</m:t>
            </m:r>
          </m:e>
          <m:sub>
            <m:r>
              <m:t>1</m:t>
            </m:r>
            <m:r>
              <m:t>j</m:t>
            </m:r>
          </m:sub>
        </m:sSub>
        <m:r>
          <m:t>(</m:t>
        </m:r>
        <m:r>
          <m:t>X</m:t>
        </m:r>
        <m:r>
          <m:t>)</m:t>
        </m:r>
        <m:r>
          <m:t>+</m:t>
        </m:r>
        <m:sSub>
          <m:e>
            <m:r>
              <m:t>f</m:t>
            </m:r>
          </m:e>
          <m:sub>
            <m:r>
              <m:t>2</m:t>
            </m:r>
            <m:r>
              <m:t>j</m:t>
            </m:r>
          </m:sub>
        </m:sSub>
        <m:r>
          <m:t>(</m:t>
        </m:r>
        <m:r>
          <m:t>X</m:t>
        </m:r>
        <m:r>
          <m:t>)</m:t>
        </m:r>
        <m:r>
          <m:t>×</m:t>
        </m:r>
        <m:r>
          <m:t>T</m:t>
        </m:r>
        <m:r>
          <m:t>r</m:t>
        </m:r>
        <m:r>
          <m:t>e</m:t>
        </m:r>
        <m:r>
          <m:t>a</m:t>
        </m:r>
        <m:r>
          <m:t>t</m:t>
        </m:r>
        <m:r>
          <m:t>m</m:t>
        </m:r>
        <m:r>
          <m:t>e</m:t>
        </m:r>
        <m:r>
          <m:t>n</m:t>
        </m:r>
        <m:r>
          <m:t>t</m:t>
        </m:r>
      </m:oMath>
    </w:p>
    <w:p>
      <w:pPr>
        <w:pStyle w:val="BodyText"/>
      </w:pPr>
      <w:r>
        <w:t xml:space="preserve">where given</w:t>
      </w:r>
      <w:r>
        <w:t xml:space="preserve"> </w:t>
      </w:r>
      <m:oMath>
        <m:r>
          <m:t>κ</m:t>
        </m:r>
      </m:oMath>
      <w:r>
        <w:t xml:space="preserve"> </w:t>
      </w:r>
      <w:r>
        <w:t xml:space="preserve">cut-points and p degree of polynomial,</w:t>
      </w:r>
    </w:p>
    <w:p>
      <w:pPr>
        <w:pStyle w:val="BodyText"/>
      </w:pPr>
      <m:oMathPara>
        <m:oMathParaPr>
          <m:jc m:val="center"/>
        </m:oMathParaPr>
        <m:oMath>
          <m:sSub>
            <m:e>
              <m:r>
                <m:t>f</m:t>
              </m:r>
            </m:e>
            <m:sub>
              <m:r>
                <m:t>1</m:t>
              </m:r>
              <m:r>
                <m:t>j</m:t>
              </m:r>
            </m:sub>
          </m:sSub>
          <m:r>
            <m:t>=</m:t>
          </m:r>
          <m:nary>
            <m:naryPr>
              <m:chr m:val="∑"/>
              <m:limLoc m:val="undOvr"/>
              <m:subHide m:val="0"/>
              <m:supHide m:val="0"/>
            </m:naryPr>
            <m:sub>
              <m:r>
                <m:t>κ</m:t>
              </m:r>
              <m:r>
                <m:t>=</m:t>
              </m:r>
              <m:r>
                <m:t>1</m:t>
              </m:r>
            </m:sub>
            <m:sup>
              <m:r>
                <m:t>κ</m:t>
              </m:r>
              <m:r>
                <m:t>=</m:t>
              </m:r>
              <m:r>
                <m:t>K</m:t>
              </m:r>
            </m:sup>
            <m:e>
              <m:nary>
                <m:naryPr>
                  <m:chr m:val="∑"/>
                  <m:limLoc m:val="undOvr"/>
                  <m:subHide m:val="0"/>
                  <m:supHide m:val="0"/>
                </m:naryPr>
                <m:sub>
                  <m:r>
                    <m:t>p</m:t>
                  </m:r>
                  <m:r>
                    <m:t>=</m:t>
                  </m:r>
                  <m:r>
                    <m:t>1</m:t>
                  </m:r>
                </m:sub>
                <m:sup>
                  <m:r>
                    <m:t>p</m:t>
                  </m:r>
                  <m:r>
                    <m:t>=</m:t>
                  </m:r>
                  <m:r>
                    <m:t>P</m:t>
                  </m:r>
                </m:sup>
                <m:e>
                  <m:sSub>
                    <m:e>
                      <m:r>
                        <m:t>β</m:t>
                      </m:r>
                    </m:e>
                    <m:sub>
                      <m:r>
                        <m:t>1</m:t>
                      </m:r>
                      <m:r>
                        <m:t>k</m:t>
                      </m:r>
                      <m:r>
                        <m:t>p</m:t>
                      </m:r>
                      <m:r>
                        <m:t>j</m:t>
                      </m:r>
                    </m:sub>
                  </m:sSub>
                </m:e>
              </m:nary>
            </m:e>
          </m:nary>
          <m:r>
            <m:t>×</m:t>
          </m:r>
          <m:sSubSup>
            <m:e>
              <m:r>
                <m:t>X</m:t>
              </m:r>
            </m:e>
            <m:sub>
              <m:sSub>
                <m:e>
                  <m:r>
                    <m:t>x</m:t>
                  </m:r>
                </m:e>
                <m:sub>
                  <m:r>
                    <m:t>k</m:t>
                  </m:r>
                  <m:r>
                    <m:t>−</m:t>
                  </m:r>
                  <m:r>
                    <m:t>1</m:t>
                  </m:r>
                </m:sub>
              </m:sSub>
              <m:r>
                <m:t>&lt;</m:t>
              </m:r>
              <m:r>
                <m:t>x</m:t>
              </m:r>
              <m:r>
                <m:t>&lt;</m:t>
              </m:r>
              <m:sSub>
                <m:e>
                  <m:r>
                    <m:t>x</m:t>
                  </m:r>
                </m:e>
                <m:sub>
                  <m:r>
                    <m:t>k</m:t>
                  </m:r>
                </m:sub>
              </m:sSub>
            </m:sub>
            <m:sup>
              <m:r>
                <m:t>p</m:t>
              </m:r>
            </m:sup>
          </m:sSubSup>
        </m:oMath>
      </m:oMathPara>
    </w:p>
    <w:p>
      <w:pPr>
        <w:pStyle w:val="FirstParagraph"/>
      </w:pPr>
      <w:r>
        <w:t xml:space="preserve">and</w:t>
      </w:r>
    </w:p>
    <w:p>
      <w:pPr>
        <w:pStyle w:val="BodyText"/>
      </w:pPr>
      <m:oMathPara>
        <m:oMathParaPr>
          <m:jc m:val="center"/>
        </m:oMathParaPr>
        <m:oMath>
          <m:sSub>
            <m:e>
              <m:r>
                <m:t>f</m:t>
              </m:r>
            </m:e>
            <m:sub>
              <m:r>
                <m:t>2</m:t>
              </m:r>
              <m:r>
                <m:t>j</m:t>
              </m:r>
            </m:sub>
          </m:sSub>
          <m:r>
            <m:t>=</m:t>
          </m:r>
          <m:nary>
            <m:naryPr>
              <m:chr m:val="∑"/>
              <m:limLoc m:val="undOvr"/>
              <m:subHide m:val="0"/>
              <m:supHide m:val="0"/>
            </m:naryPr>
            <m:sub>
              <m:r>
                <m:t>κ</m:t>
              </m:r>
              <m:r>
                <m:t>=</m:t>
              </m:r>
              <m:r>
                <m:t>1</m:t>
              </m:r>
            </m:sub>
            <m:sup>
              <m:r>
                <m:t>κ</m:t>
              </m:r>
              <m:r>
                <m:t>=</m:t>
              </m:r>
              <m:r>
                <m:t>K</m:t>
              </m:r>
            </m:sup>
            <m:e>
              <m:nary>
                <m:naryPr>
                  <m:chr m:val="∑"/>
                  <m:limLoc m:val="undOvr"/>
                  <m:subHide m:val="0"/>
                  <m:supHide m:val="0"/>
                </m:naryPr>
                <m:sub>
                  <m:r>
                    <m:t>p</m:t>
                  </m:r>
                  <m:r>
                    <m:t>=</m:t>
                  </m:r>
                  <m:r>
                    <m:t>1</m:t>
                  </m:r>
                </m:sub>
                <m:sup>
                  <m:r>
                    <m:t>p</m:t>
                  </m:r>
                  <m:r>
                    <m:t>=</m:t>
                  </m:r>
                  <m:r>
                    <m:t>P</m:t>
                  </m:r>
                </m:sup>
                <m:e>
                  <m:sSub>
                    <m:e>
                      <m:r>
                        <m:t>β</m:t>
                      </m:r>
                    </m:e>
                    <m:sub>
                      <m:r>
                        <m:t>2</m:t>
                      </m:r>
                      <m:r>
                        <m:t>k</m:t>
                      </m:r>
                      <m:r>
                        <m:t>p</m:t>
                      </m:r>
                      <m:r>
                        <m:t>j</m:t>
                      </m:r>
                    </m:sub>
                  </m:sSub>
                </m:e>
              </m:nary>
            </m:e>
          </m:nary>
          <m:r>
            <m:t>×</m:t>
          </m:r>
          <m:sSubSup>
            <m:e>
              <m:r>
                <m:t>X</m:t>
              </m:r>
            </m:e>
            <m:sub>
              <m:sSub>
                <m:e>
                  <m:r>
                    <m:t>x</m:t>
                  </m:r>
                </m:e>
                <m:sub>
                  <m:r>
                    <m:t>k</m:t>
                  </m:r>
                  <m:r>
                    <m:t>−</m:t>
                  </m:r>
                  <m:r>
                    <m:t>1</m:t>
                  </m:r>
                </m:sub>
              </m:sSub>
              <m:r>
                <m:t>&lt;</m:t>
              </m:r>
              <m:r>
                <m:t>x</m:t>
              </m:r>
              <m:r>
                <m:t>&lt;</m:t>
              </m:r>
              <m:sSub>
                <m:e>
                  <m:r>
                    <m:t>x</m:t>
                  </m:r>
                </m:e>
                <m:sub>
                  <m:r>
                    <m:t>k</m:t>
                  </m:r>
                </m:sub>
              </m:sSub>
            </m:sub>
            <m:sup>
              <m:r>
                <m:t>p</m:t>
              </m:r>
            </m:sup>
          </m:sSubSup>
        </m:oMath>
      </m:oMathPara>
    </w:p>
    <w:p>
      <w:pPr>
        <w:pStyle w:val="FirstParagraph"/>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2" w:name="multilevel-fractional-polynomials"/>
      <w:r>
        <w:t xml:space="preserve">3.3.2.2 Multilevel Fractional polynomials</w:t>
      </w:r>
      <w:bookmarkEnd w:id="42"/>
    </w:p>
    <w:p>
      <w:pPr>
        <w:pStyle w:val="FirstParagraph"/>
      </w:pPr>
      <w:r>
        <w:t xml:space="preserve">Fractional polynomials may be used using one stage approach</w:t>
      </w:r>
      <w:r>
        <w:t xml:space="preserve">[25]</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[27]</w:t>
      </w:r>
      <w:r>
        <w:t xml:space="preserve">, or Bayesian Information Criterion (BIC)</w:t>
      </w:r>
      <w:r>
        <w:t xml:space="preserve"> </w:t>
      </w:r>
      <w:r>
        <w:t xml:space="preserve">[28]</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3" w:name="section-2"/>
      <w:bookmarkEnd w:id="43"/>
    </w:p>
    <w:p>
      <w:pPr>
        <w:pStyle w:val="Heading1"/>
      </w:pPr>
      <w:bookmarkStart w:id="44" w:name="results-1"/>
      <w:r>
        <w:t xml:space="preserve">Results</w:t>
      </w:r>
      <w:bookmarkEnd w:id="44"/>
    </w:p>
    <w:p>
      <w:pPr>
        <w:pStyle w:val="FirstParagraph"/>
      </w:pPr>
      <w:r>
        <w:t xml:space="preserve">#Discussion</w:t>
      </w:r>
    </w:p>
    <w:p>
      <w:pPr>
        <w:pStyle w:val="Heading5"/>
      </w:pPr>
      <w:bookmarkStart w:id="45" w:name="section-3"/>
      <w:bookmarkEnd w:id="45"/>
    </w:p>
    <w:p>
      <w:pPr>
        <w:pStyle w:val="Heading1"/>
      </w:pPr>
      <w:bookmarkStart w:id="46" w:name="references"/>
      <w:r>
        <w:t xml:space="preserve">References</w:t>
      </w:r>
      <w:bookmarkEnd w:id="46"/>
    </w:p>
    <w:bookmarkStart w:id="103" w:name="refs"/>
    <w:bookmarkStart w:id="48" w:name="ref-Royston_2005"/>
    <w:p>
      <w:pPr>
        <w:pStyle w:val="Bibliography"/>
      </w:pPr>
      <w:r>
        <w:t xml:space="preserve">[1] Royston P, Altman DG, Sauerbrei W. Dichotomizing continuous predictors in multiple regression: A bad idea. Statistics in Medicine 2005;25:127–41. doi:</w:t>
      </w:r>
      <w:hyperlink r:id="rId47">
        <w:r>
          <w:rPr>
            <w:rStyle w:val="Hyperlink"/>
          </w:rPr>
          <w:t xml:space="preserve">10.1002/sim.2331</w:t>
        </w:r>
      </w:hyperlink>
      <w:r>
        <w:t xml:space="preserve">.</w:t>
      </w:r>
    </w:p>
    <w:bookmarkEnd w:id="48"/>
    <w:bookmarkStart w:id="50" w:name="ref-Altman_2006"/>
    <w:p>
      <w:pPr>
        <w:pStyle w:val="Bibliography"/>
      </w:pPr>
      <w:r>
        <w:t xml:space="preserve">[2] Altman DG. The cost of dichotomising continuous variables. BMJ 2006;332:1080–0. doi:</w:t>
      </w:r>
      <w:hyperlink r:id="rId49">
        <w:r>
          <w:rPr>
            <w:rStyle w:val="Hyperlink"/>
          </w:rPr>
          <w:t xml:space="preserve">10.1136/bmj.332.7549.1080</w:t>
        </w:r>
      </w:hyperlink>
      <w:r>
        <w:t xml:space="preserve">.</w:t>
      </w:r>
    </w:p>
    <w:bookmarkEnd w:id="50"/>
    <w:bookmarkStart w:id="52"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51">
        <w:r>
          <w:rPr>
            <w:rStyle w:val="Hyperlink"/>
          </w:rPr>
          <w:t xml:space="preserve">10.1002/sim.1687</w:t>
        </w:r>
      </w:hyperlink>
      <w:r>
        <w:t xml:space="preserve">.</w:t>
      </w:r>
    </w:p>
    <w:bookmarkEnd w:id="52"/>
    <w:bookmarkStart w:id="54" w:name="ref-Maxwell_1993"/>
    <w:p>
      <w:pPr>
        <w:pStyle w:val="Bibliography"/>
      </w:pPr>
      <w:r>
        <w:t xml:space="preserve">[4] Maxwell SE, Delaney HD. Bivariate median splits and spurious statistical significance. Psychological Bulletin 1993;113:181–90. doi:</w:t>
      </w:r>
      <w:hyperlink r:id="rId53">
        <w:r>
          <w:rPr>
            <w:rStyle w:val="Hyperlink"/>
          </w:rPr>
          <w:t xml:space="preserve">10.1037/0033-2909.113.1.181</w:t>
        </w:r>
      </w:hyperlink>
      <w:r>
        <w:t xml:space="preserve">.</w:t>
      </w:r>
    </w:p>
    <w:bookmarkEnd w:id="54"/>
    <w:bookmarkStart w:id="56" w:name="ref-Weinberg_1995"/>
    <w:p>
      <w:pPr>
        <w:pStyle w:val="Bibliography"/>
      </w:pPr>
      <w:r>
        <w:t xml:space="preserve">[5] Weinberg C. How bad is categorization? Epidemiology 1995;6:345–6. doi:</w:t>
      </w:r>
      <w:hyperlink r:id="rId55">
        <w:r>
          <w:rPr>
            <w:rStyle w:val="Hyperlink"/>
          </w:rPr>
          <w:t xml:space="preserve">10.1097/00001648-199507000-00002</w:t>
        </w:r>
      </w:hyperlink>
      <w:r>
        <w:t xml:space="preserve">.</w:t>
      </w:r>
    </w:p>
    <w:bookmarkEnd w:id="56"/>
    <w:bookmarkStart w:id="58"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57">
        <w:r>
          <w:rPr>
            <w:rStyle w:val="Hyperlink"/>
          </w:rPr>
          <w:t xml:space="preserve">10.1002/oby.21615</w:t>
        </w:r>
      </w:hyperlink>
      <w:r>
        <w:t xml:space="preserve">.</w:t>
      </w:r>
    </w:p>
    <w:bookmarkEnd w:id="58"/>
    <w:bookmarkStart w:id="60" w:name="ref-Sauerbrei_2011"/>
    <w:p>
      <w:pPr>
        <w:pStyle w:val="Bibliography"/>
      </w:pPr>
      <w:r>
        <w:t xml:space="preserve">[7] Sauerbrei W, Royston P. A new strategy for meta-analysis of continuous covariates in observational studies. Statistics in Medicine 2011;30:3341–60. doi:</w:t>
      </w:r>
      <w:hyperlink r:id="rId59">
        <w:r>
          <w:rPr>
            <w:rStyle w:val="Hyperlink"/>
          </w:rPr>
          <w:t xml:space="preserve">10.1002/sim.4333</w:t>
        </w:r>
      </w:hyperlink>
      <w:r>
        <w:t xml:space="preserve">.</w:t>
      </w:r>
    </w:p>
    <w:bookmarkEnd w:id="60"/>
    <w:bookmarkStart w:id="62"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61">
        <w:r>
          <w:rPr>
            <w:rStyle w:val="Hyperlink"/>
          </w:rPr>
          <w:t xml:space="preserve">10.1002/sim.5813</w:t>
        </w:r>
      </w:hyperlink>
      <w:r>
        <w:t xml:space="preserve">.</w:t>
      </w:r>
    </w:p>
    <w:bookmarkEnd w:id="62"/>
    <w:bookmarkStart w:id="64"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63">
        <w:r>
          <w:rPr>
            <w:rStyle w:val="Hyperlink"/>
          </w:rPr>
          <w:t xml:space="preserve">10.1002/sim.7930</w:t>
        </w:r>
      </w:hyperlink>
      <w:r>
        <w:t xml:space="preserve">.</w:t>
      </w:r>
    </w:p>
    <w:bookmarkEnd w:id="64"/>
    <w:bookmarkStart w:id="66"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65">
        <w:r>
          <w:rPr>
            <w:rStyle w:val="Hyperlink"/>
          </w:rPr>
          <w:t xml:space="preserve">10.3758/s13428-017-0971-x</w:t>
        </w:r>
      </w:hyperlink>
      <w:r>
        <w:t xml:space="preserve">.</w:t>
      </w:r>
    </w:p>
    <w:bookmarkEnd w:id="66"/>
    <w:bookmarkStart w:id="68" w:name="ref-Wang_2016"/>
    <w:p>
      <w:pPr>
        <w:pStyle w:val="Bibliography"/>
      </w:pPr>
      <w:r>
        <w:t xml:space="preserve">[11] Wang XV, Cole B, Bonetti M, Gelber RD. Meta-STEPP: Subpopulation treatment effect pattern plot for individual patient data meta-analysis. Statistics in Medicine 2016;35:3704–16. doi:</w:t>
      </w:r>
      <w:hyperlink r:id="rId67">
        <w:r>
          <w:rPr>
            <w:rStyle w:val="Hyperlink"/>
          </w:rPr>
          <w:t xml:space="preserve">10.1002/sim.6958</w:t>
        </w:r>
      </w:hyperlink>
      <w:r>
        <w:t xml:space="preserve">.</w:t>
      </w:r>
    </w:p>
    <w:bookmarkEnd w:id="68"/>
    <w:bookmarkStart w:id="70" w:name="ref-Royston_2008"/>
    <w:p>
      <w:pPr>
        <w:pStyle w:val="Bibliography"/>
      </w:pPr>
      <w:r>
        <w:t xml:space="preserve">[12] Royston P, Sauerbrei W. Interactions between treatment and continuous covariates: A step toward individualizing therapy. Journal of Clinical Oncology 2008;26:1397–9. doi:</w:t>
      </w:r>
      <w:hyperlink r:id="rId69">
        <w:r>
          <w:rPr>
            <w:rStyle w:val="Hyperlink"/>
          </w:rPr>
          <w:t xml:space="preserve">10.1200/jco.2007.14.8981</w:t>
        </w:r>
      </w:hyperlink>
      <w:r>
        <w:t xml:space="preserve">.</w:t>
      </w:r>
    </w:p>
    <w:bookmarkEnd w:id="70"/>
    <w:bookmarkStart w:id="72" w:name="ref-Sun_2010"/>
    <w:p>
      <w:pPr>
        <w:pStyle w:val="Bibliography"/>
      </w:pPr>
      <w:r>
        <w:t xml:space="preserve">[13] Sun X, Briel M, Walter SD, Guyatt GH. Is a subgroup effect believable? Updating criteria to evaluate the credibility of subgroup analyses. BMJ 2010;340:c117–7. doi:</w:t>
      </w:r>
      <w:hyperlink r:id="rId71">
        <w:r>
          <w:rPr>
            <w:rStyle w:val="Hyperlink"/>
          </w:rPr>
          <w:t xml:space="preserve">10.1136/bmj.c117</w:t>
        </w:r>
      </w:hyperlink>
      <w:r>
        <w:t xml:space="preserve">.</w:t>
      </w:r>
    </w:p>
    <w:bookmarkEnd w:id="72"/>
    <w:bookmarkStart w:id="74"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73">
        <w:r>
          <w:rPr>
            <w:rStyle w:val="Hyperlink"/>
          </w:rPr>
          <w:t xml:space="preserve">10.1016/s0140-6736(06)69606-2</w:t>
        </w:r>
      </w:hyperlink>
      <w:r>
        <w:t xml:space="preserve">.</w:t>
      </w:r>
    </w:p>
    <w:bookmarkEnd w:id="74"/>
    <w:bookmarkStart w:id="76"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75">
        <w:r>
          <w:rPr>
            <w:rStyle w:val="Hyperlink"/>
          </w:rPr>
          <w:t xml:space="preserve">10.1053/j.gastro.2013.04.055</w:t>
        </w:r>
      </w:hyperlink>
      <w:r>
        <w:t xml:space="preserve">.</w:t>
      </w:r>
    </w:p>
    <w:bookmarkEnd w:id="76"/>
    <w:bookmarkStart w:id="78" w:name="ref-Zeileis_2008"/>
    <w:p>
      <w:pPr>
        <w:pStyle w:val="Bibliography"/>
      </w:pPr>
      <w:r>
        <w:t xml:space="preserve">[16] Zeileis A, Hothorn T, Hornik K. Model-based recursive partitioning. Journal of Computational and Graphical Statistics 2008;17:492–514. doi:</w:t>
      </w:r>
      <w:hyperlink r:id="rId77">
        <w:r>
          <w:rPr>
            <w:rStyle w:val="Hyperlink"/>
          </w:rPr>
          <w:t xml:space="preserve">10.1198/106186008x319331</w:t>
        </w:r>
      </w:hyperlink>
      <w:r>
        <w:t xml:space="preserve">.</w:t>
      </w:r>
    </w:p>
    <w:bookmarkEnd w:id="78"/>
    <w:bookmarkStart w:id="80" w:name="ref-Su_2009"/>
    <w:p>
      <w:pPr>
        <w:pStyle w:val="Bibliography"/>
      </w:pPr>
      <w:r>
        <w:t xml:space="preserve">[17] Su X, Tsai C-L, Wang H, Nickerson DM, Li B. Subgroup analysis via recursive partitioning. SSRN Electronic Journal 2009. doi:</w:t>
      </w:r>
      <w:hyperlink r:id="rId79">
        <w:r>
          <w:rPr>
            <w:rStyle w:val="Hyperlink"/>
          </w:rPr>
          <w:t xml:space="preserve">10.2139/ssrn.1341380</w:t>
        </w:r>
      </w:hyperlink>
      <w:r>
        <w:t xml:space="preserve">.</w:t>
      </w:r>
    </w:p>
    <w:bookmarkEnd w:id="80"/>
    <w:bookmarkStart w:id="82" w:name="ref-Royston_1994"/>
    <w:p>
      <w:pPr>
        <w:pStyle w:val="Bibliography"/>
      </w:pPr>
      <w:r>
        <w:t xml:space="preserve">[18] Royston P, Altman DG. Regression using fractional polynomials of continuous covariates: Parsimonious parametric modelling. Applied Statistics 1994;43:429. doi:</w:t>
      </w:r>
      <w:hyperlink r:id="rId81">
        <w:r>
          <w:rPr>
            <w:rStyle w:val="Hyperlink"/>
          </w:rPr>
          <w:t xml:space="preserve">10.2307/2986270</w:t>
        </w:r>
      </w:hyperlink>
      <w:r>
        <w:t xml:space="preserve">.</w:t>
      </w:r>
    </w:p>
    <w:bookmarkEnd w:id="82"/>
    <w:bookmarkStart w:id="84" w:name="ref-Ambler_2001"/>
    <w:p>
      <w:pPr>
        <w:pStyle w:val="Bibliography"/>
      </w:pPr>
      <w:r>
        <w:t xml:space="preserve">[19] Ambler G, Royston P. Fractional polynomial model selection procedures: Investigation of type i error rate. Journal of Statistical Computation and Simulation 2001;69:89–108. doi:</w:t>
      </w:r>
      <w:hyperlink r:id="rId83">
        <w:r>
          <w:rPr>
            <w:rStyle w:val="Hyperlink"/>
          </w:rPr>
          <w:t xml:space="preserve">10.1080/00949650108812083</w:t>
        </w:r>
      </w:hyperlink>
      <w:r>
        <w:t xml:space="preserve">.</w:t>
      </w:r>
    </w:p>
    <w:bookmarkEnd w:id="84"/>
    <w:bookmarkStart w:id="86" w:name="ref-Sauerbrei_1999"/>
    <w:p>
      <w:pPr>
        <w:pStyle w:val="Bibliography"/>
      </w:pPr>
      <w:r>
        <w:t xml:space="preserve">[20] Sauerbrei W, Royston P. Building multivariable prognostic and diagnostic models: Transformation of the predictors by using fractional polynomials. Journal of the Royal Statistical Society: Series A (Statistics in Society) 1999;162:71–94. doi:</w:t>
      </w:r>
      <w:hyperlink r:id="rId85">
        <w:r>
          <w:rPr>
            <w:rStyle w:val="Hyperlink"/>
          </w:rPr>
          <w:t xml:space="preserve">10.1111/1467-985x.00122</w:t>
        </w:r>
      </w:hyperlink>
      <w:r>
        <w:t xml:space="preserve">.</w:t>
      </w:r>
    </w:p>
    <w:bookmarkEnd w:id="86"/>
    <w:bookmarkStart w:id="88" w:name="ref-Stijnen_2007"/>
    <w:p>
      <w:pPr>
        <w:pStyle w:val="Bibliography"/>
      </w:pPr>
      <w:r>
        <w:t xml:space="preserve">[21] Stijnen T, Houwelingen JCV. Empirical bayes methods in clinical trials meta-analysis. Biometrical Journal 2007;32:335–46. doi:</w:t>
      </w:r>
      <w:hyperlink r:id="rId87">
        <w:r>
          <w:rPr>
            <w:rStyle w:val="Hyperlink"/>
          </w:rPr>
          <w:t xml:space="preserve">10.1002/bimj.4710320316</w:t>
        </w:r>
      </w:hyperlink>
      <w:r>
        <w:t xml:space="preserve">.</w:t>
      </w:r>
    </w:p>
    <w:bookmarkEnd w:id="88"/>
    <w:bookmarkStart w:id="90" w:name="ref-Hartung_2001"/>
    <w:p>
      <w:pPr>
        <w:pStyle w:val="Bibliography"/>
      </w:pPr>
      <w:r>
        <w:t xml:space="preserve">[22] Hartung J, Knapp G. A refined method for the meta-analysis of controlled clinical trials with binary outcome. Statistics in Medicine 2001;20:3875–89. doi:</w:t>
      </w:r>
      <w:hyperlink r:id="rId89">
        <w:r>
          <w:rPr>
            <w:rStyle w:val="Hyperlink"/>
          </w:rPr>
          <w:t xml:space="preserve">10.1002/sim.1009</w:t>
        </w:r>
      </w:hyperlink>
      <w:r>
        <w:t xml:space="preserve">.</w:t>
      </w:r>
    </w:p>
    <w:bookmarkEnd w:id="90"/>
    <w:bookmarkStart w:id="92" w:name="ref-IntHout_2014"/>
    <w:p>
      <w:pPr>
        <w:pStyle w:val="Bibliography"/>
      </w:pPr>
      <w:r>
        <w:t xml:space="preserve">[23] IntHout J, Ioannidis JP, Borm GF. The hartung-knapp-sidik-jonkman method for random effects meta-analysis is straightforward and considerably outperforms the standard DerSimonian-laird method. BMC Medical Research Methodology 2014;14. doi:</w:t>
      </w:r>
      <w:hyperlink r:id="rId91">
        <w:r>
          <w:rPr>
            <w:rStyle w:val="Hyperlink"/>
          </w:rPr>
          <w:t xml:space="preserve">10.1186/1471-2288-14-25</w:t>
        </w:r>
      </w:hyperlink>
      <w:r>
        <w:t xml:space="preserve">.</w:t>
      </w:r>
    </w:p>
    <w:bookmarkEnd w:id="92"/>
    <w:bookmarkStart w:id="94" w:name="ref-Hua_2016"/>
    <w:p>
      <w:pPr>
        <w:pStyle w:val="Bibliography"/>
      </w:pPr>
      <w:r>
        <w:t xml:space="preserve">[24]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93">
        <w:r>
          <w:rPr>
            <w:rStyle w:val="Hyperlink"/>
          </w:rPr>
          <w:t xml:space="preserve">10.1002/sim.7171</w:t>
        </w:r>
      </w:hyperlink>
      <w:r>
        <w:t xml:space="preserve">.</w:t>
      </w:r>
    </w:p>
    <w:bookmarkEnd w:id="94"/>
    <w:bookmarkStart w:id="96" w:name="ref-Long_2010"/>
    <w:p>
      <w:pPr>
        <w:pStyle w:val="Bibliography"/>
      </w:pPr>
      <w:r>
        <w:t xml:space="preserve">[25] Long J, Ryoo J. Using fractional polynomials to model non-linear trends in longitudinal data. British Journal of Mathematical and Statistical Psychology 2010;63:177–203. doi:</w:t>
      </w:r>
      <w:hyperlink r:id="rId95">
        <w:r>
          <w:rPr>
            <w:rStyle w:val="Hyperlink"/>
          </w:rPr>
          <w:t xml:space="preserve">10.1348/000711009x431509</w:t>
        </w:r>
      </w:hyperlink>
      <w:r>
        <w:t xml:space="preserve">.</w:t>
      </w:r>
    </w:p>
    <w:bookmarkEnd w:id="96"/>
    <w:bookmarkStart w:id="98" w:name="ref-Johnson_2012"/>
    <w:p>
      <w:pPr>
        <w:pStyle w:val="Bibliography"/>
      </w:pPr>
      <w:r>
        <w:t xml:space="preserve">[26] Johnson W, Balakrishna N, Griffiths PL. Modeling physical growth using mixed effects models. American Journal of Physical Anthropology 2012;150:58–67. doi:</w:t>
      </w:r>
      <w:hyperlink r:id="rId97">
        <w:r>
          <w:rPr>
            <w:rStyle w:val="Hyperlink"/>
          </w:rPr>
          <w:t xml:space="preserve">10.1002/ajpa.22128</w:t>
        </w:r>
      </w:hyperlink>
      <w:r>
        <w:t xml:space="preserve">.</w:t>
      </w:r>
    </w:p>
    <w:bookmarkEnd w:id="98"/>
    <w:bookmarkStart w:id="100" w:name="ref-Akaike_1974"/>
    <w:p>
      <w:pPr>
        <w:pStyle w:val="Bibliography"/>
      </w:pPr>
      <w:r>
        <w:t xml:space="preserve">[27] Akaike H. A new look at the statistical model identification. In:. Springer series in statistics, Springer New York; 1974, pp. 215–22. doi:</w:t>
      </w:r>
      <w:hyperlink r:id="rId99">
        <w:r>
          <w:rPr>
            <w:rStyle w:val="Hyperlink"/>
          </w:rPr>
          <w:t xml:space="preserve">10.1007/978-1-4612-1694-0_16</w:t>
        </w:r>
      </w:hyperlink>
      <w:r>
        <w:t xml:space="preserve">.</w:t>
      </w:r>
    </w:p>
    <w:bookmarkEnd w:id="100"/>
    <w:bookmarkStart w:id="102" w:name="ref-Schwarz_1978"/>
    <w:p>
      <w:pPr>
        <w:pStyle w:val="Bibliography"/>
      </w:pPr>
      <w:r>
        <w:t xml:space="preserve">[28] Schwarz G. Estimating the dimension of a model. The Annals of Statistics 1978;6:461–4. doi:</w:t>
      </w:r>
      <w:hyperlink r:id="rId101">
        <w:r>
          <w:rPr>
            <w:rStyle w:val="Hyperlink"/>
          </w:rPr>
          <w:t xml:space="preserve">10.1214/aos/1176344136</w:t>
        </w:r>
      </w:hyperlink>
      <w:r>
        <w:t xml:space="preserve">.</w:t>
      </w:r>
    </w:p>
    <w:bookmarkEnd w:id="102"/>
    <w:bookmarkEnd w:id="103"/>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77b8e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a2d969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67cc72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97" Target="https://doi.org/10.1002/ajpa.22128" TargetMode="External" /><Relationship Type="http://schemas.openxmlformats.org/officeDocument/2006/relationships/hyperlink" Id="rId87" Target="https://doi.org/10.1002/bimj.4710320316" TargetMode="External" /><Relationship Type="http://schemas.openxmlformats.org/officeDocument/2006/relationships/hyperlink" Id="rId57" Target="https://doi.org/10.1002/oby.21615" TargetMode="External" /><Relationship Type="http://schemas.openxmlformats.org/officeDocument/2006/relationships/hyperlink" Id="rId89" Target="https://doi.org/10.1002/sim.1009" TargetMode="External" /><Relationship Type="http://schemas.openxmlformats.org/officeDocument/2006/relationships/hyperlink" Id="rId51" Target="https://doi.org/10.1002/sim.1687" TargetMode="External" /><Relationship Type="http://schemas.openxmlformats.org/officeDocument/2006/relationships/hyperlink" Id="rId47" Target="https://doi.org/10.1002/sim.2331" TargetMode="External" /><Relationship Type="http://schemas.openxmlformats.org/officeDocument/2006/relationships/hyperlink" Id="rId59" Target="https://doi.org/10.1002/sim.4333" TargetMode="External" /><Relationship Type="http://schemas.openxmlformats.org/officeDocument/2006/relationships/hyperlink" Id="rId61" Target="https://doi.org/10.1002/sim.5813" TargetMode="External" /><Relationship Type="http://schemas.openxmlformats.org/officeDocument/2006/relationships/hyperlink" Id="rId67" Target="https://doi.org/10.1002/sim.6958" TargetMode="External" /><Relationship Type="http://schemas.openxmlformats.org/officeDocument/2006/relationships/hyperlink" Id="rId93" Target="https://doi.org/10.1002/sim.7171" TargetMode="External" /><Relationship Type="http://schemas.openxmlformats.org/officeDocument/2006/relationships/hyperlink" Id="rId63" Target="https://doi.org/10.1002/sim.7930" TargetMode="External" /><Relationship Type="http://schemas.openxmlformats.org/officeDocument/2006/relationships/hyperlink" Id="rId99" Target="https://doi.org/10.1007/978-1-4612-1694-0_16" TargetMode="External" /><Relationship Type="http://schemas.openxmlformats.org/officeDocument/2006/relationships/hyperlink" Id="rId73" Target="https://doi.org/10.1016/s0140-6736(06)69606-2" TargetMode="External" /><Relationship Type="http://schemas.openxmlformats.org/officeDocument/2006/relationships/hyperlink" Id="rId53" Target="https://doi.org/10.1037/0033-2909.113.1.181" TargetMode="External" /><Relationship Type="http://schemas.openxmlformats.org/officeDocument/2006/relationships/hyperlink" Id="rId75" Target="https://doi.org/10.1053/j.gastro.2013.04.055" TargetMode="External" /><Relationship Type="http://schemas.openxmlformats.org/officeDocument/2006/relationships/hyperlink" Id="rId83" Target="https://doi.org/10.1080/00949650108812083" TargetMode="External" /><Relationship Type="http://schemas.openxmlformats.org/officeDocument/2006/relationships/hyperlink" Id="rId55" Target="https://doi.org/10.1097/00001648-199507000-00002" TargetMode="External" /><Relationship Type="http://schemas.openxmlformats.org/officeDocument/2006/relationships/hyperlink" Id="rId85" Target="https://doi.org/10.1111/1467-985x.00122" TargetMode="External" /><Relationship Type="http://schemas.openxmlformats.org/officeDocument/2006/relationships/hyperlink" Id="rId49" Target="https://doi.org/10.1136/bmj.332.7549.1080" TargetMode="External" /><Relationship Type="http://schemas.openxmlformats.org/officeDocument/2006/relationships/hyperlink" Id="rId71" Target="https://doi.org/10.1136/bmj.c117" TargetMode="External" /><Relationship Type="http://schemas.openxmlformats.org/officeDocument/2006/relationships/hyperlink" Id="rId91" Target="https://doi.org/10.1186/1471-2288-14-25" TargetMode="External" /><Relationship Type="http://schemas.openxmlformats.org/officeDocument/2006/relationships/hyperlink" Id="rId77" Target="https://doi.org/10.1198/106186008x319331" TargetMode="External" /><Relationship Type="http://schemas.openxmlformats.org/officeDocument/2006/relationships/hyperlink" Id="rId69" Target="https://doi.org/10.1200/jco.2007.14.8981" TargetMode="External" /><Relationship Type="http://schemas.openxmlformats.org/officeDocument/2006/relationships/hyperlink" Id="rId101" Target="https://doi.org/10.1214/aos/1176344136" TargetMode="External" /><Relationship Type="http://schemas.openxmlformats.org/officeDocument/2006/relationships/hyperlink" Id="rId95" Target="https://doi.org/10.1348/000711009x431509" TargetMode="External" /><Relationship Type="http://schemas.openxmlformats.org/officeDocument/2006/relationships/hyperlink" Id="rId79" Target="https://doi.org/10.2139/ssrn.1341380" TargetMode="External" /><Relationship Type="http://schemas.openxmlformats.org/officeDocument/2006/relationships/hyperlink" Id="rId81" Target="https://doi.org/10.2307/2986270" TargetMode="External" /><Relationship Type="http://schemas.openxmlformats.org/officeDocument/2006/relationships/hyperlink" Id="rId65"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97" Target="https://doi.org/10.1002/ajpa.22128" TargetMode="External" /><Relationship Type="http://schemas.openxmlformats.org/officeDocument/2006/relationships/hyperlink" Id="rId87" Target="https://doi.org/10.1002/bimj.4710320316" TargetMode="External" /><Relationship Type="http://schemas.openxmlformats.org/officeDocument/2006/relationships/hyperlink" Id="rId57" Target="https://doi.org/10.1002/oby.21615" TargetMode="External" /><Relationship Type="http://schemas.openxmlformats.org/officeDocument/2006/relationships/hyperlink" Id="rId89" Target="https://doi.org/10.1002/sim.1009" TargetMode="External" /><Relationship Type="http://schemas.openxmlformats.org/officeDocument/2006/relationships/hyperlink" Id="rId51" Target="https://doi.org/10.1002/sim.1687" TargetMode="External" /><Relationship Type="http://schemas.openxmlformats.org/officeDocument/2006/relationships/hyperlink" Id="rId47" Target="https://doi.org/10.1002/sim.2331" TargetMode="External" /><Relationship Type="http://schemas.openxmlformats.org/officeDocument/2006/relationships/hyperlink" Id="rId59" Target="https://doi.org/10.1002/sim.4333" TargetMode="External" /><Relationship Type="http://schemas.openxmlformats.org/officeDocument/2006/relationships/hyperlink" Id="rId61" Target="https://doi.org/10.1002/sim.5813" TargetMode="External" /><Relationship Type="http://schemas.openxmlformats.org/officeDocument/2006/relationships/hyperlink" Id="rId67" Target="https://doi.org/10.1002/sim.6958" TargetMode="External" /><Relationship Type="http://schemas.openxmlformats.org/officeDocument/2006/relationships/hyperlink" Id="rId93" Target="https://doi.org/10.1002/sim.7171" TargetMode="External" /><Relationship Type="http://schemas.openxmlformats.org/officeDocument/2006/relationships/hyperlink" Id="rId63" Target="https://doi.org/10.1002/sim.7930" TargetMode="External" /><Relationship Type="http://schemas.openxmlformats.org/officeDocument/2006/relationships/hyperlink" Id="rId99" Target="https://doi.org/10.1007/978-1-4612-1694-0_16" TargetMode="External" /><Relationship Type="http://schemas.openxmlformats.org/officeDocument/2006/relationships/hyperlink" Id="rId73" Target="https://doi.org/10.1016/s0140-6736(06)69606-2" TargetMode="External" /><Relationship Type="http://schemas.openxmlformats.org/officeDocument/2006/relationships/hyperlink" Id="rId53" Target="https://doi.org/10.1037/0033-2909.113.1.181" TargetMode="External" /><Relationship Type="http://schemas.openxmlformats.org/officeDocument/2006/relationships/hyperlink" Id="rId75" Target="https://doi.org/10.1053/j.gastro.2013.04.055" TargetMode="External" /><Relationship Type="http://schemas.openxmlformats.org/officeDocument/2006/relationships/hyperlink" Id="rId83" Target="https://doi.org/10.1080/00949650108812083" TargetMode="External" /><Relationship Type="http://schemas.openxmlformats.org/officeDocument/2006/relationships/hyperlink" Id="rId55" Target="https://doi.org/10.1097/00001648-199507000-00002" TargetMode="External" /><Relationship Type="http://schemas.openxmlformats.org/officeDocument/2006/relationships/hyperlink" Id="rId85" Target="https://doi.org/10.1111/1467-985x.00122" TargetMode="External" /><Relationship Type="http://schemas.openxmlformats.org/officeDocument/2006/relationships/hyperlink" Id="rId49" Target="https://doi.org/10.1136/bmj.332.7549.1080" TargetMode="External" /><Relationship Type="http://schemas.openxmlformats.org/officeDocument/2006/relationships/hyperlink" Id="rId71" Target="https://doi.org/10.1136/bmj.c117" TargetMode="External" /><Relationship Type="http://schemas.openxmlformats.org/officeDocument/2006/relationships/hyperlink" Id="rId91" Target="https://doi.org/10.1186/1471-2288-14-25" TargetMode="External" /><Relationship Type="http://schemas.openxmlformats.org/officeDocument/2006/relationships/hyperlink" Id="rId77" Target="https://doi.org/10.1198/106186008x319331" TargetMode="External" /><Relationship Type="http://schemas.openxmlformats.org/officeDocument/2006/relationships/hyperlink" Id="rId69" Target="https://doi.org/10.1200/jco.2007.14.8981" TargetMode="External" /><Relationship Type="http://schemas.openxmlformats.org/officeDocument/2006/relationships/hyperlink" Id="rId101" Target="https://doi.org/10.1214/aos/1176344136" TargetMode="External" /><Relationship Type="http://schemas.openxmlformats.org/officeDocument/2006/relationships/hyperlink" Id="rId95" Target="https://doi.org/10.1348/000711009x431509" TargetMode="External" /><Relationship Type="http://schemas.openxmlformats.org/officeDocument/2006/relationships/hyperlink" Id="rId79" Target="https://doi.org/10.2139/ssrn.1341380" TargetMode="External" /><Relationship Type="http://schemas.openxmlformats.org/officeDocument/2006/relationships/hyperlink" Id="rId81" Target="https://doi.org/10.2307/2986270" TargetMode="External" /><Relationship Type="http://schemas.openxmlformats.org/officeDocument/2006/relationships/hyperlink" Id="rId65"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2018-10-14T14:46:56Z</dcterms:created>
  <dcterms:modified xsi:type="dcterms:W3CDTF">2018-10-14T14:46:56Z</dcterms:modified>
</cp:coreProperties>
</file>