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4.png" ContentType="image/png"/>
  <Override PartName="/word/media/rId57.png" ContentType="image/png"/>
  <Override PartName="/word/media/rId61.png" ContentType="image/png"/>
  <Override PartName="/word/media/rId58.png" ContentType="image/png"/>
  <Override PartName="/word/media/rId60.png" ContentType="image/png"/>
  <Override PartName="/word/media/rId55.png" ContentType="image/png"/>
  <Override PartName="/word/media/rId46.png" ContentType="image/png"/>
  <Override PartName="/word/media/rId33.png" ContentType="image/png"/>
  <Override PartName="/word/media/rId52.png" ContentType="image/png"/>
  <Override PartName="/word/media/rId45.png" ContentType="image/png"/>
  <Override PartName="/word/media/rId34.png" ContentType="image/png"/>
  <Override PartName="/word/media/rId48.png" ContentType="image/png"/>
  <Override PartName="/word/media/rId49.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by</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14</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We show that GLMM-trees is a helpful exploratory tool, providing evidence for three-way interactions. On the regression-based methods two-stage approaches showed increased risk of non-convergence and dropping whole trials due to missing data. On the other hand, one-stage methods produced results using all information available. Nevertheless, they produced varying results over the power to detect the effect modification, the modelling efficiency and the produced cut-points.</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unadjusted non-linear associations. We propose the use of more flexible approaches such GLMM-trees and splines to explore and investigate effect modification.</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statistical analysis, where data are gathered from multiple studies are combined and analysed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w:t>
      </w:r>
      <w:r>
        <w:t xml:space="preserve"> </w:t>
      </w:r>
      <w:r>
        <w:t xml:space="preserve">[1–3]</w:t>
      </w:r>
      <w:r>
        <w:t xml:space="preserve">. A vivid field of research towards personalised healthcare is the investigation of effect modification. For this, IPD-MA is considered the gold standard as single trials rarely have sufficient power to properly detect effect modification.</w:t>
      </w:r>
      <w:r>
        <w:t xml:space="preserve"> </w:t>
      </w:r>
      <w:r>
        <w:t xml:space="preserve">Effect modification may be present in both categorical and/or continuous covariates. For instance, differences in the treatment effect may be present between smokers and non-smokers, or across the age of the patients. If subgroups have been predefined, hypothesis testing may be performed using traditional regression-based methods. For single trials, this typically involves the estimation of (linear) interaction terms between treatment and the modifier of interest. In an IPD-MA, these interaction effects may be estimated either separately within studies and subsequently be pooled across studies (two-stage IPDMA), or directly across all studies (one-stage IPDMA.</w:t>
      </w:r>
      <w:r>
        <w:t xml:space="preserve"> </w:t>
      </w:r>
      <w:r>
        <w:t xml:space="preserve">However, effect modification across continuous variables is more challenging, since we may need to evaluate effect modification and at the same time want to define a threshold from which point the treatment effect is relevantly different. Categorization is a common technique to investigate effect modification, by splitting the continuous covariate into subgroups. Nevertheless, these subgroups should always be created based on good prior knowledge from literature. If so, this approach may provide meaningful insight into effect modification.</w:t>
      </w:r>
      <w:r>
        <w:t xml:space="preserve"> </w:t>
      </w:r>
      <w:r>
        <w:t xml:space="preserve">Nevertheless, categorization has been criticised for misspecification, loss of information and power, inflation of the type I error rate and even biased results</w:t>
      </w:r>
      <w:r>
        <w:t xml:space="preserve"> </w:t>
      </w:r>
      <w:r>
        <w:t xml:space="preserve">[4–8]</w:t>
      </w:r>
      <w:r>
        <w:t xml:space="preserve">. Another common practice is using the covariable as it is, but assuming linearity over the link function, a method that may also lead to deterioration of power, misspecification, and even spurious results</w:t>
      </w:r>
      <w:r>
        <w:t xml:space="preserve"> </w:t>
      </w:r>
      <w:r>
        <w:t xml:space="preserve">[9]</w:t>
      </w:r>
      <w:r>
        <w:t xml:space="preserve">. Ideally, when continuous covariates are included, we would like to account for their functional form while simultaneously making inferences over the presence of the effect modification. Furthermore, although the association between the outcome and the continuous effect modifier is highly informative, clinical decisions are based on subgroups of participants the differ in treatment response. Finally, subgroups generated from continuous variables are defined by the cut-points were the treatment effect is considered to change. These cut-points may be based on the treatment effect function</w:t>
      </w:r>
      <w:r>
        <w:t xml:space="preserve"> </w:t>
      </w:r>
      <w:r>
        <w:t xml:space="preserve">[10]</w:t>
      </w:r>
      <w:r>
        <w:t xml:space="preserve">, i.e. the difference between the two treatments over the range of the covariable or the treatment-effect modifier interaction terms</w:t>
      </w:r>
      <w:r>
        <w:t xml:space="preserve"> </w:t>
      </w:r>
      <w:r>
        <w:t xml:space="preserve">[11]</w:t>
      </w:r>
      <w:r>
        <w:t xml:space="preserve">. For this, various approaches to account for non-linear associations have been developed, such as splines and fractional polynomials (FP)</w:t>
      </w:r>
      <w:r>
        <w:t xml:space="preserve"> </w:t>
      </w:r>
      <w:r>
        <w:t xml:space="preserve">[12]</w:t>
      </w:r>
      <w:r>
        <w:t xml:space="preserve">.</w:t>
      </w:r>
    </w:p>
    <w:p>
      <w:pPr>
        <w:pStyle w:val="Compact"/>
      </w:pPr>
      <w:r>
        <w:t xml:space="preserve">For IPD-MA, regression-based approaches such as linear models, piecewise polynomials, FPs and smoothing splines may be performed either in one or two stages. In a two-stage approach, first each trial is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and the potential of ecological bias.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[14]</w:t>
      </w:r>
      <w:r>
        <w:t xml:space="preserve">. Other methods to explore effect modification are plot- and tree-based methods such as the generalised linear mixed-effects model tree (GLMM-tree) method</w:t>
      </w:r>
      <w:r>
        <w:t xml:space="preserve"> </w:t>
      </w:r>
      <w:r>
        <w:t xml:space="preserve">[15]</w:t>
      </w:r>
      <w:r>
        <w:t xml:space="preserve"> </w:t>
      </w:r>
      <w:r>
        <w:t xml:space="preserve">or meta-stepp, a plot based moving average (sliding window) method.</w:t>
      </w:r>
    </w:p>
    <w:p>
      <w:pPr>
        <w:pStyle w:val="BodyText"/>
      </w:pPr>
      <w:r>
        <w:t xml:space="preserve">Although there is a large variety of methods to explore effect modification for continuous covariates, little guidance exists on their use. We aim to describe and illustrate the aforementioned methods by applying them on two empirical examples, while discussing their (potential) advantages and limitations.</w:t>
      </w:r>
    </w:p>
    <w:p>
      <w:pPr>
        <w:pStyle w:val="Heading1"/>
      </w:pPr>
      <w:bookmarkStart w:id="28" w:name="empirical-examples"/>
      <w:r>
        <w:t xml:space="preserve">2. Empirical examples</w:t>
      </w:r>
      <w:bookmarkEnd w:id="28"/>
    </w:p>
    <w:p>
      <w:pPr>
        <w:pStyle w:val="FirstParagraph"/>
      </w:pPr>
      <w:r>
        <w:t xml:space="preserve">We use 2 IPD-sets to illustrate aforementioned methods. The first empirical example</w:t>
      </w:r>
      <w:r>
        <w:t xml:space="preserve"> </w:t>
      </w:r>
      <w:r>
        <w:t xml:space="preserve">[16]</w:t>
      </w:r>
      <w:r>
        <w:t xml:space="preserve"> </w:t>
      </w:r>
      <w:r>
        <w:t xml:space="preserve">considers an IPD-MA where the effect of antibiotics in acute otitis media was investigated in children.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empirical example</w:t>
      </w:r>
      <w:r>
        <w:t xml:space="preserve"> </w:t>
      </w:r>
      <w:r>
        <w:t xml:space="preserve">[17]</w:t>
      </w:r>
      <w:r>
        <w:t xml:space="preserve"> </w:t>
      </w:r>
      <w:r>
        <w:t xml:space="preserve">considers an IPD-MA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empirical example datasets are composed of multiple randomised trials. We will adopt the following notation throughout our manuscript:</w:t>
      </w:r>
    </w:p>
    <w:p>
      <w:pPr>
        <w:pStyle w:val="Compact"/>
        <w:numPr>
          <w:numId w:val="1001"/>
          <w:ilvl w:val="0"/>
        </w:numPr>
      </w:pPr>
      <w:r>
        <w:t xml:space="preserve">The trials as j = 1,2, …,J,</w:t>
      </w:r>
    </w:p>
    <w:p>
      <w:pPr>
        <w:pStyle w:val="Compact"/>
        <w:numPr>
          <w:numId w:val="1001"/>
          <w:ilvl w:val="0"/>
        </w:numPr>
      </w:pPr>
      <w:r>
        <w:t xml:space="preserve">Trial participants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w:t>
      </w:r>
      <w:r>
        <w:t xml:space="preserve"> </w:t>
      </w:r>
      <m:oMath>
        <m:sSub>
          <m:e>
            <m:r>
              <m:t>X</m:t>
            </m:r>
          </m:e>
          <m:sub>
            <m:r>
              <m:t>i</m:t>
            </m:r>
            <m:r>
              <m:t>j</m:t>
            </m:r>
          </m:sub>
        </m:sSub>
      </m:oMath>
      <w:r>
        <w:t xml:space="preserve"> </w:t>
      </w:r>
      <w:r>
        <w:t xml:space="preserve">=</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Cut-point (knot)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Compact"/>
      </w:pPr>
      <w:r>
        <w:t xml:space="preserve">Recursive partitioning can be a first step to explore the underlying structure of the data, such as whether there are outcome differences across the levels of a continuous or categorical variable. It is a statistical method typically used in multivariable analysis</w:t>
      </w:r>
      <w:r>
        <w:t xml:space="preserve"> </w:t>
      </w:r>
      <w:r>
        <w:t xml:space="preserve">[18]</w:t>
      </w:r>
      <w:r>
        <w:t xml:space="preserve">. A decision tree is generated by dichotomising the variable by cut-points, thus creating subgroups where the treatment effect is altered. Recursive partitioning techniques can handle non-linear associations as they make no functional form assumption a-priori.</w:t>
      </w:r>
    </w:p>
    <w:p>
      <w:pPr>
        <w:pStyle w:val="BodyText"/>
      </w:pPr>
      <w:r>
        <w:t xml:space="preserve">Splitting the data-set into subgroups is a sensitive process though. Therefore, it is highly important to account for within trial clustering of the participants. The Generalised linear mixed model (GLMM) tree approach is a state-of-the-art technique using a model-based recursive partitioning</w:t>
      </w:r>
      <w:r>
        <w:t xml:space="preserve"> </w:t>
      </w:r>
      <w:r>
        <w:t xml:space="preserve">[19,20]</w:t>
      </w:r>
      <w:r>
        <w:t xml:space="preserve"> </w:t>
      </w:r>
      <w:r>
        <w:t xml:space="preserve">algorithm. It was proposed by Fokkema et al.</w:t>
      </w:r>
      <w:r>
        <w:t xml:space="preserve"> </w:t>
      </w:r>
      <w:r>
        <w:t xml:space="preserve">[21]</w:t>
      </w:r>
      <w:r>
        <w:t xml:space="preserve"> </w:t>
      </w:r>
      <w:r>
        <w:t xml:space="preserve">to detect treatment-effect modifier interactions in the presence of clustered data, as is the case in IPD-MA. Since this approach is exploratory, we can play with the significance level</w:t>
      </w:r>
      <w:r>
        <w:t xml:space="preserve"> </w:t>
      </w:r>
      <m:oMath>
        <m:r>
          <m:t>α</m:t>
        </m:r>
      </m:oMath>
      <w:r>
        <w:t xml:space="preserve"> </w:t>
      </w:r>
      <w:r>
        <w:t xml:space="preserve">for the splitting criterion, to be more or less liberal. Furthermore, we can use GLMM-trees to detect the possibly relevant variables, their crude cut-points and their underlying subgroups. If GLMM-tree results in subgroups, we can evaluate the corresponding variable using a more sophisticated approach. For example, if we identify age and gender as subgrouping variables using the GLMM-tree, we can use a regression technique to model this relationship. The GLMM tree algorithm (1) starts by fitting a regression model with interaction terms (treatment x subgroup variables) included (2) statistically tests the interaction terms using a user-defined α, i.e. whether treatment is modified with respect to the subgroup variables, then (3) if test indicates modification, splits the dataset in order to create 2 subgroups with the largest difference in treatment effect. This procedure is (4) repeated in each of the resulting subgroups, until a user-defined convergence is achieved.</w:t>
      </w:r>
    </w:p>
    <w:p>
      <w:pPr>
        <w:pStyle w:val="Heading2"/>
      </w:pPr>
      <w:bookmarkStart w:id="32" w:name="regression-based-approaches"/>
      <w:r>
        <w:t xml:space="preserve">3.3 Regression based approaches</w:t>
      </w:r>
      <w:bookmarkEnd w:id="32"/>
    </w:p>
    <w:p>
      <w:pPr>
        <w:pStyle w:val="Compact"/>
      </w:pPr>
      <w:r>
        <w:t xml:space="preserve">In regression-based approaches it is important to specify an appropriate functional form for the association between the effect modifier and the outcome. If the functional form is known a priori (e.g. linear, log-linear), modelling is fairly straightforward. However, if the functional form is not properly be predefined, splines and/or fractional polynomials may be used to evaluate the functional form of the association.</w:t>
      </w:r>
    </w:p>
    <w:p>
      <w:pPr>
        <w:pStyle w:val="BodyText"/>
      </w:pPr>
      <w:r>
        <w:t xml:space="preserve">When using segmented functions, another concern is the selection and placing of the cut-points (knots), which are used to model changes in the shape of the association. The location and number of knots could be either predefined or estimated. In first case, we split the variable in these knots and fit an appropriate polynomial regression within. In the later, we may either use cross-validation or penalised maximum likelihood approaches.</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3"/>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4"/>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for any regression-based approach, the presence of within-trial clustering should be accounted for</w:t>
      </w:r>
      <w:r>
        <w:t xml:space="preserve"> </w:t>
      </w:r>
      <w:r>
        <w:t xml:space="preserve">[22]</w:t>
      </w:r>
      <w:r>
        <w:t xml:space="preserve">. Below, we describe how this can be done in an IPD-MA.</w:t>
      </w:r>
    </w:p>
    <w:p>
      <w:pPr>
        <w:pStyle w:val="Heading3"/>
      </w:pPr>
      <w:bookmarkStart w:id="35" w:name="two-stage-approaches"/>
      <w:r>
        <w:t xml:space="preserve">3.3.1. Two-stage approaches</w:t>
      </w:r>
      <w:bookmarkEnd w:id="35"/>
    </w:p>
    <w:p>
      <w:pPr>
        <w:pStyle w:val="FirstParagraph"/>
      </w:pPr>
      <w:r>
        <w:t xml:space="preserve">In two-stage approaches a statistical model of choice is directly fitted per trial. 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6" w:name="first-stage-per-trial-modelling"/>
      <w:r>
        <w:t xml:space="preserve">3.3.1.1 First stage: Per-trial modelling</w:t>
      </w:r>
      <w:bookmarkEnd w:id="36"/>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group respectively. Depending on the a priori knowledge of the association’s functional form and the cut-points where the effect is altered, we may either fit a generalised additive model with splines included, a fractional polynomial model or a polynomial model (including linear shapes and categorised variable). The approaches mentioned above, besides FPs, can be also performed using the continuous variable split in predefined cut-points, also called knots.</w:t>
      </w:r>
    </w:p>
    <w:p>
      <w:pPr>
        <w:pStyle w:val="BodyText"/>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 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BodyText"/>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[23]</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[24]</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[12]</w:t>
      </w:r>
      <w:r>
        <w:t xml:space="preserve">, have proposed 3 methods to evaluate the general functional form.</w:t>
      </w:r>
    </w:p>
    <w:p>
      <w:pPr>
        <w:pStyle w:val="Compact"/>
        <w:numPr>
          <w:numId w:val="1002"/>
          <w:ilvl w:val="0"/>
        </w:numPr>
      </w:pPr>
      <w:r>
        <w:t xml:space="preserve">Overall FP, where the FSP is applied in the pooled data, in order to find the best FP (stratified by data-set).</w:t>
      </w:r>
    </w:p>
    <w:p>
      <w:pPr>
        <w:pStyle w:val="Compact"/>
        <w:numPr>
          <w:numId w:val="1002"/>
          <w:ilvl w:val="0"/>
        </w:numPr>
      </w:pPr>
      <w:r>
        <w:t xml:space="preserve">Study-wise FP2, the best FP2 is selected for each study</w:t>
      </w:r>
    </w:p>
    <w:p>
      <w:pPr>
        <w:pStyle w:val="Compact"/>
        <w:numPr>
          <w:numId w:val="1002"/>
          <w:ilvl w:val="0"/>
        </w:numPr>
      </w:pPr>
      <w:r>
        <w:t xml:space="preserve">Study wise selected FP, where the best fitting FP is extracted per study</w:t>
      </w:r>
    </w:p>
    <w:p>
      <w:pPr>
        <w:pStyle w:val="FirstParagraph"/>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3"/>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0"/>
        </w:numPr>
      </w:pPr>
      <w:r>
        <w:t xml:space="preserve">Piecewise-polynomials mostly used are piecewise constant, linear, quadratic and cubic.</w:t>
      </w:r>
    </w:p>
    <w:p>
      <w:pPr>
        <w:pStyle w:val="FirstParagraph"/>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4"/>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Heading4"/>
      </w:pPr>
      <w:bookmarkStart w:id="37" w:name="second-stage-combination-of-the-first-stage-results"/>
      <w:r>
        <w:t xml:space="preserve">3.3.1.2 Second-stage combination of the first stage results</w:t>
      </w:r>
      <w:bookmarkEnd w:id="37"/>
    </w:p>
    <w:p>
      <w:pPr>
        <w:pStyle w:val="FirstParagraph"/>
      </w:pPr>
      <w:r>
        <w:t xml:space="preserve">As a second-stage in the two-stage IPD-MA, we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trial</w:t>
      </w:r>
      <w:r>
        <w:t xml:space="preserve"> </w:t>
      </w:r>
      <m:oMath>
        <m:sSub>
          <m:e>
            <m:r>
              <m:t>β</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a common effect or random effects. When using random effects approach, a variety of methods is available to estimate the pooled coefficients, such as maximum likelihood, restricted maximum likelihood, method of moments or variance components. We preferred the restricted maximum likelihood, in order to be consistent with one-stage approaches. This approach only works when common powers are present across studies. Therefore, it is applicable in piecewise, global polynomials, and fractional polynomials fitted using the overall FP procedure.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8" w:name="one-stage-approaches"/>
      <w:r>
        <w:t xml:space="preserve">3.3.2. One-stage approaches</w:t>
      </w:r>
      <w:bookmarkEnd w:id="38"/>
    </w:p>
    <w:p>
      <w:pPr>
        <w:pStyle w:val="Heading4"/>
      </w:pPr>
      <w:bookmarkStart w:id="39" w:name="generalised-additive-mixed-effects-models"/>
      <w:r>
        <w:t xml:space="preserve">3.3.2.1 Generalised additive mixed effects models</w:t>
      </w:r>
      <w:bookmarkEnd w:id="39"/>
    </w:p>
    <w:p>
      <w:pPr>
        <w:pStyle w:val="FirstParagraph"/>
      </w:pPr>
      <w:r>
        <w:t xml:space="preserve">Generalised additive models are a form of penalised generalised linear models. One type of penalization is identical to the random effects’ technique introduced by McCullagh et al.</w:t>
      </w:r>
      <w:r>
        <w:t xml:space="preserve"> </w:t>
      </w:r>
      <w:r>
        <w:t xml:space="preserve">[27]</w:t>
      </w:r>
      <w:r>
        <w:t xml:space="preserve"> </w:t>
      </w:r>
      <w:r>
        <w:t xml:space="preserve">in the generalised mixed effects models. There we can estimate a separate functional form per trial, given the fixed effects parameters.</w:t>
      </w:r>
    </w:p>
    <w:p>
      <w:pPr>
        <w:pStyle w:val="Heading4"/>
      </w:pPr>
      <w:bookmarkStart w:id="40" w:name="multilevel-fractional-polynomials"/>
      <w:r>
        <w:t xml:space="preserve">3.3.2.2 Multilevel Fractional polynomials</w:t>
      </w:r>
      <w:bookmarkEnd w:id="40"/>
    </w:p>
    <w:p>
      <w:pPr>
        <w:pStyle w:val="FirstParagraph"/>
      </w:pPr>
      <w:r>
        <w:t xml:space="preserve">Fractional polynomials may be used using a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model with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4"/>
      </w:pPr>
      <w:bookmarkStart w:id="41" w:name="centred-one-stage-ipd-ma"/>
      <w:r>
        <w:t xml:space="preserve">3.3.2.3 Centred One-stage IPD-MA</w:t>
      </w:r>
      <w:bookmarkEnd w:id="41"/>
    </w:p>
    <w:p>
      <w:pPr>
        <w:pStyle w:val="FirstParagraph"/>
      </w:pPr>
      <w:r>
        <w:t xml:space="preserve">We follow recent recommendations</w:t>
      </w:r>
      <w:r>
        <w:t xml:space="preserve"> </w:t>
      </w:r>
      <w:r>
        <w:t xml:space="preserve">[32]</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 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5"/>
      </w:pPr>
      <w:bookmarkStart w:id="42" w:name="section-1"/>
      <w:bookmarkEnd w:id="42"/>
    </w:p>
    <w:p>
      <w:pPr>
        <w:pStyle w:val="Heading1"/>
      </w:pPr>
      <w:bookmarkStart w:id="43" w:name="results-1"/>
      <w:r>
        <w:t xml:space="preserve">Results</w:t>
      </w:r>
      <w:bookmarkEnd w:id="43"/>
    </w:p>
    <w:p>
      <w:pPr>
        <w:pStyle w:val="FirstParagraph"/>
      </w:pPr>
      <w:r>
        <w:t xml:space="preserve">We will illustrate the results of the aforementioned approaches beginning with the more exploratory to the more confirmatory methods. Therefore, we will start with the tree-based approach and smoothing splines, as we believe that these should be the first exploratory steps. Subsequently, we will show the results of FPs and we end with generalised linear models.</w:t>
      </w:r>
    </w:p>
    <w:p>
      <w:pPr>
        <w:pStyle w:val="Heading2"/>
      </w:pPr>
      <w:bookmarkStart w:id="44" w:name="glmm-trees"/>
      <w:r>
        <w:t xml:space="preserve">GLMM-Trees</w:t>
      </w:r>
      <w:bookmarkEnd w:id="44"/>
    </w:p>
    <w:p>
      <w:pPr>
        <w:pStyle w:val="FirstParagraph"/>
      </w:pPr>
      <w:r>
        <w:t xml:space="preserve">In the Gevers et al. data-set we increased the level of significance into</w:t>
      </w:r>
      <w:r>
        <w:t xml:space="preserve"> </w:t>
      </w:r>
      <m:oMath>
        <m:r>
          <m:t>α</m:t>
        </m:r>
      </m:oMath>
      <w:r>
        <w:t xml:space="preserve"> </w:t>
      </w:r>
      <w:r>
        <w:t xml:space="preserve">=0.3, due to small sample size per trial.</w:t>
      </w:r>
    </w:p>
    <w:p>
      <w:pPr>
        <w:pStyle w:val="BodyText"/>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5"/>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rPr>
          <w:b/>
        </w:rPr>
        <w:t xml:space="preserve">Figure.1 GLMM-tree for the liver data set</w:t>
      </w:r>
    </w:p>
    <w:p>
      <w:pPr>
        <w:pStyle w:val="BodyText"/>
      </w:pPr>
      <w:r>
        <w:t xml:space="preserve">We show that there is a difference between the treatment effects of males and females. Furthermore, age seems to be an effect modifier in the subgroup of females (cut-point at 46 years).</w:t>
      </w:r>
    </w:p>
    <w:p>
      <w:pPr>
        <w:pStyle w:val="BodyText"/>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6"/>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rPr>
          <w:b/>
        </w:rPr>
        <w:t xml:space="preserve">Figure.2 GLMM-tree for the acute otitis media data set</w:t>
      </w:r>
    </w:p>
    <w:p>
      <w:pPr>
        <w:pStyle w:val="BodyText"/>
      </w:pPr>
      <w:r>
        <w:t xml:space="preserve">On the Rovers et al., dataset we show that age is a potential effect modifier and we may also have a three-way interaction with bilateral otitis.</w:t>
      </w:r>
    </w:p>
    <w:p>
      <w:pPr>
        <w:pStyle w:val="Heading2"/>
      </w:pPr>
      <w:bookmarkStart w:id="47" w:name="regression-based-approaches-1"/>
      <w:r>
        <w:t xml:space="preserve">Regression-based approaches</w:t>
      </w:r>
      <w:bookmarkEnd w:id="47"/>
    </w:p>
    <w:p>
      <w:pPr>
        <w:pStyle w:val="FirstParagraph"/>
      </w:pP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r>
        <w:t xml:space="preserve"> </w:t>
      </w:r>
      <w:r>
        <w:t xml:space="preserve">Before starting applying regression-based techniques to model or identify interactions, we suggest to plot the data using a locally estimated scatterplot smoothing (loess) approach, in order to have a first touch with the variables and how they are associated.</w:t>
      </w:r>
      <w:r>
        <w:t xml:space="preserve"> </w:t>
      </w: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r>
        <w:t xml:space="preserve"> </w:t>
      </w:r>
      <w:r>
        <w:t xml:space="preserve">Before starting applying regression-based techniques to model or identify interactions, we suggest to plot the data using a locally estimated scatterplot smoothing (loess) approach, in order to have a first touch with the variables and how they are associated.</w:t>
      </w:r>
    </w:p>
    <w:p>
      <w:pPr>
        <w:pStyle w:val="BodyText"/>
      </w:pPr>
      <w:r>
        <w:drawing>
          <wp:inline>
            <wp:extent cx="5943600" cy="3962399"/>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8"/>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2.png" id="0" name="Picture"/>
                    <pic:cNvPicPr>
                      <a:picLocks noChangeArrowheads="1" noChangeAspect="1"/>
                    </pic:cNvPicPr>
                  </pic:nvPicPr>
                  <pic:blipFill>
                    <a:blip r:embed="rId49"/>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We can see a linear association in the liver data set, while in the acute otitis media data set a quadratic.</w:t>
      </w:r>
    </w:p>
    <w:p>
      <w:pPr>
        <w:pStyle w:val="Heading2"/>
      </w:pPr>
      <w:bookmarkStart w:id="50" w:name="two-stage-smoothing-splines"/>
      <w:r>
        <w:t xml:space="preserve">Two-stage smoothing splines</w:t>
      </w:r>
      <w:bookmarkEnd w:id="50"/>
    </w:p>
    <w:p>
      <w:pPr>
        <w:pStyle w:val="FirstParagraph"/>
      </w:pPr>
      <w:r>
        <w:t xml:space="preserve">In the acute otitis media data-set we had convergence problems and some results were unrealistic…</w:t>
      </w:r>
      <w:r>
        <w:t xml:space="preserve"> </w:t>
      </w:r>
      <w:r>
        <w:rPr>
          <w:i/>
        </w:rPr>
        <w:t xml:space="preserve">Interactions are problematic. This approach is difficult and needs more attention</w:t>
      </w:r>
      <w:r>
        <w:t xml:space="preserve">.</w:t>
      </w:r>
    </w:p>
    <w:p>
      <w:pPr>
        <w:pStyle w:val="Heading2"/>
      </w:pPr>
      <w:bookmarkStart w:id="51" w:name="one-stage-smoothing-splines"/>
      <w:r>
        <w:t xml:space="preserve">One-stage smoothing splines</w:t>
      </w:r>
      <w:bookmarkEnd w:id="51"/>
    </w:p>
    <w:p>
      <w:pPr>
        <w:pStyle w:val="FirstParagraph"/>
      </w:pPr>
      <w:r>
        <w:t xml:space="preserve">In contrast with linear regression models, in smoothing spline models we cannot directly interpret the shape of the regression line from the summary estimates describing the spline function.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2"/>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3" w:name="two-stage-fractional-polynomials"/>
      <w:r>
        <w:t xml:space="preserve">Two-stage Fractional Polynomials</w:t>
      </w:r>
      <w:bookmarkEnd w:id="53"/>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drawing>
          <wp:inline>
            <wp:extent cx="5943600" cy="1841046"/>
            <wp:effectExtent b="0" l="0" r="0" t="0"/>
            <wp:docPr descr="" title="" id="1" name="Picture"/>
            <a:graphic>
              <a:graphicData uri="http://schemas.openxmlformats.org/drawingml/2006/picture">
                <pic:pic>
                  <pic:nvPicPr>
                    <pic:cNvPr descr="C:\Users\MICHAE~1\AppData\Local\Temp\Rtmp40PRfh\file388c368b791e.png" id="0" name="Picture"/>
                    <pic:cNvPicPr>
                      <a:picLocks noChangeArrowheads="1" noChangeAspect="1"/>
                    </pic:cNvPicPr>
                  </pic:nvPicPr>
                  <pic:blipFill>
                    <a:blip r:embed="rId54"/>
                    <a:stretch>
                      <a:fillRect/>
                    </a:stretch>
                  </pic:blipFill>
                  <pic:spPr bwMode="auto">
                    <a:xfrm>
                      <a:off x="0" y="0"/>
                      <a:ext cx="5943600" cy="1841046"/>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40PRfh\file388cce369.png" id="0" name="Picture"/>
                    <pic:cNvPicPr>
                      <a:picLocks noChangeArrowheads="1" noChangeAspect="1"/>
                    </pic:cNvPicPr>
                  </pic:nvPicPr>
                  <pic:blipFill>
                    <a:blip r:embed="rId55"/>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We couldn’t show that age is an effect modifier on 0.05</w:t>
      </w:r>
      <w:r>
        <w:t xml:space="preserve"> </w:t>
      </w:r>
      <m:oMath>
        <m:r>
          <m:t>α</m:t>
        </m:r>
      </m:oMath>
      <w:r>
        <w:t xml:space="preserve"> </w:t>
      </w:r>
      <w:r>
        <w:t xml:space="preserve">significance level.</w:t>
      </w:r>
    </w:p>
    <w:p>
      <w:pPr>
        <w:pStyle w:val="Heading2"/>
      </w:pPr>
      <w:bookmarkStart w:id="56" w:name="study-wise-fp2-the-best-fp2-is-selected-for-each-study"/>
      <w:r>
        <w:t xml:space="preserve">Study-wise FP2, the best FP2 is selected for each study</w:t>
      </w:r>
      <w:bookmarkEnd w:id="56"/>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drawing>
          <wp:inline>
            <wp:extent cx="5943600" cy="1567542"/>
            <wp:effectExtent b="0" l="0" r="0" t="0"/>
            <wp:docPr descr="" title="" id="1" name="Picture"/>
            <a:graphic>
              <a:graphicData uri="http://schemas.openxmlformats.org/drawingml/2006/picture">
                <pic:pic>
                  <pic:nvPicPr>
                    <pic:cNvPr descr="C:\Users\MICHAE~1\AppData\Local\Temp\Rtmp40PRfh\file388c3c3874f1.png" id="0" name="Picture"/>
                    <pic:cNvPicPr>
                      <a:picLocks noChangeArrowheads="1" noChangeAspect="1"/>
                    </pic:cNvPicPr>
                  </pic:nvPicPr>
                  <pic:blipFill>
                    <a:blip r:embed="rId57"/>
                    <a:stretch>
                      <a:fillRect/>
                    </a:stretch>
                  </pic:blipFill>
                  <pic:spPr bwMode="auto">
                    <a:xfrm>
                      <a:off x="0" y="0"/>
                      <a:ext cx="5943600" cy="15675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40PRfh\file388c53df2e93.png" id="0" name="Picture"/>
                    <pic:cNvPicPr>
                      <a:picLocks noChangeArrowheads="1" noChangeAspect="1"/>
                    </pic:cNvPicPr>
                  </pic:nvPicPr>
                  <pic:blipFill>
                    <a:blip r:embed="rId58"/>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For the liver data set the two-stage meta-analysis of interaction terms showed no statistically significant results. The reason we the same as in splines and FPs. The per trial</w:t>
      </w:r>
      <w:r>
        <w:t xml:space="preserve"> </w:t>
      </w:r>
      <w:r>
        <w:drawing>
          <wp:inline>
            <wp:extent cx="5943600" cy="518432"/>
            <wp:effectExtent b="0" l="0" r="0" t="0"/>
            <wp:docPr descr="" title="" id="1" name="Picture"/>
            <a:graphic>
              <a:graphicData uri="http://schemas.openxmlformats.org/drawingml/2006/picture">
                <pic:pic>
                  <pic:nvPicPr>
                    <pic:cNvPr descr="C:\Users\MICHAE~1\AppData\Local\Temp\Rtmp40PRfh\file388c33b13010.png" id="0" name="Picture"/>
                    <pic:cNvPicPr>
                      <a:picLocks noChangeArrowheads="1" noChangeAspect="1"/>
                    </pic:cNvPicPr>
                  </pic:nvPicPr>
                  <pic:blipFill>
                    <a:blip r:embed="rId59"/>
                    <a:stretch>
                      <a:fillRect/>
                    </a:stretch>
                  </pic:blipFill>
                  <pic:spPr bwMode="auto">
                    <a:xfrm>
                      <a:off x="0" y="0"/>
                      <a:ext cx="5943600" cy="518432"/>
                    </a:xfrm>
                    <a:prstGeom prst="rect">
                      <a:avLst/>
                    </a:prstGeom>
                    <a:noFill/>
                    <a:ln w="9525">
                      <a:noFill/>
                      <a:headEnd/>
                      <a:tailEnd/>
                    </a:ln>
                  </pic:spPr>
                </pic:pic>
              </a:graphicData>
            </a:graphic>
          </wp:inline>
        </w:drawing>
      </w:r>
      <w:r>
        <w:t xml:space="preserve"> </w:t>
      </w:r>
      <w:r>
        <w:t xml:space="preserve">coefficients</w:t>
      </w:r>
    </w:p>
    <w:p>
      <w:pPr>
        <w:pStyle w:val="BodyText"/>
      </w:pPr>
      <w:r>
        <w:t xml:space="preserve">Little et al had no bilateral information. The study was dropped.</w:t>
      </w:r>
    </w:p>
    <w:p>
      <w:pPr>
        <w:pStyle w:val="BodyText"/>
      </w:pPr>
      <w:r>
        <w:drawing>
          <wp:inline>
            <wp:extent cx="5943600" cy="2253342"/>
            <wp:effectExtent b="0" l="0" r="0" t="0"/>
            <wp:docPr descr="" title="" id="1" name="Picture"/>
            <a:graphic>
              <a:graphicData uri="http://schemas.openxmlformats.org/drawingml/2006/picture">
                <pic:pic>
                  <pic:nvPicPr>
                    <pic:cNvPr descr="C:\Users\MICHAE~1\AppData\Local\Temp\Rtmp40PRfh\file388c56b15600.png" id="0" name="Picture"/>
                    <pic:cNvPicPr>
                      <a:picLocks noChangeArrowheads="1" noChangeAspect="1"/>
                    </pic:cNvPicPr>
                  </pic:nvPicPr>
                  <pic:blipFill>
                    <a:blip r:embed="rId60"/>
                    <a:stretch>
                      <a:fillRect/>
                    </a:stretch>
                  </pic:blipFill>
                  <pic:spPr bwMode="auto">
                    <a:xfrm>
                      <a:off x="0" y="0"/>
                      <a:ext cx="5943600" cy="22533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40PRfh\file388c45444b8.png" id="0" name="Picture"/>
                    <pic:cNvPicPr>
                      <a:picLocks noChangeArrowheads="1" noChangeAspect="1"/>
                    </pic:cNvPicPr>
                  </pic:nvPicPr>
                  <pic:blipFill>
                    <a:blip r:embed="rId61"/>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rPr>
          <w:i/>
        </w:rPr>
        <w:t xml:space="preserve">One-stage IPD-MA</w:t>
      </w:r>
    </w:p>
    <w:p>
      <w:pPr>
        <w:pStyle w:val="Heading5"/>
      </w:pPr>
      <w:bookmarkStart w:id="62" w:name="section-2"/>
      <w:bookmarkEnd w:id="62"/>
    </w:p>
    <w:p>
      <w:pPr>
        <w:pStyle w:val="Heading1"/>
      </w:pPr>
      <w:bookmarkStart w:id="63" w:name="discussion"/>
      <w:r>
        <w:t xml:space="preserve">Discussion</w:t>
      </w:r>
      <w:bookmarkEnd w:id="63"/>
    </w:p>
    <w:p>
      <w:pPr>
        <w:pStyle w:val="FirstParagraph"/>
      </w:pPr>
      <w:r>
        <w:t xml:space="preserve">In our paper, we described and illustrated a variety of approaches to explore, confirm, model or investigate for effect modification by a continuous variable. Since clinical decision making often needs to consider treatment effect in terms of available infrastructure, costs, ethical constraints and other issues, it is important to assess how treatment effect varies across relevant patient characteristics (rather than merely establishing it does vary, as is commonly done in subgroup analysis). Policy makers can then integrate all relevant evidence (such as costs) to assess which cut-points should be recommended for decision making.</w:t>
      </w:r>
      <w:r>
        <w:t xml:space="preserve"> </w:t>
      </w:r>
      <w:r>
        <w:t xml:space="preserve">Our results showed that it is important to account for the outcome-variable functional shape. Furthermore, we showed that GLMM-trees can be a valuable exploratory tool to detect a potential higher-level interaction. Also, two-stage methods suffered from trial drop-outs and non-convergence, when trials with few participants were analysed.</w:t>
      </w:r>
    </w:p>
    <w:p>
      <w:pPr>
        <w:pStyle w:val="Heading2"/>
      </w:pPr>
      <w:bookmarkStart w:id="64" w:name="comparison-with-literature"/>
      <w:r>
        <w:t xml:space="preserve">5.1 Comparison with literature</w:t>
      </w:r>
      <w:bookmarkEnd w:id="64"/>
    </w:p>
    <w:p>
      <w:pPr>
        <w:pStyle w:val="FirstParagraph"/>
      </w:pPr>
      <w:r>
        <w:t xml:space="preserve">Help needed</w:t>
      </w:r>
    </w:p>
    <w:p>
      <w:pPr>
        <w:pStyle w:val="Heading2"/>
      </w:pPr>
      <w:bookmarkStart w:id="65" w:name="strengths-and-limitations"/>
      <w:r>
        <w:t xml:space="preserve">5.2 Strengths and limitations</w:t>
      </w:r>
      <w:bookmarkEnd w:id="65"/>
    </w:p>
    <w:p>
      <w:pPr>
        <w:pStyle w:val="FirstParagraph"/>
      </w:pPr>
      <w:r>
        <w:t xml:space="preserve">The major strength of our paper is the variety of approaches we illustrated. In particular, we beside generalised linear mixed effects models we also described and illustrated one and two-stage generalised additive models using splines, two-stage fractional polynomials and we proposed a one-stage fractional polynomial approach using a similar intuitive method as Royston et al. To our knowledge this the first study describing and illustrating in empirical data sets the approaches mentioned above. Furthermore, we also wish to point out some limitations.</w:t>
      </w:r>
      <w:r>
        <w:t xml:space="preserve"> </w:t>
      </w:r>
      <w:r>
        <w:t xml:space="preserve">I am writing them in bullets so that we extend them and order them and write more:</w:t>
      </w:r>
    </w:p>
    <w:p>
      <w:pPr>
        <w:pStyle w:val="Compact"/>
        <w:numPr>
          <w:numId w:val="1005"/>
          <w:ilvl w:val="0"/>
        </w:numPr>
      </w:pPr>
      <w:r>
        <w:t xml:space="preserve">GAM approach identifies the point where E(</w:t>
      </w:r>
      <m:oMath>
        <m:sSub>
          <m:e>
            <m:groupChr>
              <m:groupChrPr>
                <m:chr m:val="̂"/>
                <m:pos m:val="top"/>
                <m:vertJc m:val="bot"/>
              </m:groupChrPr>
              <m:e>
                <m:r>
                  <m:t>Y</m:t>
                </m:r>
              </m:e>
            </m:groupChr>
          </m:e>
          <m:sub>
            <m:r>
              <m:t>t</m:t>
            </m:r>
            <m:r>
              <m:t>r</m:t>
            </m:r>
            <m:r>
              <m:t>e</m:t>
            </m:r>
            <m:r>
              <m:t>a</m:t>
            </m:r>
            <m:r>
              <m:t>t</m:t>
            </m:r>
            <m:r>
              <m:t>e</m:t>
            </m:r>
            <m:r>
              <m:t>d</m:t>
            </m:r>
          </m:sub>
        </m:sSub>
        <m:r>
          <m:t>−</m:t>
        </m:r>
        <m:sSub>
          <m:e>
            <m:groupChr>
              <m:groupChrPr>
                <m:chr m:val="̂"/>
                <m:pos m:val="top"/>
                <m:vertJc m:val="bot"/>
              </m:groupChrPr>
              <m:e>
                <m:r>
                  <m:t>Y</m:t>
                </m:r>
              </m:e>
            </m:groupChr>
          </m:e>
          <m:sub>
            <m:r>
              <m:t>c</m:t>
            </m:r>
            <m:r>
              <m:t>o</m:t>
            </m:r>
            <m:r>
              <m:t>n</m:t>
            </m:r>
            <m:r>
              <m:t>t</m:t>
            </m:r>
            <m:r>
              <m:t>r</m:t>
            </m:r>
            <m:r>
              <m:t>o</m:t>
            </m:r>
            <m:r>
              <m:t>l</m:t>
            </m:r>
          </m:sub>
        </m:sSub>
        <m:r>
          <m:t>±</m:t>
        </m:r>
        <m:r>
          <m:t>1.96</m:t>
        </m:r>
        <m:r>
          <m:t>×</m:t>
        </m:r>
        <m:r>
          <m:t>S</m:t>
        </m:r>
        <m:sSub>
          <m:e>
            <m:r>
              <m:t>E</m:t>
            </m:r>
          </m:e>
          <m:sub>
            <m:r>
              <m:t>d</m:t>
            </m:r>
            <m:r>
              <m:t>i</m:t>
            </m:r>
            <m:r>
              <m:t>f</m:t>
            </m:r>
            <m:r>
              <m:t>f</m:t>
            </m:r>
          </m:sub>
        </m:sSub>
      </m:oMath>
      <w:r>
        <w:t xml:space="preserve"> </w:t>
      </w:r>
      <w:r>
        <w:t xml:space="preserve">) crosses 0. This measure can be further developed (ideas are welcome) for example, the percentage of the wrongly treated (Joanna’s idea), posterior confidence bands (Bayesian approach)</w:t>
      </w:r>
    </w:p>
    <w:p>
      <w:pPr>
        <w:numPr>
          <w:numId w:val="1005"/>
          <w:ilvl w:val="0"/>
        </w:numPr>
      </w:pPr>
      <w:r>
        <w:t xml:space="preserve">Our data were limited in linear and quadratic shapes</w:t>
      </w:r>
    </w:p>
    <w:p>
      <w:pPr>
        <w:pStyle w:val="Compact"/>
        <w:numPr>
          <w:numId w:val="1005"/>
          <w:ilvl w:val="0"/>
        </w:numPr>
      </w:pPr>
      <w:r>
        <w:t xml:space="preserve">Liver data set had small trials and didn’t converge (in two-stage approach)</w:t>
      </w:r>
    </w:p>
    <w:p>
      <w:pPr>
        <w:pStyle w:val="Compact"/>
        <w:numPr>
          <w:numId w:val="1005"/>
          <w:ilvl w:val="0"/>
        </w:numPr>
      </w:pPr>
      <w:r>
        <w:t xml:space="preserve">GAMs have a lot of variations nevertheless, we used the most reasonable</w:t>
      </w:r>
    </w:p>
    <w:p>
      <w:pPr>
        <w:numPr>
          <w:numId w:val="1005"/>
          <w:ilvl w:val="0"/>
        </w:numPr>
      </w:pPr>
      <w:r>
        <w:t xml:space="preserve">No simulation so we don’t really know the truth</w:t>
      </w:r>
    </w:p>
    <w:p>
      <w:pPr>
        <w:pStyle w:val="Heading2"/>
      </w:pPr>
      <w:bookmarkStart w:id="66" w:name="implications-for-practice"/>
      <w:r>
        <w:t xml:space="preserve">5.3 Implications for practice</w:t>
      </w:r>
      <w:bookmarkEnd w:id="66"/>
    </w:p>
    <w:p>
      <w:pPr>
        <w:pStyle w:val="Heading2"/>
      </w:pPr>
      <w:bookmarkStart w:id="67" w:name="conclusions"/>
      <w:r>
        <w:t xml:space="preserve">5.4 Conclusions</w:t>
      </w:r>
      <w:bookmarkEnd w:id="67"/>
    </w:p>
    <w:p>
      <w:pPr>
        <w:pStyle w:val="FirstParagraph"/>
      </w:pPr>
      <w:r>
        <w:t xml:space="preserve">We propose the use of one-stage generalised additive model with smoothing spline. This approach makes no assumptions over the functional shape and the cut-point where it changes, as its primary goal is to estimate them both. Furthermore, combined with the treatment effect plot we can easily identify the point where the treatment effect is altered, (equivalent to the CIs of the RD).</w:t>
      </w:r>
    </w:p>
    <w:p>
      <w:pPr>
        <w:pStyle w:val="Heading5"/>
      </w:pPr>
      <w:bookmarkStart w:id="68" w:name="section-3"/>
      <w:bookmarkEnd w:id="68"/>
    </w:p>
    <w:p>
      <w:pPr>
        <w:pStyle w:val="Heading1"/>
      </w:pPr>
      <w:bookmarkStart w:id="69" w:name="references"/>
      <w:r>
        <w:t xml:space="preserve">References</w:t>
      </w:r>
      <w:bookmarkEnd w:id="69"/>
    </w:p>
    <w:bookmarkStart w:id="133" w:name="refs"/>
    <w:bookmarkStart w:id="71" w:name="ref-Debray_2015"/>
    <w:p>
      <w:pPr>
        <w:pStyle w:val="Bibliography"/>
      </w:pPr>
      <w:r>
        <w:t xml:space="preserve">[1] Debray TPA, Moons KGM, Valkenhoef G van, Efthimiou O, Hummel N, Groenwold RHH, et al. Get real in individual participant data (IPD) meta-analysis: A review of the methodology. Research Synthesis Methods 2015;6:293–309. doi:</w:t>
      </w:r>
      <w:hyperlink r:id="rId70">
        <w:r>
          <w:rPr>
            <w:rStyle w:val="Hyperlink"/>
          </w:rPr>
          <w:t xml:space="preserve">10.1002/jrsm.1160</w:t>
        </w:r>
      </w:hyperlink>
      <w:r>
        <w:t xml:space="preserve">.</w:t>
      </w:r>
    </w:p>
    <w:bookmarkEnd w:id="71"/>
    <w:bookmarkStart w:id="72" w:name="ref-Maroeska_2012"/>
    <w:p>
      <w:pPr>
        <w:pStyle w:val="Bibliography"/>
      </w:pPr>
      <w:r>
        <w:t xml:space="preserve">[2] Rovers M, Reitsma J. [The meta-analysis of data from individual patients]. Nederlands Tijdschrift Voor Geneeskunde 2012;156:A4743.</w:t>
      </w:r>
    </w:p>
    <w:bookmarkEnd w:id="72"/>
    <w:bookmarkStart w:id="74" w:name="ref-Tierney_2015"/>
    <w:p>
      <w:pPr>
        <w:pStyle w:val="Bibliography"/>
      </w:pPr>
      <w:r>
        <w:t xml:space="preserve">[3] Tierney JF, Vale C, Riley R, Smith CT, Stewart L, Clarke M, et al. Individual participant data (IPD) meta-analyses of randomised controlled trials: Guidance on their use. PLOS Medicine 2015;12:e1001855. doi:</w:t>
      </w:r>
      <w:hyperlink r:id="rId73">
        <w:r>
          <w:rPr>
            <w:rStyle w:val="Hyperlink"/>
          </w:rPr>
          <w:t xml:space="preserve">10.1371/journal.pmed.1001855</w:t>
        </w:r>
      </w:hyperlink>
      <w:r>
        <w:t xml:space="preserve">.</w:t>
      </w:r>
    </w:p>
    <w:bookmarkEnd w:id="74"/>
    <w:bookmarkStart w:id="76" w:name="ref-Royston_2005"/>
    <w:p>
      <w:pPr>
        <w:pStyle w:val="Bibliography"/>
      </w:pPr>
      <w:r>
        <w:t xml:space="preserve">[4] Royston P, Altman DG, Sauerbrei W. Dichotomizing continuous predictors in multiple regression: A bad idea. Statistics in Medicine 2005;25:127–41. doi:</w:t>
      </w:r>
      <w:hyperlink r:id="rId75">
        <w:r>
          <w:rPr>
            <w:rStyle w:val="Hyperlink"/>
          </w:rPr>
          <w:t xml:space="preserve">10.1002/sim.2331</w:t>
        </w:r>
      </w:hyperlink>
      <w:r>
        <w:t xml:space="preserve">.</w:t>
      </w:r>
    </w:p>
    <w:bookmarkEnd w:id="76"/>
    <w:bookmarkStart w:id="78" w:name="ref-Altman_2006"/>
    <w:p>
      <w:pPr>
        <w:pStyle w:val="Bibliography"/>
      </w:pPr>
      <w:r>
        <w:t xml:space="preserve">[5] Altman DG. The cost of dichotomising continuous variables. BMJ 2006;332:1080–0. doi:</w:t>
      </w:r>
      <w:hyperlink r:id="rId77">
        <w:r>
          <w:rPr>
            <w:rStyle w:val="Hyperlink"/>
          </w:rPr>
          <w:t xml:space="preserve">10.1136/bmj.332.7549.1080</w:t>
        </w:r>
      </w:hyperlink>
      <w:r>
        <w:t xml:space="preserve">.</w:t>
      </w:r>
    </w:p>
    <w:bookmarkEnd w:id="78"/>
    <w:bookmarkStart w:id="80" w:name="ref-Austin_2004"/>
    <w:p>
      <w:pPr>
        <w:pStyle w:val="Bibliography"/>
      </w:pPr>
      <w:r>
        <w:t xml:space="preserve">[6] Austin PC, Brunner LJ. Inflation of the type i error rate when a continuous confounding variable is categorized in logistic regression analyses. Statistics in Medicine 2004;23:1159–78. doi:</w:t>
      </w:r>
      <w:hyperlink r:id="rId79">
        <w:r>
          <w:rPr>
            <w:rStyle w:val="Hyperlink"/>
          </w:rPr>
          <w:t xml:space="preserve">10.1002/sim.1687</w:t>
        </w:r>
      </w:hyperlink>
      <w:r>
        <w:t xml:space="preserve">.</w:t>
      </w:r>
    </w:p>
    <w:bookmarkEnd w:id="80"/>
    <w:bookmarkStart w:id="82" w:name="ref-Maxwell_1993"/>
    <w:p>
      <w:pPr>
        <w:pStyle w:val="Bibliography"/>
      </w:pPr>
      <w:r>
        <w:t xml:space="preserve">[7] Maxwell SE, Delaney HD. Bivariate median splits and spurious statistical significance. Psychological Bulletin 1993;113:181–90. doi:</w:t>
      </w:r>
      <w:hyperlink r:id="rId81">
        <w:r>
          <w:rPr>
            <w:rStyle w:val="Hyperlink"/>
          </w:rPr>
          <w:t xml:space="preserve">10.1037/0033-2909.113.1.181</w:t>
        </w:r>
      </w:hyperlink>
      <w:r>
        <w:t xml:space="preserve">.</w:t>
      </w:r>
    </w:p>
    <w:bookmarkEnd w:id="82"/>
    <w:bookmarkStart w:id="84" w:name="ref-Weinberg_1995"/>
    <w:p>
      <w:pPr>
        <w:pStyle w:val="Bibliography"/>
      </w:pPr>
      <w:r>
        <w:t xml:space="preserve">[8] Weinberg C. How bad is categorization? Epidemiology 1995;6:345–6. doi:</w:t>
      </w:r>
      <w:hyperlink r:id="rId83">
        <w:r>
          <w:rPr>
            <w:rStyle w:val="Hyperlink"/>
          </w:rPr>
          <w:t xml:space="preserve">10.1097/00001648-199507000-00002</w:t>
        </w:r>
      </w:hyperlink>
      <w:r>
        <w:t xml:space="preserve">.</w:t>
      </w:r>
    </w:p>
    <w:bookmarkEnd w:id="84"/>
    <w:bookmarkStart w:id="86" w:name="ref-J_rgensen_2016"/>
    <w:p>
      <w:pPr>
        <w:pStyle w:val="Bibliography"/>
      </w:pPr>
      <w:r>
        <w:t xml:space="preserve">[9] Jørgensen TSH, Osler M, Ängquist LH, Zimmermann E, Christensen GT, Sørensen TI. The u-shaped association of body mass index with mortality: Influence of the traits height, intelligence, and education. Obesity 2016;24:2240–7. doi:</w:t>
      </w:r>
      <w:hyperlink r:id="rId85">
        <w:r>
          <w:rPr>
            <w:rStyle w:val="Hyperlink"/>
          </w:rPr>
          <w:t xml:space="preserve">10.1002/oby.21615</w:t>
        </w:r>
      </w:hyperlink>
      <w:r>
        <w:t xml:space="preserve">.</w:t>
      </w:r>
    </w:p>
    <w:bookmarkEnd w:id="86"/>
    <w:bookmarkStart w:id="88" w:name="ref-Royston_2008"/>
    <w:p>
      <w:pPr>
        <w:pStyle w:val="Bibliography"/>
      </w:pPr>
      <w:r>
        <w:t xml:space="preserve">[10] Royston P, Sauerbrei W. Interactions between treatment and continuous covariates: A step toward individualizing therapy. Journal of Clinical Oncology 2008;26:1397–9. doi:</w:t>
      </w:r>
      <w:hyperlink r:id="rId87">
        <w:r>
          <w:rPr>
            <w:rStyle w:val="Hyperlink"/>
          </w:rPr>
          <w:t xml:space="preserve">10.1200/jco.2007.14.8981</w:t>
        </w:r>
      </w:hyperlink>
      <w:r>
        <w:t xml:space="preserve">.</w:t>
      </w:r>
    </w:p>
    <w:bookmarkEnd w:id="88"/>
    <w:bookmarkStart w:id="90" w:name="ref-Sun_2010"/>
    <w:p>
      <w:pPr>
        <w:pStyle w:val="Bibliography"/>
      </w:pPr>
      <w:r>
        <w:t xml:space="preserve">[11] Sun X, Briel M, Walter SD, Guyatt GH. Is a subgroup effect believable? Updating criteria to evaluate the credibility of subgroup analyses. BMJ 2010;340:c117–7. doi:</w:t>
      </w:r>
      <w:hyperlink r:id="rId89">
        <w:r>
          <w:rPr>
            <w:rStyle w:val="Hyperlink"/>
          </w:rPr>
          <w:t xml:space="preserve">10.1136/bmj.c117</w:t>
        </w:r>
      </w:hyperlink>
      <w:r>
        <w:t xml:space="preserve">.</w:t>
      </w:r>
    </w:p>
    <w:bookmarkEnd w:id="90"/>
    <w:bookmarkStart w:id="92" w:name="ref-Sauerbrei_2011"/>
    <w:p>
      <w:pPr>
        <w:pStyle w:val="Bibliography"/>
      </w:pPr>
      <w:r>
        <w:t xml:space="preserve">[12] Sauerbrei W, Royston P. A new strategy for meta-analysis of continuous covariates in observational studies. Statistics in Medicine 2011;30:3341–60. doi:</w:t>
      </w:r>
      <w:hyperlink r:id="rId91">
        <w:r>
          <w:rPr>
            <w:rStyle w:val="Hyperlink"/>
          </w:rPr>
          <w:t xml:space="preserve">10.1002/sim.4333</w:t>
        </w:r>
      </w:hyperlink>
      <w:r>
        <w:t xml:space="preserve">.</w:t>
      </w:r>
    </w:p>
    <w:bookmarkEnd w:id="92"/>
    <w:bookmarkStart w:id="94" w:name="ref-royston_interaction_2013"/>
    <w:p>
      <w:pPr>
        <w:pStyle w:val="Bibliography"/>
      </w:pPr>
      <w:r>
        <w:t xml:space="preserve">[13] Royston P, Sauerbrei W. Interaction of treatment with a continuous variable: Simulation study of significance level for several methods of analysis. Statistics in Medicine 2013;32:3788–803. doi:</w:t>
      </w:r>
      <w:hyperlink r:id="rId93">
        <w:r>
          <w:rPr>
            <w:rStyle w:val="Hyperlink"/>
          </w:rPr>
          <w:t xml:space="preserve">10.1002/sim.5813</w:t>
        </w:r>
      </w:hyperlink>
      <w:r>
        <w:t xml:space="preserve">.</w:t>
      </w:r>
    </w:p>
    <w:bookmarkEnd w:id="94"/>
    <w:bookmarkStart w:id="96" w:name="ref-Legha_2018"/>
    <w:p>
      <w:pPr>
        <w:pStyle w:val="Bibliography"/>
      </w:pPr>
      <w:r>
        <w:t xml:space="preserve">[14] Legha A, Riley RD, Ensor J, Snell KI, Morris TP, Burke DL. Individual participant data meta-analysis of continuous outcomes: A comparison of approaches for specifying and estimating one-stage models. Statistics in Medicine n.d. doi:</w:t>
      </w:r>
      <w:hyperlink r:id="rId95">
        <w:r>
          <w:rPr>
            <w:rStyle w:val="Hyperlink"/>
          </w:rPr>
          <w:t xml:space="preserve">10.1002/sim.7930</w:t>
        </w:r>
      </w:hyperlink>
      <w:r>
        <w:t xml:space="preserve">.</w:t>
      </w:r>
    </w:p>
    <w:bookmarkEnd w:id="96"/>
    <w:bookmarkStart w:id="98" w:name="ref-Wang_2016"/>
    <w:p>
      <w:pPr>
        <w:pStyle w:val="Bibliography"/>
      </w:pPr>
      <w:r>
        <w:t xml:space="preserve">[15] Wang XV, Cole B, Bonetti M, Gelber RD. Meta-STEPP: Subpopulation treatment effect pattern plot for individual patient data meta-analysis. Statistics in Medicine 2016;35:3704–16. doi:</w:t>
      </w:r>
      <w:hyperlink r:id="rId97">
        <w:r>
          <w:rPr>
            <w:rStyle w:val="Hyperlink"/>
          </w:rPr>
          <w:t xml:space="preserve">10.1002/sim.6958</w:t>
        </w:r>
      </w:hyperlink>
      <w:r>
        <w:t xml:space="preserve">.</w:t>
      </w:r>
    </w:p>
    <w:bookmarkEnd w:id="98"/>
    <w:bookmarkStart w:id="100" w:name="ref-Rovers_2006"/>
    <w:p>
      <w:pPr>
        <w:pStyle w:val="Bibliography"/>
      </w:pPr>
      <w:r>
        <w:t xml:space="preserve">[16] Rovers MM, Glasziou P, Appelman CL, Burke P, McCormick DP, Damoiseaux RA, et al. Antibiotics for acute otitis media: A meta-analysis with individual patient data. The Lancet 2006;368:1429–35. doi:</w:t>
      </w:r>
      <w:hyperlink r:id="rId99">
        <w:r>
          <w:rPr>
            <w:rStyle w:val="Hyperlink"/>
          </w:rPr>
          <w:t xml:space="preserve">10.1016/s0140-6736(06)69606-2</w:t>
        </w:r>
      </w:hyperlink>
      <w:r>
        <w:t xml:space="preserve">.</w:t>
      </w:r>
    </w:p>
    <w:bookmarkEnd w:id="100"/>
    <w:bookmarkStart w:id="102" w:name="ref-Gevers_2013"/>
    <w:p>
      <w:pPr>
        <w:pStyle w:val="Bibliography"/>
      </w:pPr>
      <w:r>
        <w:t xml:space="preserve">[17] Gevers TJ, Inthout J, Caroli A, Ruggenenti P, Hogan MC, Torres VE, et al. Young women with polycystic liver disease respond best to somatostatin analogues: A pooled analysis of individual patient data. Gastroenterology 2013;145:357–365.e2. doi:</w:t>
      </w:r>
      <w:hyperlink r:id="rId101">
        <w:r>
          <w:rPr>
            <w:rStyle w:val="Hyperlink"/>
          </w:rPr>
          <w:t xml:space="preserve">10.1053/j.gastro.2013.04.055</w:t>
        </w:r>
      </w:hyperlink>
      <w:r>
        <w:t xml:space="preserve">.</w:t>
      </w:r>
    </w:p>
    <w:bookmarkEnd w:id="102"/>
    <w:bookmarkStart w:id="104" w:name="ref-Breiman_2017"/>
    <w:p>
      <w:pPr>
        <w:pStyle w:val="Bibliography"/>
      </w:pPr>
      <w:r>
        <w:t xml:space="preserve">[18] Breiman L. Classification and regression trees. Routledge; 2017. doi:</w:t>
      </w:r>
      <w:hyperlink r:id="rId103">
        <w:r>
          <w:rPr>
            <w:rStyle w:val="Hyperlink"/>
          </w:rPr>
          <w:t xml:space="preserve">10.1201/9781315139470</w:t>
        </w:r>
      </w:hyperlink>
      <w:r>
        <w:t xml:space="preserve">.</w:t>
      </w:r>
    </w:p>
    <w:bookmarkEnd w:id="104"/>
    <w:bookmarkStart w:id="106" w:name="ref-Zeileis_2008"/>
    <w:p>
      <w:pPr>
        <w:pStyle w:val="Bibliography"/>
      </w:pPr>
      <w:r>
        <w:t xml:space="preserve">[19] Zeileis A, Hothorn T, Hornik K. Model-based recursive partitioning. Journal of Computational and Graphical Statistics 2008;17:492–514. doi:</w:t>
      </w:r>
      <w:hyperlink r:id="rId105">
        <w:r>
          <w:rPr>
            <w:rStyle w:val="Hyperlink"/>
          </w:rPr>
          <w:t xml:space="preserve">10.1198/106186008x319331</w:t>
        </w:r>
      </w:hyperlink>
      <w:r>
        <w:t xml:space="preserve">.</w:t>
      </w:r>
    </w:p>
    <w:bookmarkEnd w:id="106"/>
    <w:bookmarkStart w:id="108" w:name="ref-Su_2009"/>
    <w:p>
      <w:pPr>
        <w:pStyle w:val="Bibliography"/>
      </w:pPr>
      <w:r>
        <w:t xml:space="preserve">[20] Su X, Tsai C-L, Wang H, Nickerson DM, Li B. Subgroup analysis via recursive partitioning. SSRN Electronic Journal 2009. doi:</w:t>
      </w:r>
      <w:hyperlink r:id="rId107">
        <w:r>
          <w:rPr>
            <w:rStyle w:val="Hyperlink"/>
          </w:rPr>
          <w:t xml:space="preserve">10.2139/ssrn.1341380</w:t>
        </w:r>
      </w:hyperlink>
      <w:r>
        <w:t xml:space="preserve">.</w:t>
      </w:r>
    </w:p>
    <w:bookmarkEnd w:id="108"/>
    <w:bookmarkStart w:id="110" w:name="ref-Fokkema_2017"/>
    <w:p>
      <w:pPr>
        <w:pStyle w:val="Bibliography"/>
      </w:pPr>
      <w:r>
        <w:t xml:space="preserve">[21] Fokkema M, Smits N, Zeileis A, Hothorn T, Kelderman H. Detecting treatment-subgroup interactions in clustered data with generalized linear mixed-effects model trees. Behavior Research Methods 2017. doi:</w:t>
      </w:r>
      <w:hyperlink r:id="rId109">
        <w:r>
          <w:rPr>
            <w:rStyle w:val="Hyperlink"/>
          </w:rPr>
          <w:t xml:space="preserve">10.3758/s13428-017-0971-x</w:t>
        </w:r>
      </w:hyperlink>
      <w:r>
        <w:t xml:space="preserve">.</w:t>
      </w:r>
    </w:p>
    <w:bookmarkEnd w:id="110"/>
    <w:bookmarkStart w:id="112" w:name="ref-Abo_Zaid_2013"/>
    <w:p>
      <w:pPr>
        <w:pStyle w:val="Bibliography"/>
      </w:pPr>
      <w:r>
        <w:t xml:space="preserve">[22] Abo-Zaid G, Guo B, Deeks JJ, Debray TP, Steyerberg EW, Moons KG, et al. Individual participant data meta-analyses should not ignore clustering. Journal of Clinical Epidemiology 2013;66:865–873.e4. doi:</w:t>
      </w:r>
      <w:hyperlink r:id="rId111">
        <w:r>
          <w:rPr>
            <w:rStyle w:val="Hyperlink"/>
          </w:rPr>
          <w:t xml:space="preserve">10.1016/j.jclinepi.2012.12.017</w:t>
        </w:r>
      </w:hyperlink>
      <w:r>
        <w:t xml:space="preserve">.</w:t>
      </w:r>
    </w:p>
    <w:bookmarkEnd w:id="112"/>
    <w:bookmarkStart w:id="114" w:name="ref-Royston_1994"/>
    <w:p>
      <w:pPr>
        <w:pStyle w:val="Bibliography"/>
      </w:pPr>
      <w:r>
        <w:t xml:space="preserve">[23] Royston P, Altman DG. Regression using fractional polynomials of continuous covariates: Parsimonious parametric modelling. Applied Statistics 1994;43:429. doi:</w:t>
      </w:r>
      <w:hyperlink r:id="rId113">
        <w:r>
          <w:rPr>
            <w:rStyle w:val="Hyperlink"/>
          </w:rPr>
          <w:t xml:space="preserve">10.2307/2986270</w:t>
        </w:r>
      </w:hyperlink>
      <w:r>
        <w:t xml:space="preserve">.</w:t>
      </w:r>
    </w:p>
    <w:bookmarkEnd w:id="114"/>
    <w:bookmarkStart w:id="116" w:name="ref-Ambler_2001"/>
    <w:p>
      <w:pPr>
        <w:pStyle w:val="Bibliography"/>
      </w:pPr>
      <w:r>
        <w:t xml:space="preserve">[24] Ambler G, Royston P. Fractional polynomial model selection procedures: Investigation of type i error rate. Journal of Statistical Computation and Simulation 2001;69:89–108. doi:</w:t>
      </w:r>
      <w:hyperlink r:id="rId115">
        <w:r>
          <w:rPr>
            <w:rStyle w:val="Hyperlink"/>
          </w:rPr>
          <w:t xml:space="preserve">10.1080/00949650108812083</w:t>
        </w:r>
      </w:hyperlink>
      <w:r>
        <w:t xml:space="preserve">.</w:t>
      </w:r>
    </w:p>
    <w:bookmarkEnd w:id="116"/>
    <w:bookmarkStart w:id="118" w:name="ref-Sauerbrei_1999"/>
    <w:p>
      <w:pPr>
        <w:pStyle w:val="Bibliography"/>
      </w:pPr>
      <w:r>
        <w:t xml:space="preserve">[25] Sauerbrei W, Royston P. Building multivariable prognostic and diagnostic models: Transformation of the predictors by using fractional polynomials. Journal of the Royal Statistical Society: Series A (Statistics in Society) 1999;162:71–94. doi:</w:t>
      </w:r>
      <w:hyperlink r:id="rId117">
        <w:r>
          <w:rPr>
            <w:rStyle w:val="Hyperlink"/>
          </w:rPr>
          <w:t xml:space="preserve">10.1111/1467-985x.00122</w:t>
        </w:r>
      </w:hyperlink>
      <w:r>
        <w:t xml:space="preserve">.</w:t>
      </w:r>
    </w:p>
    <w:bookmarkEnd w:id="118"/>
    <w:bookmarkStart w:id="120"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19">
        <w:r>
          <w:rPr>
            <w:rStyle w:val="Hyperlink"/>
          </w:rPr>
          <w:t xml:space="preserve">10.1002/sim.7974</w:t>
        </w:r>
      </w:hyperlink>
      <w:r>
        <w:t xml:space="preserve">.</w:t>
      </w:r>
    </w:p>
    <w:bookmarkEnd w:id="120"/>
    <w:bookmarkStart w:id="122" w:name="ref-McCullagh_1983"/>
    <w:p>
      <w:pPr>
        <w:pStyle w:val="Bibliography"/>
      </w:pPr>
      <w:r>
        <w:t xml:space="preserve">[27] McCullagh P, Nelder JA. An outline of generalized linear models. In:. Generalized linear models, Springer US; 1983, pp. 15–34. doi:</w:t>
      </w:r>
      <w:hyperlink r:id="rId121">
        <w:r>
          <w:rPr>
            <w:rStyle w:val="Hyperlink"/>
          </w:rPr>
          <w:t xml:space="preserve">10.1007/978-1-4899-3244-0_2</w:t>
        </w:r>
      </w:hyperlink>
      <w:r>
        <w:t xml:space="preserve">.</w:t>
      </w:r>
    </w:p>
    <w:bookmarkEnd w:id="122"/>
    <w:bookmarkStart w:id="124" w:name="ref-Long_2010"/>
    <w:p>
      <w:pPr>
        <w:pStyle w:val="Bibliography"/>
      </w:pPr>
      <w:r>
        <w:t xml:space="preserve">[28] Long J, Ryoo J. Using fractional polynomials to model non-linear trends in longitudinal data. British Journal of Mathematical and Statistical Psychology 2010;63:177–203. doi:</w:t>
      </w:r>
      <w:hyperlink r:id="rId123">
        <w:r>
          <w:rPr>
            <w:rStyle w:val="Hyperlink"/>
          </w:rPr>
          <w:t xml:space="preserve">10.1348/000711009x431509</w:t>
        </w:r>
      </w:hyperlink>
      <w:r>
        <w:t xml:space="preserve">.</w:t>
      </w:r>
    </w:p>
    <w:bookmarkEnd w:id="124"/>
    <w:bookmarkStart w:id="126" w:name="ref-Johnson_2012"/>
    <w:p>
      <w:pPr>
        <w:pStyle w:val="Bibliography"/>
      </w:pPr>
      <w:r>
        <w:t xml:space="preserve">[29] Johnson W, Balakrishna N, Griffiths PL. Modeling physical growth using mixed effects models. American Journal of Physical Anthropology 2012;150:58–67. doi:</w:t>
      </w:r>
      <w:hyperlink r:id="rId125">
        <w:r>
          <w:rPr>
            <w:rStyle w:val="Hyperlink"/>
          </w:rPr>
          <w:t xml:space="preserve">10.1002/ajpa.22128</w:t>
        </w:r>
      </w:hyperlink>
      <w:r>
        <w:t xml:space="preserve">.</w:t>
      </w:r>
    </w:p>
    <w:bookmarkEnd w:id="126"/>
    <w:bookmarkStart w:id="128" w:name="ref-Akaike_1974"/>
    <w:p>
      <w:pPr>
        <w:pStyle w:val="Bibliography"/>
      </w:pPr>
      <w:r>
        <w:t xml:space="preserve">[30] Akaike H. A new look at the statistical model identification. In:. Springer series in statistics, Springer New York; 1974, pp. 215–22. doi:</w:t>
      </w:r>
      <w:hyperlink r:id="rId127">
        <w:r>
          <w:rPr>
            <w:rStyle w:val="Hyperlink"/>
          </w:rPr>
          <w:t xml:space="preserve">10.1007/978-1-4612-1694-0_16</w:t>
        </w:r>
      </w:hyperlink>
      <w:r>
        <w:t xml:space="preserve">.</w:t>
      </w:r>
    </w:p>
    <w:bookmarkEnd w:id="128"/>
    <w:bookmarkStart w:id="130" w:name="ref-Schwarz_1978"/>
    <w:p>
      <w:pPr>
        <w:pStyle w:val="Bibliography"/>
      </w:pPr>
      <w:r>
        <w:t xml:space="preserve">[31] Schwarz G. Estimating the dimension of a model. The Annals of Statistics 1978;6:461–4. doi:</w:t>
      </w:r>
      <w:hyperlink r:id="rId129">
        <w:r>
          <w:rPr>
            <w:rStyle w:val="Hyperlink"/>
          </w:rPr>
          <w:t xml:space="preserve">10.1214/aos/1176344136</w:t>
        </w:r>
      </w:hyperlink>
      <w:r>
        <w:t xml:space="preserve">.</w:t>
      </w:r>
    </w:p>
    <w:bookmarkEnd w:id="130"/>
    <w:bookmarkStart w:id="132" w:name="ref-Hua_2016"/>
    <w:p>
      <w:pPr>
        <w:pStyle w:val="Bibliography"/>
      </w:pPr>
      <w:r>
        <w:t xml:space="preserve">[32]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31">
        <w:r>
          <w:rPr>
            <w:rStyle w:val="Hyperlink"/>
          </w:rPr>
          <w:t xml:space="preserve">10.1002/sim.7171</w:t>
        </w:r>
      </w:hyperlink>
      <w:r>
        <w:t xml:space="preserve">.</w:t>
      </w:r>
    </w:p>
    <w:bookmarkEnd w:id="132"/>
    <w:bookmarkEnd w:id="133"/>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14ac4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ca8a0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125" Target="https://doi.org/10.1002/ajpa.22128" TargetMode="External" /><Relationship Type="http://schemas.openxmlformats.org/officeDocument/2006/relationships/hyperlink" Id="rId70" Target="https://doi.org/10.1002/jrsm.1160" TargetMode="External" /><Relationship Type="http://schemas.openxmlformats.org/officeDocument/2006/relationships/hyperlink" Id="rId85" Target="https://doi.org/10.1002/oby.21615" TargetMode="External" /><Relationship Type="http://schemas.openxmlformats.org/officeDocument/2006/relationships/hyperlink" Id="rId79" Target="https://doi.org/10.1002/sim.1687" TargetMode="External" /><Relationship Type="http://schemas.openxmlformats.org/officeDocument/2006/relationships/hyperlink" Id="rId75" Target="https://doi.org/10.1002/sim.2331" TargetMode="External" /><Relationship Type="http://schemas.openxmlformats.org/officeDocument/2006/relationships/hyperlink" Id="rId91" Target="https://doi.org/10.1002/sim.4333" TargetMode="External" /><Relationship Type="http://schemas.openxmlformats.org/officeDocument/2006/relationships/hyperlink" Id="rId93" Target="https://doi.org/10.1002/sim.5813" TargetMode="External" /><Relationship Type="http://schemas.openxmlformats.org/officeDocument/2006/relationships/hyperlink" Id="rId97" Target="https://doi.org/10.1002/sim.6958" TargetMode="External" /><Relationship Type="http://schemas.openxmlformats.org/officeDocument/2006/relationships/hyperlink" Id="rId131" Target="https://doi.org/10.1002/sim.7171" TargetMode="External" /><Relationship Type="http://schemas.openxmlformats.org/officeDocument/2006/relationships/hyperlink" Id="rId95" Target="https://doi.org/10.1002/sim.7930" TargetMode="External" /><Relationship Type="http://schemas.openxmlformats.org/officeDocument/2006/relationships/hyperlink" Id="rId119" Target="https://doi.org/10.1002/sim.7974" TargetMode="External" /><Relationship Type="http://schemas.openxmlformats.org/officeDocument/2006/relationships/hyperlink" Id="rId127" Target="https://doi.org/10.1007/978-1-4612-1694-0_16" TargetMode="External" /><Relationship Type="http://schemas.openxmlformats.org/officeDocument/2006/relationships/hyperlink" Id="rId121" Target="https://doi.org/10.1007/978-1-4899-3244-0_2" TargetMode="External" /><Relationship Type="http://schemas.openxmlformats.org/officeDocument/2006/relationships/hyperlink" Id="rId111" Target="https://doi.org/10.1016/j.jclinepi.2012.12.017" TargetMode="External" /><Relationship Type="http://schemas.openxmlformats.org/officeDocument/2006/relationships/hyperlink" Id="rId99" Target="https://doi.org/10.1016/s0140-6736(06)69606-2" TargetMode="External" /><Relationship Type="http://schemas.openxmlformats.org/officeDocument/2006/relationships/hyperlink" Id="rId81" Target="https://doi.org/10.1037/0033-2909.113.1.181" TargetMode="External" /><Relationship Type="http://schemas.openxmlformats.org/officeDocument/2006/relationships/hyperlink" Id="rId101" Target="https://doi.org/10.1053/j.gastro.2013.04.055" TargetMode="External" /><Relationship Type="http://schemas.openxmlformats.org/officeDocument/2006/relationships/hyperlink" Id="rId115" Target="https://doi.org/10.1080/00949650108812083" TargetMode="External" /><Relationship Type="http://schemas.openxmlformats.org/officeDocument/2006/relationships/hyperlink" Id="rId83" Target="https://doi.org/10.1097/00001648-199507000-00002" TargetMode="External" /><Relationship Type="http://schemas.openxmlformats.org/officeDocument/2006/relationships/hyperlink" Id="rId117" Target="https://doi.org/10.1111/1467-985x.00122" TargetMode="External" /><Relationship Type="http://schemas.openxmlformats.org/officeDocument/2006/relationships/hyperlink" Id="rId77" Target="https://doi.org/10.1136/bmj.332.7549.1080" TargetMode="External" /><Relationship Type="http://schemas.openxmlformats.org/officeDocument/2006/relationships/hyperlink" Id="rId89" Target="https://doi.org/10.1136/bmj.c117" TargetMode="External" /><Relationship Type="http://schemas.openxmlformats.org/officeDocument/2006/relationships/hyperlink" Id="rId105" Target="https://doi.org/10.1198/106186008x319331" TargetMode="External" /><Relationship Type="http://schemas.openxmlformats.org/officeDocument/2006/relationships/hyperlink" Id="rId87" Target="https://doi.org/10.1200/jco.2007.14.8981" TargetMode="External" /><Relationship Type="http://schemas.openxmlformats.org/officeDocument/2006/relationships/hyperlink" Id="rId103" Target="https://doi.org/10.1201/9781315139470" TargetMode="External" /><Relationship Type="http://schemas.openxmlformats.org/officeDocument/2006/relationships/hyperlink" Id="rId129" Target="https://doi.org/10.1214/aos/1176344136" TargetMode="External" /><Relationship Type="http://schemas.openxmlformats.org/officeDocument/2006/relationships/hyperlink" Id="rId123" Target="https://doi.org/10.1348/000711009x431509" TargetMode="External" /><Relationship Type="http://schemas.openxmlformats.org/officeDocument/2006/relationships/hyperlink" Id="rId73" Target="https://doi.org/10.1371/journal.pmed.1001855" TargetMode="External" /><Relationship Type="http://schemas.openxmlformats.org/officeDocument/2006/relationships/hyperlink" Id="rId107" Target="https://doi.org/10.2139/ssrn.1341380" TargetMode="External" /><Relationship Type="http://schemas.openxmlformats.org/officeDocument/2006/relationships/hyperlink" Id="rId113" Target="https://doi.org/10.2307/2986270" TargetMode="External" /><Relationship Type="http://schemas.openxmlformats.org/officeDocument/2006/relationships/hyperlink" Id="rId10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25" Target="https://doi.org/10.1002/ajpa.22128" TargetMode="External" /><Relationship Type="http://schemas.openxmlformats.org/officeDocument/2006/relationships/hyperlink" Id="rId70" Target="https://doi.org/10.1002/jrsm.1160" TargetMode="External" /><Relationship Type="http://schemas.openxmlformats.org/officeDocument/2006/relationships/hyperlink" Id="rId85" Target="https://doi.org/10.1002/oby.21615" TargetMode="External" /><Relationship Type="http://schemas.openxmlformats.org/officeDocument/2006/relationships/hyperlink" Id="rId79" Target="https://doi.org/10.1002/sim.1687" TargetMode="External" /><Relationship Type="http://schemas.openxmlformats.org/officeDocument/2006/relationships/hyperlink" Id="rId75" Target="https://doi.org/10.1002/sim.2331" TargetMode="External" /><Relationship Type="http://schemas.openxmlformats.org/officeDocument/2006/relationships/hyperlink" Id="rId91" Target="https://doi.org/10.1002/sim.4333" TargetMode="External" /><Relationship Type="http://schemas.openxmlformats.org/officeDocument/2006/relationships/hyperlink" Id="rId93" Target="https://doi.org/10.1002/sim.5813" TargetMode="External" /><Relationship Type="http://schemas.openxmlformats.org/officeDocument/2006/relationships/hyperlink" Id="rId97" Target="https://doi.org/10.1002/sim.6958" TargetMode="External" /><Relationship Type="http://schemas.openxmlformats.org/officeDocument/2006/relationships/hyperlink" Id="rId131" Target="https://doi.org/10.1002/sim.7171" TargetMode="External" /><Relationship Type="http://schemas.openxmlformats.org/officeDocument/2006/relationships/hyperlink" Id="rId95" Target="https://doi.org/10.1002/sim.7930" TargetMode="External" /><Relationship Type="http://schemas.openxmlformats.org/officeDocument/2006/relationships/hyperlink" Id="rId119" Target="https://doi.org/10.1002/sim.7974" TargetMode="External" /><Relationship Type="http://schemas.openxmlformats.org/officeDocument/2006/relationships/hyperlink" Id="rId127" Target="https://doi.org/10.1007/978-1-4612-1694-0_16" TargetMode="External" /><Relationship Type="http://schemas.openxmlformats.org/officeDocument/2006/relationships/hyperlink" Id="rId121" Target="https://doi.org/10.1007/978-1-4899-3244-0_2" TargetMode="External" /><Relationship Type="http://schemas.openxmlformats.org/officeDocument/2006/relationships/hyperlink" Id="rId111" Target="https://doi.org/10.1016/j.jclinepi.2012.12.017" TargetMode="External" /><Relationship Type="http://schemas.openxmlformats.org/officeDocument/2006/relationships/hyperlink" Id="rId99" Target="https://doi.org/10.1016/s0140-6736(06)69606-2" TargetMode="External" /><Relationship Type="http://schemas.openxmlformats.org/officeDocument/2006/relationships/hyperlink" Id="rId81" Target="https://doi.org/10.1037/0033-2909.113.1.181" TargetMode="External" /><Relationship Type="http://schemas.openxmlformats.org/officeDocument/2006/relationships/hyperlink" Id="rId101" Target="https://doi.org/10.1053/j.gastro.2013.04.055" TargetMode="External" /><Relationship Type="http://schemas.openxmlformats.org/officeDocument/2006/relationships/hyperlink" Id="rId115" Target="https://doi.org/10.1080/00949650108812083" TargetMode="External" /><Relationship Type="http://schemas.openxmlformats.org/officeDocument/2006/relationships/hyperlink" Id="rId83" Target="https://doi.org/10.1097/00001648-199507000-00002" TargetMode="External" /><Relationship Type="http://schemas.openxmlformats.org/officeDocument/2006/relationships/hyperlink" Id="rId117" Target="https://doi.org/10.1111/1467-985x.00122" TargetMode="External" /><Relationship Type="http://schemas.openxmlformats.org/officeDocument/2006/relationships/hyperlink" Id="rId77" Target="https://doi.org/10.1136/bmj.332.7549.1080" TargetMode="External" /><Relationship Type="http://schemas.openxmlformats.org/officeDocument/2006/relationships/hyperlink" Id="rId89" Target="https://doi.org/10.1136/bmj.c117" TargetMode="External" /><Relationship Type="http://schemas.openxmlformats.org/officeDocument/2006/relationships/hyperlink" Id="rId105" Target="https://doi.org/10.1198/106186008x319331" TargetMode="External" /><Relationship Type="http://schemas.openxmlformats.org/officeDocument/2006/relationships/hyperlink" Id="rId87" Target="https://doi.org/10.1200/jco.2007.14.8981" TargetMode="External" /><Relationship Type="http://schemas.openxmlformats.org/officeDocument/2006/relationships/hyperlink" Id="rId103" Target="https://doi.org/10.1201/9781315139470" TargetMode="External" /><Relationship Type="http://schemas.openxmlformats.org/officeDocument/2006/relationships/hyperlink" Id="rId129" Target="https://doi.org/10.1214/aos/1176344136" TargetMode="External" /><Relationship Type="http://schemas.openxmlformats.org/officeDocument/2006/relationships/hyperlink" Id="rId123" Target="https://doi.org/10.1348/000711009x431509" TargetMode="External" /><Relationship Type="http://schemas.openxmlformats.org/officeDocument/2006/relationships/hyperlink" Id="rId73" Target="https://doi.org/10.1371/journal.pmed.1001855" TargetMode="External" /><Relationship Type="http://schemas.openxmlformats.org/officeDocument/2006/relationships/hyperlink" Id="rId107" Target="https://doi.org/10.2139/ssrn.1341380" TargetMode="External" /><Relationship Type="http://schemas.openxmlformats.org/officeDocument/2006/relationships/hyperlink" Id="rId113" Target="https://doi.org/10.2307/2986270" TargetMode="External" /><Relationship Type="http://schemas.openxmlformats.org/officeDocument/2006/relationships/hyperlink" Id="rId10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by a continuous covariate</dc:title>
  <dc:creator>Michail Belias</dc:creator>
  <cp:keywords/>
  <dcterms:created xsi:type="dcterms:W3CDTF">2018-11-14T15:47:55Z</dcterms:created>
  <dcterms:modified xsi:type="dcterms:W3CDTF">2018-11-14T15:47:55Z</dcterms:modified>
</cp:coreProperties>
</file>