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lang w:val="en-GB"/>
        </w:rPr>
      </w:pPr>
      <w:r>
        <w:rPr>
          <w:lang w:val="en-GB"/>
        </w:rPr>
        <w:t>Identifying subgroups based on continuous measurements in individual patient data meta-analysis</w:t>
      </w:r>
    </w:p>
    <w:p>
      <w:pPr>
        <w:pStyle w:val="28"/>
        <w:rPr>
          <w:lang w:val="en-GB"/>
        </w:rPr>
      </w:pPr>
      <w:r>
        <w:rPr>
          <w:lang w:val="en-GB"/>
        </w:rPr>
        <w:t>Michail Belias</w:t>
      </w:r>
      <w:bookmarkStart w:id="2" w:name="_GoBack"/>
      <w:bookmarkEnd w:id="2"/>
    </w:p>
    <w:p>
      <w:pPr>
        <w:pStyle w:val="14"/>
        <w:rPr>
          <w:lang w:val="en-GB"/>
        </w:rPr>
      </w:pPr>
      <w:r>
        <w:rPr>
          <w:lang w:val="en-GB"/>
        </w:rPr>
        <w:t>03 April, 2018</w:t>
      </w:r>
    </w:p>
    <w:p>
      <w:pPr>
        <w:pStyle w:val="26"/>
        <w:rPr>
          <w:lang w:val="en-GB"/>
        </w:rPr>
      </w:pPr>
      <w:r>
        <w:rPr>
          <w:i/>
          <w:lang w:val="en-GB"/>
        </w:rPr>
        <w:t>Background</w:t>
      </w:r>
    </w:p>
    <w:p>
      <w:pPr>
        <w:pStyle w:val="12"/>
        <w:rPr>
          <w:lang w:val="en-GB"/>
        </w:rPr>
      </w:pPr>
      <w:r>
        <w:rPr>
          <w:lang w:val="en-GB"/>
        </w:rPr>
        <w:t>Individual patient data meta-analysis (IPD-MA) is increasingly used to identify relevant subgrouping effects. Often linearity assumptions are made when examining subgroups based on continuous measurements. However, several more flexible methods exist.</w:t>
      </w:r>
    </w:p>
    <w:p>
      <w:pPr>
        <w:pStyle w:val="12"/>
        <w:rPr>
          <w:lang w:val="en-GB"/>
        </w:rPr>
      </w:pPr>
      <w:r>
        <w:rPr>
          <w:i/>
          <w:lang w:val="en-GB"/>
        </w:rPr>
        <w:t>Objectives</w:t>
      </w:r>
    </w:p>
    <w:p>
      <w:pPr>
        <w:pStyle w:val="12"/>
        <w:rPr>
          <w:lang w:val="en-GB"/>
        </w:rPr>
      </w:pPr>
      <w:r>
        <w:rPr>
          <w:lang w:val="en-GB"/>
        </w:rPr>
        <w:t>Our goal is to illustrate, critically review and compare state of the art methods on subgroups effects identification in IPD-MA, based on continuous measurements.</w:t>
      </w:r>
    </w:p>
    <w:p>
      <w:pPr>
        <w:pStyle w:val="12"/>
        <w:rPr>
          <w:lang w:val="en-GB"/>
        </w:rPr>
      </w:pPr>
      <w:r>
        <w:rPr>
          <w:i/>
          <w:lang w:val="en-GB"/>
        </w:rPr>
        <w:t>Methods</w:t>
      </w:r>
    </w:p>
    <w:p>
      <w:pPr>
        <w:pStyle w:val="12"/>
        <w:rPr>
          <w:lang w:val="en-GB"/>
        </w:rPr>
      </w:pPr>
      <w:r>
        <w:rPr>
          <w:lang w:val="en-GB"/>
        </w:rPr>
        <w:t>We reviewed META-STEPP, generalised additive mixed effects models, (multi-level) regression models involving fractional polynomials or splines and several tree-based approaches. We applied the methods above on two empirical examples: prescription of antibiotics in children with otitis media and anti-platelet treatment in secondary stroke prevention.</w:t>
      </w:r>
    </w:p>
    <w:p>
      <w:pPr>
        <w:pStyle w:val="12"/>
        <w:rPr>
          <w:lang w:val="en-GB"/>
        </w:rPr>
      </w:pPr>
      <w:r>
        <w:rPr>
          <w:i/>
          <w:lang w:val="en-GB"/>
        </w:rPr>
        <w:t>Results</w:t>
      </w:r>
    </w:p>
    <w:p>
      <w:pPr>
        <w:pStyle w:val="12"/>
        <w:rPr>
          <w:lang w:val="en-GB"/>
        </w:rPr>
      </w:pPr>
      <w:r>
        <w:rPr>
          <w:lang w:val="en-GB"/>
        </w:rPr>
        <w:t>We will provide treatment effect plots to visualize subgroup effects within and across studies.</w:t>
      </w:r>
    </w:p>
    <w:p>
      <w:pPr>
        <w:pStyle w:val="12"/>
        <w:rPr>
          <w:lang w:val="en-GB"/>
        </w:rPr>
      </w:pPr>
      <w:r>
        <w:rPr>
          <w:i/>
          <w:lang w:val="en-GB"/>
        </w:rPr>
        <w:t>Conclusions</w:t>
      </w:r>
    </w:p>
    <w:p>
      <w:pPr>
        <w:pStyle w:val="8"/>
        <w:bidi w:val="0"/>
        <w:rPr>
          <w:lang w:val="en-GB"/>
        </w:rPr>
      </w:pPr>
      <w:r>
        <w:rPr>
          <w:lang w:val="en-GB"/>
        </w:rPr>
        <w:t>We provide advantages and limitations of the aforementioned methods.</w:t>
      </w: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2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  <w:bookmarkStart w:id="0" w:name="introduction"/>
            <w:bookmarkEnd w:id="0"/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</w:tr>
    </w:tbl>
    <w:p>
      <w:pPr>
        <w:pStyle w:val="26"/>
        <w:rPr>
          <w:lang w:val="en-GB"/>
        </w:rPr>
      </w:pPr>
    </w:p>
    <w:p>
      <w:pPr>
        <w:pStyle w:val="2"/>
        <w:rPr>
          <w:lang w:val="en-GB"/>
        </w:rPr>
      </w:pPr>
      <w:bookmarkStart w:id="1" w:name="bibliography"/>
      <w:bookmarkEnd w:id="1"/>
      <w:r>
        <w:rPr>
          <w:lang w:val="en-GB"/>
        </w:rPr>
        <w:t>Bibliography</w:t>
      </w:r>
    </w:p>
    <w:p>
      <w:pPr>
        <w:pStyle w:val="30"/>
        <w:rPr>
          <w:lang w:val="en-GB"/>
        </w:rPr>
      </w:pPr>
      <w:r>
        <w:rPr>
          <w:lang w:val="en-GB"/>
        </w:rPr>
        <w:t>[1] Royston P, Altman DG, Sauerbrei W. Dichotomizing continuous predictors in multiple regression: A bad idea. Statistics in Medicine 2005;25:127–41. doi:</w:t>
      </w:r>
      <w:r>
        <w:fldChar w:fldCharType="begin"/>
      </w:r>
      <w:r>
        <w:instrText xml:space="preserve"> HYPERLINK "https://doi.org/10.1002/sim.2331" \h </w:instrText>
      </w:r>
      <w:r>
        <w:fldChar w:fldCharType="separate"/>
      </w:r>
      <w:r>
        <w:rPr>
          <w:rStyle w:val="22"/>
          <w:lang w:val="en-GB"/>
        </w:rPr>
        <w:t>10.1002/sim.2331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[2] Altman DG. The cost of dichotomising continuous variables. BMJ 2006;332:1080–0. doi:</w:t>
      </w:r>
      <w:r>
        <w:fldChar w:fldCharType="begin"/>
      </w:r>
      <w:r>
        <w:instrText xml:space="preserve"> HYPERLINK "https://doi.org/10.1136/bmj.332.7549.1080" \h </w:instrText>
      </w:r>
      <w:r>
        <w:fldChar w:fldCharType="separate"/>
      </w:r>
      <w:r>
        <w:rPr>
          <w:rStyle w:val="22"/>
          <w:lang w:val="en-GB"/>
        </w:rPr>
        <w:t>10.1136/bmj.332.7549.1080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[3] Austin PC, Brunner LJ. Inflation of the type i error rate when a continuous confounding variable is categorized in logistic regression analyses. Statistics in Medicine 2004;23:1159–78. doi:</w:t>
      </w:r>
      <w:r>
        <w:fldChar w:fldCharType="begin"/>
      </w:r>
      <w:r>
        <w:instrText xml:space="preserve"> HYPERLINK "https://doi.org/10.1002/sim.1687" \h </w:instrText>
      </w:r>
      <w:r>
        <w:fldChar w:fldCharType="separate"/>
      </w:r>
      <w:r>
        <w:rPr>
          <w:rStyle w:val="22"/>
          <w:lang w:val="en-GB"/>
        </w:rPr>
        <w:t>10.1002/sim.1687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[4] Maxwell SE, Delaney HD. Bivariate median splits and spurious statistical significance. Psychological Bulletin 1993;113:181–90. doi:</w:t>
      </w:r>
      <w:r>
        <w:fldChar w:fldCharType="begin"/>
      </w:r>
      <w:r>
        <w:instrText xml:space="preserve"> HYPERLINK "https://doi.org/10.1037/0033-2909.113.1.181" \h </w:instrText>
      </w:r>
      <w:r>
        <w:fldChar w:fldCharType="separate"/>
      </w:r>
      <w:r>
        <w:rPr>
          <w:rStyle w:val="22"/>
          <w:lang w:val="en-GB"/>
        </w:rPr>
        <w:t>10.1037/0033-2909.113.1.181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[5] Weinberg C. How bad is categorization? Epidemiology 1995;6:345–6. doi:</w:t>
      </w:r>
      <w:r>
        <w:fldChar w:fldCharType="begin"/>
      </w:r>
      <w:r>
        <w:instrText xml:space="preserve"> HYPERLINK "https://doi.org/10.1097/00001648-199507000-00002" \h </w:instrText>
      </w:r>
      <w:r>
        <w:fldChar w:fldCharType="separate"/>
      </w:r>
      <w:r>
        <w:rPr>
          <w:rStyle w:val="22"/>
          <w:lang w:val="en-GB"/>
        </w:rPr>
        <w:t>10.1097/00001648-199507000-00002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[6] Jørgensen TSH, Osler M, Ängquist LH, Zimmermann E, Christensen GT, Sørensen TI. The u-shaped association of body mass index with mortality: Influence of the traits height, intelligence, and education. Obesity 2016;24:2240–7. doi:</w:t>
      </w:r>
      <w:r>
        <w:fldChar w:fldCharType="begin"/>
      </w:r>
      <w:r>
        <w:instrText xml:space="preserve"> HYPERLINK "https://doi.org/10.1002/oby.21615" \h </w:instrText>
      </w:r>
      <w:r>
        <w:fldChar w:fldCharType="separate"/>
      </w:r>
      <w:r>
        <w:rPr>
          <w:rStyle w:val="22"/>
          <w:lang w:val="en-GB"/>
        </w:rPr>
        <w:t>10.1002/oby.21615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[7] Cook RJ, Sackett DL. The number needed to treat: A clinically useful measure of treatment effect. BMJ 1995;310:452–4. doi:</w:t>
      </w:r>
      <w:r>
        <w:fldChar w:fldCharType="begin"/>
      </w:r>
      <w:r>
        <w:instrText xml:space="preserve"> HYPERLINK "https://doi.org/10.1136/bmj.310.6977.452" \h </w:instrText>
      </w:r>
      <w:r>
        <w:fldChar w:fldCharType="separate"/>
      </w:r>
      <w:r>
        <w:rPr>
          <w:rStyle w:val="22"/>
          <w:lang w:val="en-GB"/>
        </w:rPr>
        <w:t>10.1136/bmj.310.6977.452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[8] Ranganathan P, Pramesh C, Aggarwal R. Common pitfalls in statistical analysis: Absolute risk reduction, relative risk reduction, and number needed to treat. Perspectives in Clinical Research 2016;7:51. doi:</w:t>
      </w:r>
      <w:r>
        <w:fldChar w:fldCharType="begin"/>
      </w:r>
      <w:r>
        <w:instrText xml:space="preserve"> HYPERLINK "https://doi.org/10.4103/2229-3485.173773" \h </w:instrText>
      </w:r>
      <w:r>
        <w:fldChar w:fldCharType="separate"/>
      </w:r>
      <w:r>
        <w:rPr>
          <w:rStyle w:val="22"/>
          <w:lang w:val="en-GB"/>
        </w:rPr>
        <w:t>10.4103/2229-3485.173773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[9] Dahabreh IJ, Hayward R, Kent DM. Using group data to treat individuals: Understanding heterogeneous treatment effects in the age of precision medicine and patient-centred evidence. International Journal of Epidemiology 2016:dyw125. doi:</w:t>
      </w:r>
      <w:r>
        <w:fldChar w:fldCharType="begin"/>
      </w:r>
      <w:r>
        <w:instrText xml:space="preserve"> HYPERLINK "https://doi.org/10.1093/ije/dyw125" \h </w:instrText>
      </w:r>
      <w:r>
        <w:fldChar w:fldCharType="separate"/>
      </w:r>
      <w:r>
        <w:rPr>
          <w:rStyle w:val="22"/>
          <w:lang w:val="en-GB"/>
        </w:rPr>
        <w:t>10.1093/ije/dyw125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[10] Kent DM, Hayward RA. Limitations of applying summary results of clinical trials to individual patients. JAMA 2007;298:1209. doi:</w:t>
      </w:r>
      <w:r>
        <w:fldChar w:fldCharType="begin"/>
      </w:r>
      <w:r>
        <w:instrText xml:space="preserve"> HYPERLINK "https://doi.org/10.1001/jama.298.10.1209" \h </w:instrText>
      </w:r>
      <w:r>
        <w:fldChar w:fldCharType="separate"/>
      </w:r>
      <w:r>
        <w:rPr>
          <w:rStyle w:val="22"/>
          <w:lang w:val="en-GB"/>
        </w:rPr>
        <w:t>10.1001/jama.298.10.1209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[11] Sela RJ, Simonoff JS. RE-EM trees: A data mining approach for longitudinal and clustered data. Machine Learning 2011;86:169–207. doi:</w:t>
      </w:r>
      <w:r>
        <w:fldChar w:fldCharType="begin"/>
      </w:r>
      <w:r>
        <w:instrText xml:space="preserve"> HYPERLINK "https://doi.org/10.1007/s10994-011-5258-3" \h </w:instrText>
      </w:r>
      <w:r>
        <w:fldChar w:fldCharType="separate"/>
      </w:r>
      <w:r>
        <w:rPr>
          <w:rStyle w:val="22"/>
          <w:lang w:val="en-GB"/>
        </w:rPr>
        <w:t>10.1007/s10994-011-5258-3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[12] Martin D. Efficiently exploring multilevel data with recursive partitioning. PhD thesis. University of Virginia, n.d. doi:</w:t>
      </w:r>
      <w:r>
        <w:fldChar w:fldCharType="begin"/>
      </w:r>
      <w:r>
        <w:instrText xml:space="preserve"> HYPERLINK "https://doi.org/10.18130/v3ps0f" \h </w:instrText>
      </w:r>
      <w:r>
        <w:fldChar w:fldCharType="separate"/>
      </w:r>
      <w:r>
        <w:rPr>
          <w:rStyle w:val="22"/>
          <w:lang w:val="en-GB"/>
        </w:rPr>
        <w:t>10.18130/v3ps0f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[13] Philipp M, Zeileis A, Strobl C. A toolkit for stability assessment of tree-based learners. Machine Learning 2016.</w:t>
      </w:r>
    </w:p>
    <w:p>
      <w:pPr>
        <w:pStyle w:val="30"/>
        <w:rPr>
          <w:lang w:val="en-GB"/>
        </w:rPr>
      </w:pPr>
      <w:r>
        <w:rPr>
          <w:lang w:val="en-GB"/>
        </w:rPr>
        <w:t>[14] Seibold H, Hothorn T, Zeileis A. Generalised linear model trees with global additive effects 2016.</w:t>
      </w:r>
    </w:p>
    <w:p>
      <w:pPr>
        <w:pStyle w:val="30"/>
        <w:rPr>
          <w:lang w:val="en-GB"/>
        </w:rPr>
      </w:pPr>
      <w:r>
        <w:rPr>
          <w:lang w:val="en-GB"/>
        </w:rPr>
        <w:t>[15] Mistry D, Stallard N, Underwood M. A recursive partitioning approach for subgroup identification in individual patient data meta-analysis. Statistics in Medicine 2018. doi:</w:t>
      </w:r>
      <w:r>
        <w:fldChar w:fldCharType="begin"/>
      </w:r>
      <w:r>
        <w:instrText xml:space="preserve"> HYPERLINK "https://doi.org/10.1002/sim.7609" \h </w:instrText>
      </w:r>
      <w:r>
        <w:fldChar w:fldCharType="separate"/>
      </w:r>
      <w:r>
        <w:rPr>
          <w:rStyle w:val="22"/>
          <w:lang w:val="en-GB"/>
        </w:rPr>
        <w:t>10.1002/sim.7609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[16] Fokkema M, Smits N, Zeileis A, Hothorn T, Kelderman H. Detecting treatment-subgroup interactions in clustered data with generalized linear mixed-effects model trees. Behavior Research Methods 2017. doi:</w:t>
      </w:r>
      <w:r>
        <w:fldChar w:fldCharType="begin"/>
      </w:r>
      <w:r>
        <w:instrText xml:space="preserve"> HYPERLINK "https://doi.org/10.3758/s13428-017-0971-x" \h </w:instrText>
      </w:r>
      <w:r>
        <w:fldChar w:fldCharType="separate"/>
      </w:r>
      <w:r>
        <w:rPr>
          <w:rStyle w:val="22"/>
          <w:lang w:val="en-GB"/>
        </w:rPr>
        <w:t>10.3758/s13428-017-0971-x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[17] Royston P, Altman DG. Regression using fractional polynomials of continuous covariates: Parsimonious parametric modelling. Applied Statistics 1994;43:429. doi:</w:t>
      </w:r>
      <w:r>
        <w:fldChar w:fldCharType="begin"/>
      </w:r>
      <w:r>
        <w:instrText xml:space="preserve"> HYPERLINK "https://doi.org/10.2307/2986270" \h </w:instrText>
      </w:r>
      <w:r>
        <w:fldChar w:fldCharType="separate"/>
      </w:r>
      <w:r>
        <w:rPr>
          <w:rStyle w:val="22"/>
          <w:lang w:val="en-GB"/>
        </w:rPr>
        <w:t>10.2307/2986270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[18] Sauerbrei W, Royston P. A new strategy for meta-analysis of continuous covariates in observational studies. Statistics in Medicine 2011;30:3341–60. doi:</w:t>
      </w:r>
      <w:r>
        <w:fldChar w:fldCharType="begin"/>
      </w:r>
      <w:r>
        <w:instrText xml:space="preserve"> HYPERLINK "https://doi.org/10.1002/sim.4333" \h </w:instrText>
      </w:r>
      <w:r>
        <w:fldChar w:fldCharType="separate"/>
      </w:r>
      <w:r>
        <w:rPr>
          <w:rStyle w:val="22"/>
          <w:lang w:val="en-GB"/>
        </w:rPr>
        <w:t>10.1002/sim.4333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[19] Hastie T, Tibshirani R. Generalized additive models. Defense Technical Information Center; 1984. doi:</w:t>
      </w:r>
      <w:r>
        <w:fldChar w:fldCharType="begin"/>
      </w:r>
      <w:r>
        <w:instrText xml:space="preserve"> HYPERLINK "https://doi.org/10.21236/ada147454" \h </w:instrText>
      </w:r>
      <w:r>
        <w:fldChar w:fldCharType="separate"/>
      </w:r>
      <w:r>
        <w:rPr>
          <w:rStyle w:val="22"/>
          <w:lang w:val="en-GB"/>
        </w:rPr>
        <w:t>10.21236/ada147454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[20] Brown RA, Hastie TJ, Tibshirani RJ. Generalized additive models. Biometrics 1991;47:785. doi:</w:t>
      </w:r>
      <w:r>
        <w:fldChar w:fldCharType="begin"/>
      </w:r>
      <w:r>
        <w:instrText xml:space="preserve"> HYPERLINK "https://doi.org/10.2307/2532174" \h </w:instrText>
      </w:r>
      <w:r>
        <w:fldChar w:fldCharType="separate"/>
      </w:r>
      <w:r>
        <w:rPr>
          <w:rStyle w:val="22"/>
          <w:lang w:val="en-GB"/>
        </w:rPr>
        <w:t>10.2307/2532174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[21] Wang XV, Cole B, Bonetti M, Gelber RD. Meta-STEPP: Subpopulation treatment effect pattern plot for individual patient data meta-analysis. Statistics in Medicine 2016;35:3704–16. doi:</w:t>
      </w:r>
      <w:r>
        <w:fldChar w:fldCharType="begin"/>
      </w:r>
      <w:r>
        <w:instrText xml:space="preserve"> HYPERLINK "https://doi.org/10.1002/sim.6958" \h </w:instrText>
      </w:r>
      <w:r>
        <w:fldChar w:fldCharType="separate"/>
      </w:r>
      <w:r>
        <w:rPr>
          <w:rStyle w:val="22"/>
          <w:lang w:val="en-GB"/>
        </w:rPr>
        <w:t>10.1002/sim.6958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[22] Hua H, Burke DL, Crowther MJ, Ensor J, Smith CT, Riley RD. One-stage individual participant data meta-analysis models: Estimation of treatment-covariate interactions must avoid ecological bias by separating out within-trial and across-trial information. Statistics in Medicine 2016;36:772–89. doi:</w:t>
      </w:r>
      <w:r>
        <w:fldChar w:fldCharType="begin"/>
      </w:r>
      <w:r>
        <w:instrText xml:space="preserve"> HYPERLINK "https://doi.org/10.1002/sim.7171" \h </w:instrText>
      </w:r>
      <w:r>
        <w:fldChar w:fldCharType="separate"/>
      </w:r>
      <w:r>
        <w:rPr>
          <w:rStyle w:val="22"/>
          <w:lang w:val="en-GB"/>
        </w:rPr>
        <w:t>10.1002/sim.7171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[23] Royston P, Sauerbrei W. Interactions between treatment and continuous covariates: A step toward individualizing therapy. Journal of Clinical Oncology 2008;26:1397–9. doi:</w:t>
      </w:r>
      <w:r>
        <w:fldChar w:fldCharType="begin"/>
      </w:r>
      <w:r>
        <w:instrText xml:space="preserve"> HYPERLINK "https://doi.org/10.1200/jco.2007.14.8981" \h </w:instrText>
      </w:r>
      <w:r>
        <w:fldChar w:fldCharType="separate"/>
      </w:r>
      <w:r>
        <w:rPr>
          <w:rStyle w:val="22"/>
          <w:lang w:val="en-GB"/>
        </w:rPr>
        <w:t>10.1200/jco.2007.14.8981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[24] Sun X, Briel M, Walter SD, Guyatt GH. Is a subgroup effect believable? Updating criteria to evaluate the credibility of subgroup analyses. BMJ 2010;340:c117–7. doi:</w:t>
      </w:r>
      <w:r>
        <w:fldChar w:fldCharType="begin"/>
      </w:r>
      <w:r>
        <w:instrText xml:space="preserve"> HYPERLINK "https://doi.org/10.1136/bmj.c117" \h </w:instrText>
      </w:r>
      <w:r>
        <w:fldChar w:fldCharType="separate"/>
      </w:r>
      <w:r>
        <w:rPr>
          <w:rStyle w:val="22"/>
          <w:lang w:val="en-GB"/>
        </w:rPr>
        <w:t>10.1136/bmj.c117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[25] Gelman A. Exploratory data analysis for complex models. Journal of Computational and Graphical Statistics 2004;13:755–79. doi:</w:t>
      </w:r>
      <w:r>
        <w:fldChar w:fldCharType="begin"/>
      </w:r>
      <w:r>
        <w:instrText xml:space="preserve"> HYPERLINK "https://doi.org/10.1198/106186004x11435" \h </w:instrText>
      </w:r>
      <w:r>
        <w:fldChar w:fldCharType="separate"/>
      </w:r>
      <w:r>
        <w:rPr>
          <w:rStyle w:val="22"/>
          <w:lang w:val="en-GB"/>
        </w:rPr>
        <w:t>10.1198/106186004x11435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[26] Hoaglin DC, Mosteller F, Tukey JW, editors. Fundamentals of exploratory analysis of variance. John Wiley &amp; Sons, Inc. 1991. doi:</w:t>
      </w:r>
      <w:r>
        <w:fldChar w:fldCharType="begin"/>
      </w:r>
      <w:r>
        <w:instrText xml:space="preserve"> HYPERLINK "https://doi.org/10.1002/9780470316832" \h </w:instrText>
      </w:r>
      <w:r>
        <w:fldChar w:fldCharType="separate"/>
      </w:r>
      <w:r>
        <w:rPr>
          <w:rStyle w:val="22"/>
          <w:lang w:val="en-GB"/>
        </w:rPr>
        <w:t>10.1002/9780470316832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[27] Simmonds MC, Higgins JPT. Covariate heterogeneity in meta-analysis: Criteria for deciding between meta-regression and individual patient data. Statistics in Medicine 2007;26:2982–99. doi:</w:t>
      </w:r>
      <w:r>
        <w:fldChar w:fldCharType="begin"/>
      </w:r>
      <w:r>
        <w:instrText xml:space="preserve"> HYPERLINK "https://doi.org/10.1002/sim.2768" \h </w:instrText>
      </w:r>
      <w:r>
        <w:fldChar w:fldCharType="separate"/>
      </w:r>
      <w:r>
        <w:rPr>
          <w:rStyle w:val="22"/>
          <w:lang w:val="en-GB"/>
        </w:rPr>
        <w:t>10.1002/sim.2768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[28] Royston P, Sauerbrei W. A new approach to modelling interactions between treatment and continuous covariates in clinical trials by using fractional polynomials. Statistics in Medicine 2004;23:2509–25. doi:</w:t>
      </w:r>
      <w:r>
        <w:fldChar w:fldCharType="begin"/>
      </w:r>
      <w:r>
        <w:instrText xml:space="preserve"> HYPERLINK "https://doi.org/10.1002/sim.1815" \h </w:instrText>
      </w:r>
      <w:r>
        <w:fldChar w:fldCharType="separate"/>
      </w:r>
      <w:r>
        <w:rPr>
          <w:rStyle w:val="22"/>
          <w:lang w:val="en-GB"/>
        </w:rPr>
        <w:t>10.1002/sim.1815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[29] Lin X, Zhang D. Inference in generalized additive mixed modelsby using smoothing splines. Journal of the Royal Statistical Society: Series B (Statistical Methodology) 1999;61:381–400. doi:</w:t>
      </w:r>
      <w:r>
        <w:fldChar w:fldCharType="begin"/>
      </w:r>
      <w:r>
        <w:instrText xml:space="preserve"> HYPERLINK "https://doi.org/10.1111/1467-9868.00183" \h </w:instrText>
      </w:r>
      <w:r>
        <w:fldChar w:fldCharType="separate"/>
      </w:r>
      <w:r>
        <w:rPr>
          <w:rStyle w:val="22"/>
          <w:lang w:val="en-GB"/>
        </w:rPr>
        <w:t>10.1111/1467-9868.00183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[30] Smith CT, Williamson PR, Marson AG. Investigating heterogeneity in an individual patient data meta-analysis of time to event outcomes. Statistics in Medicine 2005;24:1307–19. doi:</w:t>
      </w:r>
      <w:r>
        <w:fldChar w:fldCharType="begin"/>
      </w:r>
      <w:r>
        <w:instrText xml:space="preserve"> HYPERLINK "https://doi.org/10.1002/sim.2050" \h </w:instrText>
      </w:r>
      <w:r>
        <w:fldChar w:fldCharType="separate"/>
      </w:r>
      <w:r>
        <w:rPr>
          <w:rStyle w:val="22"/>
          <w:lang w:val="en-GB"/>
        </w:rPr>
        <w:t>10.1002/sim.2050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[31] Williamson PR, Clough HE, Hutton JL, Marson AG, Chadwick DW. Statistical issues in the assessment of the evidence for an interaction between factors in epilepsy trials. Statistics in Medicine 2002;21:2613–22. doi:</w:t>
      </w:r>
      <w:r>
        <w:fldChar w:fldCharType="begin"/>
      </w:r>
      <w:r>
        <w:instrText xml:space="preserve"> HYPERLINK "https://doi.org/10.1002/sim.1044" \h </w:instrText>
      </w:r>
      <w:r>
        <w:fldChar w:fldCharType="separate"/>
      </w:r>
      <w:r>
        <w:rPr>
          <w:rStyle w:val="22"/>
          <w:lang w:val="en-GB"/>
        </w:rPr>
        <w:t>10.1002/sim.1044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[32] Marson A, Williamson P, Clough H, Hutton J, Chadwick D, Monothera OBOTE. Carbamazepine versus valproate monotherapy for epilepsy: A meta-analysis. Epilepsia 2002;43:505–13. doi:</w:t>
      </w:r>
      <w:r>
        <w:fldChar w:fldCharType="begin"/>
      </w:r>
      <w:r>
        <w:instrText xml:space="preserve"> HYPERLINK "https://doi.org/10.1046/j.1528-1157.2002.20801.x" \h </w:instrText>
      </w:r>
      <w:r>
        <w:fldChar w:fldCharType="separate"/>
      </w:r>
      <w:r>
        <w:rPr>
          <w:rStyle w:val="22"/>
          <w:lang w:val="en-GB"/>
        </w:rPr>
        <w:t>10.1046/j.1528-1157.2002.20801.x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[33] Rovers MM, Glasziou P, Appelman CL, Burke P, McCormick DP, Damoiseaux RA, et al. Antibiotics for acute otitis media: A meta-analysis with individual patient data. The Lancet 2006;368:1429–35. doi:</w:t>
      </w:r>
      <w:r>
        <w:fldChar w:fldCharType="begin"/>
      </w:r>
      <w:r>
        <w:instrText xml:space="preserve"> HYPERLINK "https://doi.org/10.1016/s0140-6736(06)69606-2" \h </w:instrText>
      </w:r>
      <w:r>
        <w:fldChar w:fldCharType="separate"/>
      </w:r>
      <w:r>
        <w:rPr>
          <w:rStyle w:val="22"/>
          <w:lang w:val="en-GB"/>
        </w:rPr>
        <w:t>10.1016/s0140-6736(06)69606-2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方正舒体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andolFa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3993"/>
    <w:rsid w:val="001F7D88"/>
    <w:rsid w:val="00327B64"/>
    <w:rsid w:val="004E29B3"/>
    <w:rsid w:val="00590D07"/>
    <w:rsid w:val="005C644E"/>
    <w:rsid w:val="0072228E"/>
    <w:rsid w:val="00784D58"/>
    <w:rsid w:val="007D141B"/>
    <w:rsid w:val="008D6863"/>
    <w:rsid w:val="009349B7"/>
    <w:rsid w:val="00A630FF"/>
    <w:rsid w:val="00B20EF1"/>
    <w:rsid w:val="00B86B75"/>
    <w:rsid w:val="00BC48D5"/>
    <w:rsid w:val="00C36279"/>
    <w:rsid w:val="00E315A3"/>
    <w:rsid w:val="00E85B2D"/>
    <w:rsid w:val="4FA5D7DE"/>
    <w:rsid w:val="7B1DB3C0"/>
    <w:rsid w:val="7EDF6E73"/>
    <w:rsid w:val="8FFA653B"/>
    <w:rsid w:val="C3DFC093"/>
    <w:rsid w:val="D7FF0966"/>
    <w:rsid w:val="EDFF138B"/>
    <w:rsid w:val="FF8FB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71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72"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73"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74"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75"/>
    <w:unhideWhenUsed/>
    <w:qFormat/>
    <w:uiPriority w:val="9"/>
    <w:pPr>
      <w:pageBreakBefore/>
      <w:spacing w:after="0"/>
      <w:jc w:val="left"/>
      <w:outlineLvl w:val="4"/>
    </w:pPr>
    <w:rPr>
      <w:rFonts w:asciiTheme="minorAscii" w:hAnsiTheme="minorAscii"/>
      <w:smallCaps/>
      <w:color w:val="E36C09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76"/>
    <w:unhideWhenUsed/>
    <w:qFormat/>
    <w:uiPriority w:val="9"/>
    <w:pPr>
      <w:pageBreakBefore/>
      <w:spacing w:after="0"/>
      <w:jc w:val="left"/>
      <w:outlineLvl w:val="5"/>
    </w:pPr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paragraph" w:styleId="8">
    <w:name w:val="heading 7"/>
    <w:basedOn w:val="1"/>
    <w:next w:val="1"/>
    <w:link w:val="77"/>
    <w:unhideWhenUsed/>
    <w:qFormat/>
    <w:uiPriority w:val="9"/>
    <w:pPr>
      <w:spacing w:after="0"/>
      <w:ind w:firstLine="1562" w:firstLineChars="300"/>
      <w:jc w:val="left"/>
      <w:outlineLvl w:val="6"/>
    </w:pPr>
    <w:rPr>
      <w:rFonts w:asciiTheme="minorAscii" w:hAnsiTheme="minorAscii" w:eastAsiaTheme="minorEastAsia"/>
      <w:bCs/>
      <w:color w:val="000000" w:themeColor="text1"/>
      <w:spacing w:val="14"/>
    </w:rPr>
  </w:style>
  <w:style w:type="paragraph" w:styleId="9">
    <w:name w:val="heading 8"/>
    <w:basedOn w:val="1"/>
    <w:next w:val="1"/>
    <w:link w:val="78"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E36C09" w:themeColor="accent6" w:themeShade="BF"/>
    </w:rPr>
  </w:style>
  <w:style w:type="paragraph" w:styleId="10">
    <w:name w:val="heading 9"/>
    <w:basedOn w:val="1"/>
    <w:next w:val="1"/>
    <w:link w:val="79"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2"/>
    <w:next w:val="12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caption"/>
    <w:basedOn w:val="1"/>
    <w:next w:val="1"/>
    <w:link w:val="21"/>
    <w:unhideWhenUsed/>
    <w:qFormat/>
    <w:uiPriority w:val="35"/>
    <w:rPr>
      <w:b/>
      <w:bCs/>
      <w:caps/>
      <w:sz w:val="16"/>
      <w:szCs w:val="16"/>
    </w:rPr>
  </w:style>
  <w:style w:type="paragraph" w:styleId="14">
    <w:name w:val="Date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"/>
    <w:next w:val="1"/>
    <w:link w:val="81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paragraph" w:styleId="17">
    <w:name w:val="Title"/>
    <w:basedOn w:val="1"/>
    <w:next w:val="1"/>
    <w:link w:val="80"/>
    <w:qFormat/>
    <w:uiPriority w:val="10"/>
    <w:pPr>
      <w:pBdr>
        <w:top w:val="single" w:color="F79646" w:themeColor="accent6" w:sz="8" w:space="1"/>
      </w:pBdr>
      <w:spacing w:after="120" w:line="240" w:lineRule="auto"/>
      <w:jc w:val="left"/>
    </w:pPr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styleId="19">
    <w:name w:val="Emphasis"/>
    <w:qFormat/>
    <w:uiPriority w:val="20"/>
    <w:rPr>
      <w:b/>
      <w:bCs/>
      <w:i/>
      <w:iCs/>
      <w:spacing w:val="10"/>
    </w:rPr>
  </w:style>
  <w:style w:type="character" w:styleId="20">
    <w:name w:val="footnote reference"/>
    <w:basedOn w:val="21"/>
    <w:qFormat/>
    <w:uiPriority w:val="0"/>
    <w:rPr>
      <w:sz w:val="16"/>
      <w:szCs w:val="16"/>
      <w:vertAlign w:val="superscript"/>
    </w:rPr>
  </w:style>
  <w:style w:type="character" w:customStyle="1" w:styleId="21">
    <w:name w:val="Caption Char"/>
    <w:basedOn w:val="18"/>
    <w:link w:val="13"/>
    <w:qFormat/>
    <w:uiPriority w:val="35"/>
    <w:rPr>
      <w:b/>
      <w:bCs/>
      <w:caps/>
      <w:sz w:val="16"/>
      <w:szCs w:val="16"/>
    </w:rPr>
  </w:style>
  <w:style w:type="character" w:styleId="22">
    <w:name w:val="Hyperlink"/>
    <w:basedOn w:val="21"/>
    <w:qFormat/>
    <w:uiPriority w:val="0"/>
    <w:rPr>
      <w:color w:val="4F81BD" w:themeColor="accent1"/>
      <w:sz w:val="16"/>
      <w:szCs w:val="16"/>
    </w:rPr>
  </w:style>
  <w:style w:type="character" w:styleId="23">
    <w:name w:val="Strong"/>
    <w:qFormat/>
    <w:uiPriority w:val="22"/>
    <w:rPr>
      <w:b/>
      <w:bCs/>
      <w:color w:val="F79646" w:themeColor="accent6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paragraph" w:customStyle="1" w:styleId="28">
    <w:name w:val="Author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customStyle="1" w:styleId="29">
    <w:name w:val="Abstract"/>
    <w:basedOn w:val="1"/>
    <w:next w:val="12"/>
    <w:qFormat/>
    <w:uiPriority w:val="0"/>
    <w:pPr>
      <w:keepNext/>
      <w:keepLines/>
      <w:spacing w:before="300" w:after="300"/>
    </w:pPr>
  </w:style>
  <w:style w:type="paragraph" w:customStyle="1" w:styleId="30">
    <w:name w:val="Bibliography"/>
    <w:basedOn w:val="1"/>
    <w:qFormat/>
    <w:uiPriority w:val="0"/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Figure with Caption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qFormat/>
    <w:uiPriority w:val="0"/>
    <w:rPr>
      <w:rFonts w:ascii="Consolas" w:hAnsi="Consolas"/>
      <w:sz w:val="22"/>
      <w:szCs w:val="16"/>
    </w:rPr>
  </w:style>
  <w:style w:type="paragraph" w:customStyle="1" w:styleId="38">
    <w:name w:val="Source Code"/>
    <w:basedOn w:val="1"/>
    <w:link w:val="37"/>
    <w:qFormat/>
    <w:uiPriority w:val="0"/>
    <w:pPr>
      <w:shd w:val="clear" w:color="auto" w:fill="F8F8F8"/>
      <w:wordWrap w:val="0"/>
    </w:pPr>
  </w:style>
  <w:style w:type="paragraph" w:customStyle="1" w:styleId="3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0">
    <w:name w:val="Keyword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204A87"/>
      <w:sz w:val="22"/>
      <w:szCs w:val="16"/>
      <w:shd w:val="clear" w:color="auto" w:fill="F8F8F8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8F5902"/>
      <w:sz w:val="22"/>
      <w:szCs w:val="16"/>
      <w:shd w:val="clear" w:color="auto" w:fill="F8F8F8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b w:val="0"/>
      <w:color w:val="CE5C00"/>
      <w:sz w:val="22"/>
      <w:szCs w:val="16"/>
      <w:shd w:val="clear" w:color="auto" w:fill="F8F8F8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C4A000"/>
      <w:sz w:val="22"/>
      <w:szCs w:val="16"/>
      <w:shd w:val="clear" w:color="auto" w:fill="F8F8F8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8">
    <w:name w:val="AlertTok"/>
    <w:basedOn w:val="37"/>
    <w:qFormat/>
    <w:uiPriority w:val="0"/>
    <w:rPr>
      <w:rFonts w:ascii="Consolas" w:hAnsi="Consolas"/>
      <w:color w:val="EF2929"/>
      <w:sz w:val="22"/>
      <w:szCs w:val="16"/>
      <w:shd w:val="clear" w:color="auto" w:fill="F8F8F8"/>
    </w:rPr>
  </w:style>
  <w:style w:type="character" w:customStyle="1" w:styleId="69">
    <w:name w:val="ErrorTok"/>
    <w:basedOn w:val="37"/>
    <w:qFormat/>
    <w:uiPriority w:val="0"/>
    <w:rPr>
      <w:rFonts w:ascii="Consolas" w:hAnsi="Consolas"/>
      <w:b w:val="0"/>
      <w:color w:val="A40000"/>
      <w:sz w:val="22"/>
      <w:szCs w:val="16"/>
      <w:shd w:val="clear" w:color="auto" w:fill="F8F8F8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71">
    <w:name w:val="Heading 1 Char"/>
    <w:basedOn w:val="18"/>
    <w:link w:val="2"/>
    <w:qFormat/>
    <w:uiPriority w:val="9"/>
    <w:rPr>
      <w:smallCaps/>
      <w:spacing w:val="5"/>
      <w:sz w:val="32"/>
      <w:szCs w:val="32"/>
    </w:rPr>
  </w:style>
  <w:style w:type="character" w:customStyle="1" w:styleId="72">
    <w:name w:val="Heading 2 Char"/>
    <w:basedOn w:val="18"/>
    <w:link w:val="3"/>
    <w:qFormat/>
    <w:uiPriority w:val="9"/>
    <w:rPr>
      <w:smallCaps/>
      <w:spacing w:val="5"/>
      <w:sz w:val="28"/>
      <w:szCs w:val="28"/>
    </w:rPr>
  </w:style>
  <w:style w:type="character" w:customStyle="1" w:styleId="73">
    <w:name w:val="Heading 3 Char"/>
    <w:basedOn w:val="18"/>
    <w:link w:val="4"/>
    <w:qFormat/>
    <w:uiPriority w:val="9"/>
    <w:rPr>
      <w:smallCaps/>
      <w:spacing w:val="5"/>
      <w:sz w:val="24"/>
      <w:szCs w:val="24"/>
    </w:rPr>
  </w:style>
  <w:style w:type="character" w:customStyle="1" w:styleId="74">
    <w:name w:val="Heading 4 Char"/>
    <w:basedOn w:val="18"/>
    <w:link w:val="5"/>
    <w:qFormat/>
    <w:uiPriority w:val="9"/>
    <w:rPr>
      <w:i/>
      <w:iCs/>
      <w:smallCaps/>
      <w:spacing w:val="10"/>
      <w:sz w:val="22"/>
      <w:szCs w:val="22"/>
    </w:rPr>
  </w:style>
  <w:style w:type="character" w:customStyle="1" w:styleId="75">
    <w:name w:val="Heading 5 Char"/>
    <w:basedOn w:val="18"/>
    <w:link w:val="6"/>
    <w:qFormat/>
    <w:uiPriority w:val="9"/>
    <w:rPr>
      <w:rFonts w:asciiTheme="minorAscii" w:hAnsiTheme="minorAscii"/>
      <w:smallCaps/>
      <w:color w:val="E36C09" w:themeColor="accent6" w:themeShade="BF"/>
      <w:spacing w:val="10"/>
      <w:sz w:val="22"/>
      <w:szCs w:val="22"/>
    </w:rPr>
  </w:style>
  <w:style w:type="character" w:customStyle="1" w:styleId="76">
    <w:name w:val="Heading 6 Char"/>
    <w:basedOn w:val="18"/>
    <w:link w:val="7"/>
    <w:qFormat/>
    <w:uiPriority w:val="9"/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character" w:customStyle="1" w:styleId="77">
    <w:name w:val="Heading 7 Char"/>
    <w:basedOn w:val="18"/>
    <w:link w:val="8"/>
    <w:qFormat/>
    <w:uiPriority w:val="9"/>
    <w:rPr>
      <w:rFonts w:asciiTheme="minorAscii" w:hAnsiTheme="minorAscii" w:eastAsiaTheme="minorEastAsia"/>
      <w:bCs/>
      <w:color w:val="000000" w:themeColor="text1"/>
      <w:spacing w:val="14"/>
    </w:rPr>
  </w:style>
  <w:style w:type="character" w:customStyle="1" w:styleId="78">
    <w:name w:val="Heading 8 Char"/>
    <w:basedOn w:val="18"/>
    <w:link w:val="9"/>
    <w:qFormat/>
    <w:uiPriority w:val="9"/>
    <w:rPr>
      <w:b/>
      <w:bCs/>
      <w:i/>
      <w:iCs/>
      <w:smallCaps/>
      <w:color w:val="E36C09" w:themeColor="accent6" w:themeShade="BF"/>
    </w:rPr>
  </w:style>
  <w:style w:type="character" w:customStyle="1" w:styleId="79">
    <w:name w:val="Heading 9 Char"/>
    <w:basedOn w:val="18"/>
    <w:link w:val="10"/>
    <w:qFormat/>
    <w:uiPriority w:val="9"/>
    <w:rPr>
      <w:b/>
      <w:bCs/>
      <w:i/>
      <w:iCs/>
      <w:smallCaps/>
      <w:color w:val="984806" w:themeColor="accent6" w:themeShade="80"/>
    </w:rPr>
  </w:style>
  <w:style w:type="character" w:customStyle="1" w:styleId="80">
    <w:name w:val="Title Char"/>
    <w:basedOn w:val="18"/>
    <w:link w:val="17"/>
    <w:qFormat/>
    <w:uiPriority w:val="10"/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customStyle="1" w:styleId="81">
    <w:name w:val="Subtitle Char"/>
    <w:basedOn w:val="18"/>
    <w:link w:val="16"/>
    <w:qFormat/>
    <w:uiPriority w:val="11"/>
    <w:rPr>
      <w:rFonts w:asciiTheme="majorHAnsi" w:hAnsiTheme="majorHAnsi" w:eastAsiaTheme="majorEastAsia" w:cstheme="majorBidi"/>
    </w:rPr>
  </w:style>
  <w:style w:type="paragraph" w:styleId="82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83">
    <w:name w:val="Quote"/>
    <w:basedOn w:val="1"/>
    <w:next w:val="1"/>
    <w:link w:val="84"/>
    <w:qFormat/>
    <w:uiPriority w:val="29"/>
    <w:rPr>
      <w:i/>
      <w:iCs/>
    </w:rPr>
  </w:style>
  <w:style w:type="character" w:customStyle="1" w:styleId="84">
    <w:name w:val="Quote Char"/>
    <w:basedOn w:val="18"/>
    <w:link w:val="83"/>
    <w:qFormat/>
    <w:uiPriority w:val="29"/>
    <w:rPr>
      <w:i/>
      <w:iCs/>
    </w:rPr>
  </w:style>
  <w:style w:type="paragraph" w:styleId="85">
    <w:name w:val="Intense Quote"/>
    <w:basedOn w:val="1"/>
    <w:next w:val="1"/>
    <w:link w:val="86"/>
    <w:qFormat/>
    <w:uiPriority w:val="30"/>
    <w:pPr>
      <w:pBdr>
        <w:top w:val="single" w:color="F79646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86">
    <w:name w:val="Intense Quote Char"/>
    <w:basedOn w:val="18"/>
    <w:link w:val="85"/>
    <w:qFormat/>
    <w:uiPriority w:val="30"/>
    <w:rPr>
      <w:b/>
      <w:bCs/>
      <w:i/>
      <w:iCs/>
    </w:rPr>
  </w:style>
  <w:style w:type="character" w:customStyle="1" w:styleId="87">
    <w:name w:val="Subtle Emphasis"/>
    <w:qFormat/>
    <w:uiPriority w:val="19"/>
    <w:rPr>
      <w:i/>
      <w:iCs/>
    </w:rPr>
  </w:style>
  <w:style w:type="character" w:customStyle="1" w:styleId="88">
    <w:name w:val="Intense Emphasis"/>
    <w:qFormat/>
    <w:uiPriority w:val="21"/>
    <w:rPr>
      <w:b/>
      <w:bCs/>
      <w:i/>
      <w:iCs/>
      <w:color w:val="F79646" w:themeColor="accent6"/>
      <w:spacing w:val="10"/>
    </w:rPr>
  </w:style>
  <w:style w:type="character" w:customStyle="1" w:styleId="89">
    <w:name w:val="Subtle Reference"/>
    <w:qFormat/>
    <w:uiPriority w:val="31"/>
    <w:rPr>
      <w:b/>
      <w:bCs/>
    </w:rPr>
  </w:style>
  <w:style w:type="character" w:customStyle="1" w:styleId="9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9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 2007-2010">
      <a:dk1>
        <a:sysClr val="windowText" lastClr="000000"/>
      </a:dk1>
      <a:lt1>
        <a:sysClr val="window" lastClr="30303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4458</Words>
  <Characters>25416</Characters>
  <Lines>211</Lines>
  <Paragraphs>59</Paragraphs>
  <TotalTime>5</TotalTime>
  <ScaleCrop>false</ScaleCrop>
  <LinksUpToDate>false</LinksUpToDate>
  <CharactersWithSpaces>29815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2018-04-03T19:40:00Z</dcterms:created>
  <dc:creator>Michail Belias</dc:creator>
  <cp:lastModifiedBy>mike-belias</cp:lastModifiedBy>
  <dcterms:modified xsi:type="dcterms:W3CDTF">2019-06-12T10:12:32Z</dcterms:modified>
  <dc:title>Identifying subgroups based on continuous measurements in individual patient data meta-analysis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