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F49" w:rsidRPr="00FF4437" w:rsidRDefault="00FC4F49" w:rsidP="00FC4F49">
      <w:pPr>
        <w:rPr>
          <w:rFonts w:ascii="Arial" w:hAnsi="Arial" w:cs="Arial"/>
          <w:sz w:val="24"/>
          <w:szCs w:val="24"/>
          <w:lang w:val="en-US"/>
        </w:rPr>
      </w:pPr>
      <w:r w:rsidRPr="001E59D2">
        <w:rPr>
          <w:rFonts w:ascii="Arial" w:hAnsi="Arial" w:cs="Arial"/>
          <w:b/>
          <w:sz w:val="24"/>
          <w:szCs w:val="24"/>
          <w:u w:val="single"/>
          <w:lang w:val="en-US"/>
        </w:rPr>
        <w:t>ONLINE SUPPLEMENT</w:t>
      </w:r>
    </w:p>
    <w:p w:rsidR="00FC4F49" w:rsidRDefault="00FC4F49" w:rsidP="00FC4F49">
      <w:pPr>
        <w:rPr>
          <w:rFonts w:ascii="Arial" w:hAnsi="Arial" w:cs="Arial"/>
          <w:sz w:val="24"/>
          <w:szCs w:val="24"/>
          <w:lang w:val="en-US"/>
        </w:rPr>
      </w:pPr>
    </w:p>
    <w:p w:rsidR="00FC4F49" w:rsidRDefault="00FC4F49" w:rsidP="00FC4F49">
      <w:pPr>
        <w:rPr>
          <w:rFonts w:ascii="Arial" w:hAnsi="Arial" w:cs="Arial"/>
          <w:sz w:val="24"/>
          <w:szCs w:val="24"/>
          <w:lang w:val="en-US"/>
        </w:rPr>
      </w:pPr>
    </w:p>
    <w:p w:rsidR="00FC4F49" w:rsidRDefault="00FC4F49" w:rsidP="00FC4F49">
      <w:pPr>
        <w:spacing w:afterLines="120" w:after="288" w:line="288" w:lineRule="auto"/>
        <w:jc w:val="both"/>
        <w:rPr>
          <w:rFonts w:ascii="Arial" w:hAnsi="Arial" w:cs="Arial"/>
          <w:sz w:val="24"/>
          <w:szCs w:val="24"/>
          <w:lang w:val="en-US"/>
        </w:rPr>
      </w:pPr>
      <w:r>
        <w:rPr>
          <w:rFonts w:ascii="Arial" w:hAnsi="Arial" w:cs="Arial"/>
          <w:noProof/>
          <w:sz w:val="24"/>
          <w:szCs w:val="24"/>
          <w:lang w:val="en-US" w:eastAsia="en-US"/>
        </w:rPr>
        <w:drawing>
          <wp:inline distT="0" distB="0" distL="0" distR="0" wp14:anchorId="52F04432" wp14:editId="667506D5">
            <wp:extent cx="5939790" cy="5847914"/>
            <wp:effectExtent l="19050" t="0" r="381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a:stretch>
                      <a:fillRect/>
                    </a:stretch>
                  </pic:blipFill>
                  <pic:spPr bwMode="auto">
                    <a:xfrm>
                      <a:off x="0" y="0"/>
                      <a:ext cx="5939790" cy="5847914"/>
                    </a:xfrm>
                    <a:prstGeom prst="rect">
                      <a:avLst/>
                    </a:prstGeom>
                    <a:noFill/>
                    <a:ln w="9525">
                      <a:noFill/>
                      <a:miter lim="800000"/>
                      <a:headEnd/>
                      <a:tailEnd/>
                    </a:ln>
                  </pic:spPr>
                </pic:pic>
              </a:graphicData>
            </a:graphic>
          </wp:inline>
        </w:drawing>
      </w:r>
    </w:p>
    <w:p w:rsidR="00FC4F49" w:rsidRDefault="00FC4F49" w:rsidP="00FC4F49">
      <w:pPr>
        <w:spacing w:afterLines="120" w:after="288" w:line="288" w:lineRule="auto"/>
        <w:jc w:val="both"/>
        <w:rPr>
          <w:rFonts w:ascii="Arial" w:hAnsi="Arial" w:cs="Arial"/>
          <w:b/>
          <w:sz w:val="22"/>
          <w:szCs w:val="22"/>
          <w:lang w:val="en-US"/>
        </w:rPr>
      </w:pPr>
    </w:p>
    <w:p w:rsidR="00FC4F49" w:rsidRDefault="00FC4F49" w:rsidP="00FC4F49">
      <w:pPr>
        <w:spacing w:afterLines="120" w:after="288" w:line="288" w:lineRule="auto"/>
        <w:jc w:val="both"/>
        <w:rPr>
          <w:rFonts w:ascii="Arial" w:hAnsi="Arial" w:cs="Arial"/>
          <w:sz w:val="24"/>
          <w:szCs w:val="24"/>
          <w:lang w:val="en-US"/>
        </w:rPr>
      </w:pPr>
      <w:r w:rsidRPr="00BE60EB">
        <w:rPr>
          <w:rFonts w:ascii="Arial" w:hAnsi="Arial" w:cs="Arial"/>
          <w:b/>
          <w:sz w:val="22"/>
          <w:szCs w:val="22"/>
          <w:lang w:val="en-US"/>
        </w:rPr>
        <w:t xml:space="preserve">Figure </w:t>
      </w:r>
      <w:r>
        <w:rPr>
          <w:rFonts w:ascii="Arial" w:hAnsi="Arial" w:cs="Arial"/>
          <w:b/>
          <w:sz w:val="22"/>
          <w:szCs w:val="22"/>
          <w:lang w:val="en-US"/>
        </w:rPr>
        <w:t>X1</w:t>
      </w:r>
      <w:r w:rsidRPr="00BE60EB">
        <w:rPr>
          <w:rFonts w:ascii="Arial" w:hAnsi="Arial" w:cs="Arial"/>
          <w:b/>
          <w:sz w:val="22"/>
          <w:szCs w:val="22"/>
          <w:lang w:val="en-US"/>
        </w:rPr>
        <w:t xml:space="preserve">. </w:t>
      </w:r>
      <w:r>
        <w:rPr>
          <w:rFonts w:ascii="Arial" w:hAnsi="Arial" w:cs="Arial"/>
          <w:sz w:val="24"/>
          <w:szCs w:val="24"/>
          <w:lang w:val="en-US"/>
        </w:rPr>
        <w:t>Flow chart of study selection.</w:t>
      </w:r>
    </w:p>
    <w:p w:rsidR="00FC4F49" w:rsidRDefault="00FC4F49" w:rsidP="00FC4F49">
      <w:pPr>
        <w:rPr>
          <w:rFonts w:ascii="Arial" w:hAnsi="Arial" w:cs="Arial"/>
          <w:sz w:val="24"/>
          <w:szCs w:val="24"/>
          <w:lang w:val="en-US"/>
        </w:rPr>
      </w:pPr>
      <w:r>
        <w:rPr>
          <w:rFonts w:ascii="Arial" w:hAnsi="Arial" w:cs="Arial"/>
          <w:sz w:val="24"/>
          <w:szCs w:val="24"/>
          <w:lang w:val="en-US"/>
        </w:rPr>
        <w:br w:type="page"/>
      </w:r>
    </w:p>
    <w:tbl>
      <w:tblPr>
        <w:tblStyle w:val="TableGrid"/>
        <w:tblW w:w="0" w:type="auto"/>
        <w:jc w:val="center"/>
        <w:tblLook w:val="04A0" w:firstRow="1" w:lastRow="0" w:firstColumn="1" w:lastColumn="0" w:noHBand="0" w:noVBand="1"/>
      </w:tblPr>
      <w:tblGrid>
        <w:gridCol w:w="7937"/>
      </w:tblGrid>
      <w:tr w:rsidR="00FC4F49" w:rsidRPr="00F475BE" w:rsidTr="006350B7">
        <w:trPr>
          <w:jc w:val="center"/>
        </w:trPr>
        <w:tc>
          <w:tcPr>
            <w:tcW w:w="7937" w:type="dxa"/>
          </w:tcPr>
          <w:p w:rsidR="00FC4F49" w:rsidRPr="00985023" w:rsidRDefault="00FC4F49" w:rsidP="006350B7">
            <w:pPr>
              <w:pStyle w:val="Publication12pt"/>
              <w:spacing w:before="240"/>
              <w:rPr>
                <w:b/>
                <w:sz w:val="20"/>
                <w:szCs w:val="20"/>
              </w:rPr>
            </w:pPr>
            <w:r>
              <w:rPr>
                <w:b/>
                <w:sz w:val="20"/>
                <w:szCs w:val="20"/>
              </w:rPr>
              <w:lastRenderedPageBreak/>
              <w:t xml:space="preserve">Methods of </w:t>
            </w:r>
            <w:r w:rsidRPr="00985023">
              <w:rPr>
                <w:b/>
                <w:sz w:val="20"/>
                <w:szCs w:val="20"/>
              </w:rPr>
              <w:t>Data Extraction</w:t>
            </w:r>
            <w:r>
              <w:rPr>
                <w:b/>
                <w:sz w:val="20"/>
                <w:szCs w:val="20"/>
              </w:rPr>
              <w:t xml:space="preserve"> and Supplemental Pathways </w:t>
            </w:r>
          </w:p>
        </w:tc>
      </w:tr>
      <w:tr w:rsidR="00FC4F49" w:rsidRPr="00F475BE" w:rsidTr="006350B7">
        <w:trPr>
          <w:jc w:val="center"/>
        </w:trPr>
        <w:tc>
          <w:tcPr>
            <w:tcW w:w="7937" w:type="dxa"/>
          </w:tcPr>
          <w:p w:rsidR="00FC4F49" w:rsidRPr="00563DEE" w:rsidRDefault="00FC4F49" w:rsidP="006350B7">
            <w:pPr>
              <w:pStyle w:val="Publication12pt"/>
              <w:spacing w:line="360" w:lineRule="auto"/>
              <w:ind w:left="720" w:right="113"/>
              <w:rPr>
                <w:sz w:val="12"/>
                <w:szCs w:val="12"/>
              </w:rPr>
            </w:pPr>
          </w:p>
          <w:p w:rsidR="00FC4F49" w:rsidRDefault="00FC4F49" w:rsidP="00FC4F49">
            <w:pPr>
              <w:pStyle w:val="Publication12pt"/>
              <w:numPr>
                <w:ilvl w:val="0"/>
                <w:numId w:val="1"/>
              </w:numPr>
              <w:spacing w:line="360" w:lineRule="auto"/>
              <w:ind w:right="113"/>
              <w:rPr>
                <w:sz w:val="20"/>
                <w:szCs w:val="20"/>
              </w:rPr>
            </w:pPr>
            <w:r w:rsidRPr="00985023">
              <w:rPr>
                <w:sz w:val="20"/>
                <w:szCs w:val="20"/>
              </w:rPr>
              <w:t xml:space="preserve">Aggregate data were extracted from eligible full-text articles and, where applicable, from clinical study reports by one independent person and entered on high security PCs (HSPC) within the validated working environment at the department ‘Clinical Research/Biometry’ in the institute IDV Data Analysis and Study Planning (Krailling/Germany). </w:t>
            </w:r>
          </w:p>
          <w:p w:rsidR="00FC4F49" w:rsidRDefault="00FC4F49" w:rsidP="00FC4F49">
            <w:pPr>
              <w:pStyle w:val="Publication12pt"/>
              <w:numPr>
                <w:ilvl w:val="0"/>
                <w:numId w:val="1"/>
              </w:numPr>
              <w:spacing w:line="360" w:lineRule="auto"/>
              <w:ind w:right="113"/>
              <w:rPr>
                <w:sz w:val="20"/>
                <w:szCs w:val="20"/>
              </w:rPr>
            </w:pPr>
            <w:r w:rsidRPr="00985023">
              <w:rPr>
                <w:sz w:val="20"/>
                <w:szCs w:val="20"/>
              </w:rPr>
              <w:t xml:space="preserve">Data entries were validated by another two independent persons at IDV, including a full internal source documentation and source verification. </w:t>
            </w:r>
          </w:p>
          <w:p w:rsidR="00FC4F49" w:rsidRDefault="00FC4F49" w:rsidP="00FC4F49">
            <w:pPr>
              <w:pStyle w:val="Publication12pt"/>
              <w:numPr>
                <w:ilvl w:val="0"/>
                <w:numId w:val="1"/>
              </w:numPr>
              <w:spacing w:line="360" w:lineRule="auto"/>
              <w:ind w:right="113"/>
              <w:rPr>
                <w:sz w:val="20"/>
                <w:szCs w:val="20"/>
              </w:rPr>
            </w:pPr>
            <w:r w:rsidRPr="00985023">
              <w:rPr>
                <w:sz w:val="20"/>
                <w:szCs w:val="20"/>
              </w:rPr>
              <w:t>One multicenter trial (MRI-1) was preliminarily published in Russia for</w:t>
            </w:r>
            <w:r w:rsidRPr="00985023">
              <w:rPr>
                <w:sz w:val="20"/>
                <w:szCs w:val="20"/>
                <w:lang w:val="en-US"/>
              </w:rPr>
              <w:t xml:space="preserve"> Russian</w:t>
            </w:r>
            <w:r w:rsidRPr="00985023">
              <w:rPr>
                <w:sz w:val="20"/>
                <w:szCs w:val="20"/>
              </w:rPr>
              <w:t xml:space="preserve"> sites only [</w:t>
            </w:r>
            <w:r w:rsidR="007C3C4D">
              <w:rPr>
                <w:sz w:val="20"/>
                <w:szCs w:val="20"/>
              </w:rPr>
              <w:t>1</w:t>
            </w:r>
            <w:r w:rsidRPr="00985023">
              <w:rPr>
                <w:sz w:val="20"/>
                <w:szCs w:val="20"/>
              </w:rPr>
              <w:t xml:space="preserve">], however, for the present meta-analysis all sites were included capturing the integrated data from the final clinical study report (CSR). </w:t>
            </w:r>
          </w:p>
          <w:p w:rsidR="00FC4F49" w:rsidRDefault="00FC4F49" w:rsidP="00FC4F49">
            <w:pPr>
              <w:pStyle w:val="Publication12pt"/>
              <w:numPr>
                <w:ilvl w:val="0"/>
                <w:numId w:val="1"/>
              </w:numPr>
              <w:spacing w:line="360" w:lineRule="auto"/>
              <w:ind w:right="113"/>
              <w:rPr>
                <w:sz w:val="20"/>
                <w:szCs w:val="20"/>
              </w:rPr>
            </w:pPr>
            <w:r w:rsidRPr="00985023">
              <w:rPr>
                <w:sz w:val="20"/>
                <w:szCs w:val="20"/>
              </w:rPr>
              <w:t>For study Xue 2016</w:t>
            </w:r>
            <w:r w:rsidR="00F475BE">
              <w:rPr>
                <w:sz w:val="20"/>
                <w:szCs w:val="20"/>
              </w:rPr>
              <w:t xml:space="preserve"> [2]</w:t>
            </w:r>
            <w:r w:rsidRPr="00985023">
              <w:rPr>
                <w:sz w:val="20"/>
                <w:szCs w:val="20"/>
              </w:rPr>
              <w:t xml:space="preserve">, raw data of dropouts were provided by the authors in order to allow LOCF analysis. </w:t>
            </w:r>
          </w:p>
          <w:p w:rsidR="00FC4F49" w:rsidRDefault="00FC4F49" w:rsidP="00FC4F49">
            <w:pPr>
              <w:pStyle w:val="Publication12pt"/>
              <w:numPr>
                <w:ilvl w:val="0"/>
                <w:numId w:val="1"/>
              </w:numPr>
              <w:spacing w:line="360" w:lineRule="auto"/>
              <w:ind w:right="113"/>
              <w:rPr>
                <w:sz w:val="20"/>
                <w:szCs w:val="20"/>
              </w:rPr>
            </w:pPr>
            <w:r w:rsidRPr="00985023">
              <w:rPr>
                <w:sz w:val="20"/>
                <w:szCs w:val="20"/>
              </w:rPr>
              <w:t>For the safety evaluations of study CASTA, the finalized CASTA safety database was used.</w:t>
            </w:r>
          </w:p>
          <w:p w:rsidR="00FC4F49" w:rsidRPr="00563DEE" w:rsidRDefault="00FC4F49" w:rsidP="006350B7">
            <w:pPr>
              <w:pStyle w:val="Publication12pt"/>
              <w:spacing w:line="360" w:lineRule="auto"/>
              <w:ind w:left="360"/>
              <w:rPr>
                <w:sz w:val="6"/>
                <w:szCs w:val="6"/>
              </w:rPr>
            </w:pPr>
          </w:p>
        </w:tc>
      </w:tr>
    </w:tbl>
    <w:p w:rsidR="00FC4F49" w:rsidRPr="00985023" w:rsidRDefault="00FC4F49" w:rsidP="00FC4F49">
      <w:pPr>
        <w:rPr>
          <w:rFonts w:ascii="Arial" w:hAnsi="Arial" w:cs="Arial"/>
          <w:b/>
          <w:sz w:val="24"/>
          <w:szCs w:val="24"/>
          <w:lang w:val="en-GB"/>
        </w:rPr>
      </w:pPr>
    </w:p>
    <w:p w:rsidR="00FC4F49" w:rsidRDefault="00FC4F49" w:rsidP="00FC4F49">
      <w:pPr>
        <w:rPr>
          <w:rFonts w:ascii="Arial" w:hAnsi="Arial" w:cs="Arial"/>
          <w:sz w:val="24"/>
          <w:szCs w:val="24"/>
          <w:lang w:val="en-US"/>
        </w:rPr>
      </w:pPr>
      <w:r w:rsidRPr="00C60BD1">
        <w:rPr>
          <w:rFonts w:ascii="Arial" w:hAnsi="Arial" w:cs="Arial"/>
          <w:b/>
          <w:sz w:val="24"/>
          <w:szCs w:val="24"/>
          <w:lang w:val="en-US"/>
        </w:rPr>
        <w:t xml:space="preserve">Table </w:t>
      </w:r>
      <w:r>
        <w:rPr>
          <w:rFonts w:ascii="Arial" w:hAnsi="Arial" w:cs="Arial"/>
          <w:b/>
          <w:sz w:val="24"/>
          <w:szCs w:val="24"/>
          <w:lang w:val="en-US"/>
        </w:rPr>
        <w:t>X2</w:t>
      </w:r>
      <w:r w:rsidRPr="00C60BD1">
        <w:rPr>
          <w:rFonts w:ascii="Arial" w:hAnsi="Arial" w:cs="Arial"/>
          <w:b/>
          <w:sz w:val="24"/>
          <w:szCs w:val="24"/>
          <w:lang w:val="en-US"/>
        </w:rPr>
        <w:t xml:space="preserve">. </w:t>
      </w:r>
      <w:r>
        <w:rPr>
          <w:rFonts w:ascii="Arial" w:hAnsi="Arial" w:cs="Arial"/>
          <w:b/>
          <w:sz w:val="24"/>
          <w:szCs w:val="24"/>
          <w:lang w:val="en-US"/>
        </w:rPr>
        <w:t>Data Extraction</w:t>
      </w:r>
    </w:p>
    <w:p w:rsidR="00FC4F49" w:rsidRDefault="00FC4F49" w:rsidP="00FC4F49">
      <w:pPr>
        <w:rPr>
          <w:rFonts w:ascii="Arial" w:hAnsi="Arial" w:cs="Arial"/>
          <w:sz w:val="24"/>
          <w:szCs w:val="24"/>
          <w:lang w:val="en-US"/>
        </w:rPr>
      </w:pPr>
    </w:p>
    <w:p w:rsidR="00FC4F49" w:rsidRDefault="00FC4F49" w:rsidP="00FC4F49">
      <w:pPr>
        <w:rPr>
          <w:rFonts w:ascii="Arial" w:hAnsi="Arial" w:cs="Arial"/>
          <w:b/>
          <w:lang w:val="en-US"/>
        </w:rPr>
      </w:pPr>
      <w:r>
        <w:rPr>
          <w:rFonts w:ascii="Arial" w:hAnsi="Arial" w:cs="Arial"/>
          <w:b/>
          <w:lang w:val="en-US"/>
        </w:rPr>
        <w:br w:type="page"/>
      </w:r>
    </w:p>
    <w:tbl>
      <w:tblPr>
        <w:tblStyle w:val="TableGrid"/>
        <w:tblW w:w="0" w:type="auto"/>
        <w:jc w:val="center"/>
        <w:tblLook w:val="04A0" w:firstRow="1" w:lastRow="0" w:firstColumn="1" w:lastColumn="0" w:noHBand="0" w:noVBand="1"/>
      </w:tblPr>
      <w:tblGrid>
        <w:gridCol w:w="7937"/>
      </w:tblGrid>
      <w:tr w:rsidR="00FC4F49" w:rsidRPr="00F475BE" w:rsidTr="006350B7">
        <w:trPr>
          <w:jc w:val="center"/>
        </w:trPr>
        <w:tc>
          <w:tcPr>
            <w:tcW w:w="7937" w:type="dxa"/>
          </w:tcPr>
          <w:p w:rsidR="00FC4F49" w:rsidRPr="00563DEE" w:rsidRDefault="00FC4F49" w:rsidP="006350B7">
            <w:pPr>
              <w:pStyle w:val="Meta-Untertitel"/>
              <w:spacing w:before="160" w:after="240"/>
              <w:ind w:left="709" w:firstLine="709"/>
              <w:jc w:val="both"/>
              <w:outlineLvl w:val="0"/>
              <w:rPr>
                <w:rFonts w:ascii="Arial" w:hAnsi="Arial" w:cs="Arial"/>
              </w:rPr>
            </w:pPr>
            <w:r>
              <w:rPr>
                <w:rFonts w:ascii="Arial" w:hAnsi="Arial" w:cs="Arial"/>
              </w:rPr>
              <w:lastRenderedPageBreak/>
              <w:t xml:space="preserve">Early Neurological Improvement: </w:t>
            </w:r>
            <w:r w:rsidRPr="00563DEE">
              <w:rPr>
                <w:rFonts w:ascii="Arial" w:hAnsi="Arial" w:cs="Arial"/>
              </w:rPr>
              <w:t>The National Institutes of Health Stroke Scale (NIHSS)</w:t>
            </w:r>
          </w:p>
        </w:tc>
      </w:tr>
      <w:tr w:rsidR="00FC4F49" w:rsidRPr="00F475BE" w:rsidTr="006350B7">
        <w:trPr>
          <w:jc w:val="center"/>
        </w:trPr>
        <w:tc>
          <w:tcPr>
            <w:tcW w:w="7937" w:type="dxa"/>
          </w:tcPr>
          <w:p w:rsidR="00FC4F49" w:rsidRPr="00563DEE" w:rsidRDefault="00FC4F49" w:rsidP="006350B7">
            <w:pPr>
              <w:pStyle w:val="Publication12pt"/>
              <w:spacing w:line="240" w:lineRule="auto"/>
              <w:ind w:left="113" w:right="113"/>
              <w:rPr>
                <w:sz w:val="6"/>
                <w:szCs w:val="6"/>
              </w:rPr>
            </w:pPr>
          </w:p>
          <w:p w:rsidR="00FC4F49" w:rsidRDefault="00FC4F49" w:rsidP="006350B7">
            <w:pPr>
              <w:pStyle w:val="Publication12pt"/>
              <w:keepLines w:val="0"/>
              <w:spacing w:line="240" w:lineRule="auto"/>
              <w:ind w:left="113" w:right="113"/>
              <w:rPr>
                <w:sz w:val="20"/>
                <w:szCs w:val="20"/>
              </w:rPr>
            </w:pPr>
          </w:p>
          <w:p w:rsidR="00FC4F49" w:rsidRDefault="00FC4F49" w:rsidP="006350B7">
            <w:pPr>
              <w:pStyle w:val="Publication12pt"/>
              <w:keepLines w:val="0"/>
              <w:spacing w:line="240" w:lineRule="auto"/>
              <w:ind w:left="113" w:right="113"/>
              <w:rPr>
                <w:sz w:val="20"/>
                <w:szCs w:val="20"/>
              </w:rPr>
            </w:pPr>
            <w:r w:rsidRPr="005C15DE">
              <w:rPr>
                <w:sz w:val="20"/>
                <w:szCs w:val="20"/>
              </w:rPr>
              <w:t>The original outcome scale available in all nine selected studies was the National Institutes of Health Stroke Scale (NIHSS)</w:t>
            </w:r>
            <w:r>
              <w:rPr>
                <w:sz w:val="20"/>
                <w:szCs w:val="20"/>
              </w:rPr>
              <w:t xml:space="preserve"> at day 30 (or 21)</w:t>
            </w:r>
            <w:r w:rsidR="007C3C4D">
              <w:rPr>
                <w:sz w:val="20"/>
                <w:szCs w:val="20"/>
              </w:rPr>
              <w:t xml:space="preserve"> [3]</w:t>
            </w:r>
            <w:r w:rsidRPr="005C15DE">
              <w:rPr>
                <w:sz w:val="20"/>
                <w:szCs w:val="20"/>
              </w:rPr>
              <w:t>. The NIHSS reflects neurological impairment, the clinical domain in which early effects of acute stroke therapies are likely to be most marked</w:t>
            </w:r>
            <w:r>
              <w:fldChar w:fldCharType="begin"/>
            </w:r>
            <w:r>
              <w:instrText xml:space="preserve"> NOTEREF _Ref490746797 \h  \* MERGEFORMAT </w:instrText>
            </w:r>
            <w:r>
              <w:fldChar w:fldCharType="separate"/>
            </w:r>
            <w:r w:rsidRPr="00732C10">
              <w:rPr>
                <w:sz w:val="20"/>
                <w:szCs w:val="20"/>
                <w:vertAlign w:val="superscript"/>
              </w:rPr>
              <w:t>42</w:t>
            </w:r>
            <w:r>
              <w:fldChar w:fldCharType="end"/>
            </w:r>
            <w:r w:rsidRPr="005C15DE">
              <w:rPr>
                <w:sz w:val="20"/>
                <w:szCs w:val="20"/>
              </w:rPr>
              <w:t xml:space="preserve">. </w:t>
            </w:r>
            <w:r w:rsidRPr="00764372">
              <w:rPr>
                <w:sz w:val="20"/>
                <w:szCs w:val="20"/>
              </w:rPr>
              <w:t>Recent research showed that the NIHSS in fact is most sensitive for such early points in time. Furthermore, NIHSS is less influenced by extraneous factors, improving sensitivity to acute treatment effects</w:t>
            </w:r>
            <w:bookmarkStart w:id="0" w:name="_Ref490746797"/>
            <w:r w:rsidR="00FC4700">
              <w:rPr>
                <w:sz w:val="20"/>
                <w:szCs w:val="20"/>
              </w:rPr>
              <w:t xml:space="preserve"> </w:t>
            </w:r>
            <w:r w:rsidR="007C3C4D">
              <w:rPr>
                <w:sz w:val="20"/>
                <w:szCs w:val="20"/>
              </w:rPr>
              <w:t>[4]</w:t>
            </w:r>
            <w:bookmarkEnd w:id="0"/>
            <w:r>
              <w:t xml:space="preserve">. </w:t>
            </w:r>
            <w:r w:rsidRPr="005C15DE">
              <w:rPr>
                <w:sz w:val="20"/>
                <w:szCs w:val="20"/>
              </w:rPr>
              <w:t>The NIHSS is a non-linear ordinal scale, ranging from 0 (no neurological symptoms) to 42 (very severe neurological deficits). The NIHSS scores were evaluated as changes from baseline at day 30 (or 21) by means of the robust Mann-Whitney (MW) effect size measure, which is the recommended ES for full scale ordinal analysis</w:t>
            </w:r>
            <w:r w:rsidR="007C3C4D">
              <w:rPr>
                <w:sz w:val="20"/>
                <w:szCs w:val="20"/>
              </w:rPr>
              <w:t xml:space="preserve"> [5]</w:t>
            </w:r>
            <w:r w:rsidRPr="005C15DE">
              <w:rPr>
                <w:sz w:val="20"/>
                <w:szCs w:val="20"/>
              </w:rPr>
              <w:t>. The MW effect sizes were calculated from individual patient data (IPD) in 5 out of 9 trials. For aggregate data, MW was interconverted from standardized mean difference via relation MW = Φ (d/√2), with Φ (∙) meaning the standard normal distribution and d being the standardized difference [</w:t>
            </w:r>
            <w:r w:rsidR="002B48A5">
              <w:rPr>
                <w:sz w:val="20"/>
                <w:szCs w:val="20"/>
              </w:rPr>
              <w:t>6</w:t>
            </w:r>
            <w:r w:rsidRPr="005C15DE">
              <w:rPr>
                <w:sz w:val="20"/>
                <w:szCs w:val="20"/>
              </w:rPr>
              <w:t xml:space="preserve">, </w:t>
            </w:r>
            <w:r w:rsidR="002B48A5">
              <w:rPr>
                <w:sz w:val="20"/>
                <w:szCs w:val="20"/>
              </w:rPr>
              <w:t>7</w:t>
            </w:r>
            <w:r w:rsidRPr="005C15DE">
              <w:rPr>
                <w:sz w:val="20"/>
                <w:szCs w:val="20"/>
              </w:rPr>
              <w:t xml:space="preserve">]. For one study </w:t>
            </w:r>
            <w:r w:rsidR="002B48A5">
              <w:rPr>
                <w:sz w:val="20"/>
                <w:szCs w:val="20"/>
              </w:rPr>
              <w:t>[8</w:t>
            </w:r>
            <w:r w:rsidR="007C3C4D">
              <w:rPr>
                <w:sz w:val="20"/>
                <w:szCs w:val="20"/>
              </w:rPr>
              <w:t>]</w:t>
            </w:r>
            <w:r w:rsidRPr="005C15DE">
              <w:rPr>
                <w:sz w:val="20"/>
                <w:szCs w:val="20"/>
              </w:rPr>
              <w:t xml:space="preserve"> the MW was calculated from absolute NIHSS values since no changes from baseline were available; the corresponding baseline levels were identical in both treatment groups, suggesting good validity of the substitute.</w:t>
            </w:r>
          </w:p>
          <w:p w:rsidR="00FC4F49" w:rsidRDefault="00FC4F49" w:rsidP="006350B7">
            <w:pPr>
              <w:pStyle w:val="Publication12pt"/>
              <w:keepLines w:val="0"/>
              <w:spacing w:line="240" w:lineRule="auto"/>
              <w:ind w:left="113" w:right="113"/>
              <w:rPr>
                <w:sz w:val="20"/>
                <w:szCs w:val="20"/>
              </w:rPr>
            </w:pPr>
          </w:p>
          <w:p w:rsidR="00FC4F49" w:rsidRPr="00563DEE" w:rsidRDefault="00FC4F49" w:rsidP="006350B7">
            <w:pPr>
              <w:pStyle w:val="Publication12pt"/>
              <w:spacing w:line="240" w:lineRule="auto"/>
              <w:ind w:left="113" w:right="113"/>
              <w:rPr>
                <w:sz w:val="6"/>
                <w:szCs w:val="6"/>
              </w:rPr>
            </w:pPr>
          </w:p>
        </w:tc>
      </w:tr>
      <w:tr w:rsidR="00FC4F49" w:rsidRPr="00F475BE" w:rsidTr="006350B7">
        <w:trPr>
          <w:jc w:val="center"/>
        </w:trPr>
        <w:tc>
          <w:tcPr>
            <w:tcW w:w="7937" w:type="dxa"/>
          </w:tcPr>
          <w:p w:rsidR="00FC4F49" w:rsidRPr="00563DEE" w:rsidRDefault="00FC4F49" w:rsidP="006350B7">
            <w:pPr>
              <w:pStyle w:val="Meta-Untertitel"/>
              <w:spacing w:before="160" w:after="240"/>
              <w:ind w:left="113" w:right="113" w:firstLine="709"/>
              <w:jc w:val="both"/>
              <w:outlineLvl w:val="0"/>
              <w:rPr>
                <w:rFonts w:ascii="Arial" w:hAnsi="Arial" w:cs="Arial"/>
              </w:rPr>
            </w:pPr>
            <w:r w:rsidRPr="00563DEE">
              <w:rPr>
                <w:rFonts w:ascii="Arial" w:hAnsi="Arial" w:cs="Arial"/>
              </w:rPr>
              <w:t>Final Global Disability: Modified Rankin Scale</w:t>
            </w:r>
          </w:p>
        </w:tc>
      </w:tr>
      <w:tr w:rsidR="00FC4F49" w:rsidRPr="00F475BE" w:rsidTr="006350B7">
        <w:trPr>
          <w:jc w:val="center"/>
        </w:trPr>
        <w:tc>
          <w:tcPr>
            <w:tcW w:w="7937" w:type="dxa"/>
          </w:tcPr>
          <w:p w:rsidR="00FC4F49" w:rsidRDefault="00FC4F49" w:rsidP="006350B7">
            <w:pPr>
              <w:pStyle w:val="Publication12pt"/>
              <w:keepLines w:val="0"/>
              <w:spacing w:line="240" w:lineRule="auto"/>
              <w:ind w:left="113" w:right="113"/>
              <w:rPr>
                <w:sz w:val="20"/>
                <w:szCs w:val="20"/>
              </w:rPr>
            </w:pPr>
          </w:p>
          <w:p w:rsidR="00FC4F49" w:rsidRDefault="00FC4F49" w:rsidP="006350B7">
            <w:pPr>
              <w:pStyle w:val="Publication12pt"/>
              <w:keepLines w:val="0"/>
              <w:spacing w:line="240" w:lineRule="auto"/>
              <w:ind w:left="113" w:right="113"/>
              <w:rPr>
                <w:sz w:val="20"/>
                <w:szCs w:val="20"/>
              </w:rPr>
            </w:pPr>
            <w:r>
              <w:rPr>
                <w:sz w:val="20"/>
                <w:szCs w:val="20"/>
              </w:rPr>
              <w:t xml:space="preserve">The analysis of this secondary endpoint was performed for evaluation of the long-term outcome (day 90). </w:t>
            </w:r>
            <w:r w:rsidRPr="00945AE5">
              <w:rPr>
                <w:sz w:val="20"/>
                <w:szCs w:val="20"/>
              </w:rPr>
              <w:t xml:space="preserve">The </w:t>
            </w:r>
            <w:r>
              <w:rPr>
                <w:sz w:val="20"/>
                <w:szCs w:val="20"/>
              </w:rPr>
              <w:t>m</w:t>
            </w:r>
            <w:r w:rsidRPr="00945AE5">
              <w:rPr>
                <w:sz w:val="20"/>
                <w:szCs w:val="20"/>
              </w:rPr>
              <w:t>odified Rankin Scale</w:t>
            </w:r>
            <w:r w:rsidR="002B48A5">
              <w:rPr>
                <w:sz w:val="20"/>
                <w:szCs w:val="20"/>
              </w:rPr>
              <w:t xml:space="preserve"> [9]</w:t>
            </w:r>
            <w:r w:rsidRPr="00945AE5">
              <w:rPr>
                <w:sz w:val="20"/>
                <w:szCs w:val="20"/>
              </w:rPr>
              <w:t xml:space="preserve"> </w:t>
            </w:r>
            <w:r>
              <w:rPr>
                <w:sz w:val="20"/>
                <w:szCs w:val="20"/>
              </w:rPr>
              <w:t xml:space="preserve">(mRS) </w:t>
            </w:r>
            <w:r w:rsidRPr="00945AE5">
              <w:rPr>
                <w:sz w:val="20"/>
                <w:szCs w:val="20"/>
              </w:rPr>
              <w:t>is a functional global outcome scale measuring the level of disability after a stroke. It is a 7-point ordinal scale with a score of 0 indicative of no residual symptoms and the worst possible score of 6, which is assigned in case of death.</w:t>
            </w:r>
            <w:r>
              <w:rPr>
                <w:sz w:val="20"/>
                <w:szCs w:val="20"/>
              </w:rPr>
              <w:t xml:space="preserve"> The analysis was based on final changes from baseline (pre-planned nonparametric analysis) as well as on final scores with adjustment for NIHSS baseline severity.</w:t>
            </w:r>
          </w:p>
          <w:p w:rsidR="00FC4F49" w:rsidRPr="00563DEE" w:rsidRDefault="00FC4F49" w:rsidP="006350B7">
            <w:pPr>
              <w:pStyle w:val="Publication12pt"/>
              <w:keepLines w:val="0"/>
              <w:spacing w:line="240" w:lineRule="auto"/>
              <w:ind w:left="113" w:right="113"/>
              <w:rPr>
                <w:sz w:val="20"/>
                <w:szCs w:val="20"/>
              </w:rPr>
            </w:pPr>
          </w:p>
        </w:tc>
      </w:tr>
    </w:tbl>
    <w:p w:rsidR="00FC4F49" w:rsidRPr="00985023" w:rsidRDefault="00FC4F49" w:rsidP="00FC4F49">
      <w:pPr>
        <w:rPr>
          <w:rFonts w:ascii="Arial" w:hAnsi="Arial" w:cs="Arial"/>
          <w:b/>
          <w:sz w:val="24"/>
          <w:szCs w:val="24"/>
          <w:lang w:val="en-GB"/>
        </w:rPr>
      </w:pPr>
    </w:p>
    <w:p w:rsidR="00FC4F49" w:rsidRDefault="00FC4F49" w:rsidP="00FC4F49">
      <w:pPr>
        <w:rPr>
          <w:rFonts w:ascii="Arial" w:hAnsi="Arial" w:cs="Arial"/>
          <w:b/>
          <w:sz w:val="24"/>
          <w:szCs w:val="24"/>
          <w:lang w:val="en-US"/>
        </w:rPr>
      </w:pPr>
      <w:r w:rsidRPr="00C60BD1">
        <w:rPr>
          <w:rFonts w:ascii="Arial" w:hAnsi="Arial" w:cs="Arial"/>
          <w:b/>
          <w:sz w:val="24"/>
          <w:szCs w:val="24"/>
          <w:lang w:val="en-US"/>
        </w:rPr>
        <w:t xml:space="preserve">Table </w:t>
      </w:r>
      <w:r>
        <w:rPr>
          <w:rFonts w:ascii="Arial" w:hAnsi="Arial" w:cs="Arial"/>
          <w:b/>
          <w:sz w:val="24"/>
          <w:szCs w:val="24"/>
          <w:lang w:val="en-US"/>
        </w:rPr>
        <w:t>X3</w:t>
      </w:r>
      <w:r w:rsidRPr="00C60BD1">
        <w:rPr>
          <w:rFonts w:ascii="Arial" w:hAnsi="Arial" w:cs="Arial"/>
          <w:b/>
          <w:sz w:val="24"/>
          <w:szCs w:val="24"/>
          <w:lang w:val="en-US"/>
        </w:rPr>
        <w:t xml:space="preserve">. </w:t>
      </w:r>
      <w:r>
        <w:rPr>
          <w:rFonts w:ascii="Arial" w:hAnsi="Arial" w:cs="Arial"/>
          <w:b/>
          <w:sz w:val="24"/>
          <w:szCs w:val="24"/>
          <w:lang w:val="en-US"/>
        </w:rPr>
        <w:t>Outcome Scales</w:t>
      </w:r>
    </w:p>
    <w:p w:rsidR="00FC4F49" w:rsidRDefault="00FC4F49" w:rsidP="00FC4F49">
      <w:pPr>
        <w:rPr>
          <w:rFonts w:ascii="Arial" w:hAnsi="Arial" w:cs="Arial"/>
          <w:b/>
          <w:sz w:val="24"/>
          <w:szCs w:val="24"/>
          <w:lang w:val="en-US"/>
        </w:rPr>
      </w:pPr>
      <w:r>
        <w:rPr>
          <w:rFonts w:ascii="Arial" w:hAnsi="Arial" w:cs="Arial"/>
          <w:b/>
          <w:sz w:val="24"/>
          <w:szCs w:val="24"/>
          <w:lang w:val="en-US"/>
        </w:rPr>
        <w:br w:type="page"/>
      </w:r>
    </w:p>
    <w:p w:rsidR="00FC4F49" w:rsidRDefault="00FC4F49" w:rsidP="00FC4F49">
      <w:pPr>
        <w:rPr>
          <w:rFonts w:ascii="Arial" w:hAnsi="Arial" w:cs="Arial"/>
          <w:sz w:val="24"/>
          <w:szCs w:val="24"/>
          <w:lang w:val="en-US"/>
        </w:rPr>
      </w:pPr>
    </w:p>
    <w:tbl>
      <w:tblPr>
        <w:tblStyle w:val="TableGrid"/>
        <w:tblW w:w="0" w:type="auto"/>
        <w:jc w:val="center"/>
        <w:tblLook w:val="04A0" w:firstRow="1" w:lastRow="0" w:firstColumn="1" w:lastColumn="0" w:noHBand="0" w:noVBand="1"/>
      </w:tblPr>
      <w:tblGrid>
        <w:gridCol w:w="7937"/>
      </w:tblGrid>
      <w:tr w:rsidR="00FC4F49" w:rsidRPr="00237B5A" w:rsidTr="006350B7">
        <w:trPr>
          <w:jc w:val="center"/>
        </w:trPr>
        <w:tc>
          <w:tcPr>
            <w:tcW w:w="7937" w:type="dxa"/>
          </w:tcPr>
          <w:p w:rsidR="00FC4F49" w:rsidRPr="00563DEE" w:rsidRDefault="00FC4F49" w:rsidP="006350B7">
            <w:pPr>
              <w:pStyle w:val="Meta-Untertitel"/>
              <w:spacing w:before="160" w:after="240"/>
              <w:ind w:left="709" w:firstLine="709"/>
              <w:jc w:val="both"/>
              <w:outlineLvl w:val="0"/>
              <w:rPr>
                <w:rFonts w:ascii="Arial" w:hAnsi="Arial" w:cs="Arial"/>
              </w:rPr>
            </w:pPr>
            <w:r>
              <w:rPr>
                <w:rFonts w:ascii="Arial" w:hAnsi="Arial" w:cs="Arial"/>
                <w:b w:val="0"/>
              </w:rPr>
              <w:br w:type="page"/>
            </w:r>
            <w:r>
              <w:rPr>
                <w:rFonts w:ascii="Arial" w:hAnsi="Arial" w:cs="Arial"/>
                <w:b w:val="0"/>
              </w:rPr>
              <w:br w:type="page"/>
            </w:r>
            <w:r w:rsidRPr="00A55CE1">
              <w:rPr>
                <w:rFonts w:ascii="Arial" w:hAnsi="Arial" w:cs="Arial"/>
              </w:rPr>
              <w:t xml:space="preserve">Statistical </w:t>
            </w:r>
            <w:r>
              <w:rPr>
                <w:rFonts w:ascii="Arial" w:hAnsi="Arial" w:cs="Arial"/>
              </w:rPr>
              <w:t>Methods of Synthesis</w:t>
            </w:r>
          </w:p>
        </w:tc>
      </w:tr>
      <w:tr w:rsidR="00FC4F49" w:rsidRPr="00F475BE" w:rsidTr="006350B7">
        <w:trPr>
          <w:jc w:val="center"/>
        </w:trPr>
        <w:tc>
          <w:tcPr>
            <w:tcW w:w="7937" w:type="dxa"/>
          </w:tcPr>
          <w:p w:rsidR="00FC4F49" w:rsidRPr="00563DEE" w:rsidRDefault="00FC4F49" w:rsidP="006350B7">
            <w:pPr>
              <w:pStyle w:val="Publication12pt"/>
              <w:spacing w:line="240" w:lineRule="auto"/>
              <w:ind w:left="113" w:right="113"/>
              <w:rPr>
                <w:sz w:val="6"/>
                <w:szCs w:val="6"/>
              </w:rPr>
            </w:pPr>
          </w:p>
          <w:p w:rsidR="00FC4F49" w:rsidRDefault="00FC4F49" w:rsidP="006350B7">
            <w:pPr>
              <w:pStyle w:val="Publication12pt"/>
              <w:keepLines w:val="0"/>
              <w:spacing w:line="240" w:lineRule="auto"/>
              <w:ind w:left="113" w:right="113"/>
              <w:rPr>
                <w:sz w:val="20"/>
                <w:szCs w:val="20"/>
              </w:rPr>
            </w:pPr>
          </w:p>
          <w:p w:rsidR="00FC4F49" w:rsidRPr="005C15DE" w:rsidRDefault="00FC4F49" w:rsidP="006350B7">
            <w:pPr>
              <w:pStyle w:val="Publication12pt"/>
              <w:keepLines w:val="0"/>
              <w:spacing w:line="240" w:lineRule="auto"/>
              <w:ind w:left="113" w:right="113"/>
              <w:rPr>
                <w:sz w:val="20"/>
                <w:szCs w:val="20"/>
              </w:rPr>
            </w:pPr>
            <w:r w:rsidRPr="005C15DE">
              <w:rPr>
                <w:sz w:val="20"/>
                <w:szCs w:val="20"/>
              </w:rPr>
              <w:t>The method of synthesis for the Mann-Whitney (MW) effect size measure</w:t>
            </w:r>
            <w:r w:rsidR="005352EC">
              <w:rPr>
                <w:sz w:val="20"/>
                <w:szCs w:val="20"/>
              </w:rPr>
              <w:t xml:space="preserve"> [</w:t>
            </w:r>
            <w:r w:rsidR="005352EC">
              <w:rPr>
                <w:sz w:val="20"/>
                <w:szCs w:val="20"/>
              </w:rPr>
              <w:t>5</w:t>
            </w:r>
            <w:r w:rsidR="005352EC">
              <w:rPr>
                <w:sz w:val="20"/>
                <w:szCs w:val="20"/>
              </w:rPr>
              <w:t xml:space="preserve">, </w:t>
            </w:r>
            <w:r w:rsidR="005352EC">
              <w:rPr>
                <w:sz w:val="20"/>
                <w:szCs w:val="20"/>
              </w:rPr>
              <w:t xml:space="preserve">7 </w:t>
            </w:r>
            <w:r w:rsidR="005352EC">
              <w:rPr>
                <w:sz w:val="20"/>
                <w:szCs w:val="20"/>
              </w:rPr>
              <w:t xml:space="preserve">10, </w:t>
            </w:r>
            <w:r w:rsidR="005352EC">
              <w:rPr>
                <w:sz w:val="20"/>
                <w:szCs w:val="20"/>
              </w:rPr>
              <w:t>11</w:t>
            </w:r>
            <w:r w:rsidR="005352EC">
              <w:rPr>
                <w:sz w:val="20"/>
                <w:szCs w:val="20"/>
              </w:rPr>
              <w:t xml:space="preserve">, , </w:t>
            </w:r>
            <w:r w:rsidR="00FC4700">
              <w:rPr>
                <w:sz w:val="20"/>
                <w:szCs w:val="20"/>
              </w:rPr>
              <w:t>12</w:t>
            </w:r>
            <w:r w:rsidR="002B48A5">
              <w:rPr>
                <w:sz w:val="20"/>
                <w:szCs w:val="20"/>
              </w:rPr>
              <w:t>]</w:t>
            </w:r>
            <w:r w:rsidRPr="005C15DE">
              <w:rPr>
                <w:sz w:val="20"/>
                <w:szCs w:val="20"/>
              </w:rPr>
              <w:t xml:space="preserve"> </w:t>
            </w:r>
            <w:r>
              <w:rPr>
                <w:sz w:val="20"/>
                <w:szCs w:val="20"/>
              </w:rPr>
              <w:t xml:space="preserve">and for the RD </w:t>
            </w:r>
            <w:r w:rsidRPr="005C15DE">
              <w:rPr>
                <w:sz w:val="20"/>
                <w:szCs w:val="20"/>
              </w:rPr>
              <w:t>was the Wei-Lachin</w:t>
            </w:r>
            <w:r w:rsidRPr="00EB5639">
              <w:rPr>
                <w:sz w:val="20"/>
                <w:szCs w:val="20"/>
              </w:rPr>
              <w:t xml:space="preserve"> </w:t>
            </w:r>
            <w:r w:rsidRPr="005C15DE">
              <w:rPr>
                <w:sz w:val="20"/>
                <w:szCs w:val="20"/>
              </w:rPr>
              <w:t>test of stochastic ordering (one-dimensional test)</w:t>
            </w:r>
            <w:r w:rsidR="00FC4700">
              <w:rPr>
                <w:sz w:val="20"/>
                <w:szCs w:val="20"/>
              </w:rPr>
              <w:t xml:space="preserve"> [13</w:t>
            </w:r>
            <w:r w:rsidR="005352EC">
              <w:rPr>
                <w:sz w:val="20"/>
                <w:szCs w:val="20"/>
              </w:rPr>
              <w:t>]</w:t>
            </w:r>
            <w:r w:rsidRPr="005C15DE">
              <w:rPr>
                <w:sz w:val="20"/>
                <w:szCs w:val="20"/>
              </w:rPr>
              <w:t>, a maximin-efficient robust test (MERT)</w:t>
            </w:r>
            <w:r w:rsidR="00FC4700">
              <w:rPr>
                <w:sz w:val="20"/>
                <w:szCs w:val="20"/>
              </w:rPr>
              <w:t xml:space="preserve"> [14, 15</w:t>
            </w:r>
            <w:r w:rsidR="002B48A5">
              <w:rPr>
                <w:sz w:val="20"/>
                <w:szCs w:val="20"/>
              </w:rPr>
              <w:t>]</w:t>
            </w:r>
            <w:r w:rsidRPr="005C15DE">
              <w:rPr>
                <w:sz w:val="20"/>
                <w:szCs w:val="20"/>
              </w:rPr>
              <w:t xml:space="preserve"> which provides a </w:t>
            </w:r>
            <w:r>
              <w:rPr>
                <w:sz w:val="20"/>
                <w:szCs w:val="20"/>
              </w:rPr>
              <w:t xml:space="preserve">combined </w:t>
            </w:r>
            <w:r w:rsidRPr="005C15DE">
              <w:rPr>
                <w:sz w:val="20"/>
                <w:szCs w:val="20"/>
              </w:rPr>
              <w:t>MW estimate and test of overall treatment effect from an ensemble of independent studies. In combination with stochastic ordering or one-dimensional alternative it is a powerful and robust meta-analytic procedure for combining the MW effect size across studies.</w:t>
            </w:r>
          </w:p>
          <w:p w:rsidR="00FC4F49" w:rsidRPr="005C15DE" w:rsidRDefault="00FC4F49" w:rsidP="006350B7">
            <w:pPr>
              <w:pStyle w:val="Publication12pt"/>
              <w:keepLines w:val="0"/>
              <w:spacing w:line="240" w:lineRule="auto"/>
              <w:ind w:left="113" w:right="113"/>
              <w:rPr>
                <w:sz w:val="20"/>
                <w:szCs w:val="20"/>
              </w:rPr>
            </w:pPr>
            <w:r w:rsidRPr="005C15DE">
              <w:rPr>
                <w:sz w:val="20"/>
                <w:szCs w:val="20"/>
              </w:rPr>
              <w:t xml:space="preserve">This method is identical with the </w:t>
            </w:r>
            <w:r>
              <w:rPr>
                <w:sz w:val="20"/>
                <w:szCs w:val="20"/>
              </w:rPr>
              <w:t xml:space="preserve">pre-planned </w:t>
            </w:r>
            <w:r w:rsidRPr="005C15DE">
              <w:rPr>
                <w:sz w:val="20"/>
                <w:szCs w:val="20"/>
              </w:rPr>
              <w:t>procedures of the previously published  meta-analysis on the two CARS trials</w:t>
            </w:r>
            <w:r w:rsidR="002B48A5">
              <w:rPr>
                <w:sz w:val="20"/>
                <w:szCs w:val="20"/>
              </w:rPr>
              <w:t xml:space="preserve"> [</w:t>
            </w:r>
            <w:r w:rsidR="00FC4700">
              <w:rPr>
                <w:sz w:val="20"/>
                <w:szCs w:val="20"/>
              </w:rPr>
              <w:t>16</w:t>
            </w:r>
            <w:r w:rsidR="002B48A5">
              <w:rPr>
                <w:sz w:val="20"/>
                <w:szCs w:val="20"/>
              </w:rPr>
              <w:t>]</w:t>
            </w:r>
            <w:r w:rsidRPr="005C15DE">
              <w:rPr>
                <w:sz w:val="20"/>
                <w:szCs w:val="20"/>
              </w:rPr>
              <w:t xml:space="preserve">. </w:t>
            </w:r>
            <w:r w:rsidRPr="00764372">
              <w:rPr>
                <w:sz w:val="20"/>
                <w:szCs w:val="20"/>
              </w:rPr>
              <w:t xml:space="preserve">The one-dimensional alternative of stochastic superiority is to be interpreted as follows: </w:t>
            </w:r>
            <w:r w:rsidRPr="00A55CE1">
              <w:rPr>
                <w:sz w:val="20"/>
                <w:szCs w:val="20"/>
              </w:rPr>
              <w:t>at least</w:t>
            </w:r>
            <w:r w:rsidRPr="00764372">
              <w:rPr>
                <w:sz w:val="20"/>
                <w:szCs w:val="20"/>
              </w:rPr>
              <w:t xml:space="preserve"> one trial has an underlying true beneficial effect and none have an adverse effect (no qualitative interaction).</w:t>
            </w:r>
            <w:r>
              <w:rPr>
                <w:sz w:val="20"/>
                <w:szCs w:val="20"/>
              </w:rPr>
              <w:t xml:space="preserve"> </w:t>
            </w:r>
            <w:r w:rsidRPr="005C15DE">
              <w:rPr>
                <w:sz w:val="20"/>
                <w:szCs w:val="20"/>
              </w:rPr>
              <w:t>This approach is ‘assumption-free’ and has been shown to be robust also with respect to presence of heterogeneity</w:t>
            </w:r>
            <w:r w:rsidR="00FC4700">
              <w:rPr>
                <w:sz w:val="20"/>
                <w:szCs w:val="20"/>
              </w:rPr>
              <w:t xml:space="preserve"> [13</w:t>
            </w:r>
            <w:r w:rsidR="002B48A5">
              <w:rPr>
                <w:sz w:val="20"/>
                <w:szCs w:val="20"/>
              </w:rPr>
              <w:t>]</w:t>
            </w:r>
            <w:r w:rsidRPr="005C15DE">
              <w:rPr>
                <w:sz w:val="20"/>
                <w:szCs w:val="20"/>
              </w:rPr>
              <w:t>. Qualitative interaction was tested by means of the Gail-Simon test</w:t>
            </w:r>
            <w:r w:rsidR="002B48A5">
              <w:rPr>
                <w:sz w:val="20"/>
                <w:szCs w:val="20"/>
              </w:rPr>
              <w:t xml:space="preserve"> [</w:t>
            </w:r>
            <w:r w:rsidR="00FC4700">
              <w:rPr>
                <w:sz w:val="20"/>
                <w:szCs w:val="20"/>
              </w:rPr>
              <w:t>17</w:t>
            </w:r>
            <w:r w:rsidR="002B48A5">
              <w:rPr>
                <w:sz w:val="20"/>
                <w:szCs w:val="20"/>
              </w:rPr>
              <w:t>]</w:t>
            </w:r>
            <w:r w:rsidRPr="005C15DE">
              <w:rPr>
                <w:sz w:val="20"/>
                <w:szCs w:val="20"/>
              </w:rPr>
              <w:t>, with P-values &lt; 0.10 preventing formal combination of studies.</w:t>
            </w:r>
          </w:p>
          <w:p w:rsidR="00FC4F49" w:rsidRDefault="00FC4F49" w:rsidP="006350B7">
            <w:pPr>
              <w:pStyle w:val="Publication12pt"/>
              <w:keepLines w:val="0"/>
              <w:spacing w:line="240" w:lineRule="auto"/>
              <w:ind w:left="113" w:right="113"/>
              <w:rPr>
                <w:sz w:val="20"/>
                <w:szCs w:val="20"/>
              </w:rPr>
            </w:pPr>
          </w:p>
          <w:p w:rsidR="00FC4F49" w:rsidRPr="005C15DE" w:rsidRDefault="00FC4F49" w:rsidP="006350B7">
            <w:pPr>
              <w:pStyle w:val="Publication12pt"/>
              <w:keepLines w:val="0"/>
              <w:spacing w:line="240" w:lineRule="auto"/>
              <w:ind w:left="113" w:right="113"/>
              <w:rPr>
                <w:sz w:val="20"/>
                <w:szCs w:val="20"/>
              </w:rPr>
            </w:pPr>
            <w:r w:rsidRPr="005C15DE">
              <w:rPr>
                <w:sz w:val="20"/>
                <w:szCs w:val="20"/>
              </w:rPr>
              <w:t>As sensitivity analysis the “classic” approach</w:t>
            </w:r>
            <w:r>
              <w:rPr>
                <w:sz w:val="20"/>
                <w:szCs w:val="20"/>
              </w:rPr>
              <w:t xml:space="preserve">es based on fixed effects model </w:t>
            </w:r>
            <w:r w:rsidRPr="005C15DE">
              <w:rPr>
                <w:sz w:val="20"/>
                <w:szCs w:val="20"/>
              </w:rPr>
              <w:t>(Hedges-Olkin)</w:t>
            </w:r>
            <w:r w:rsidR="00FC4700">
              <w:rPr>
                <w:sz w:val="20"/>
                <w:szCs w:val="20"/>
              </w:rPr>
              <w:t xml:space="preserve"> [18</w:t>
            </w:r>
            <w:r w:rsidR="002B48A5">
              <w:rPr>
                <w:sz w:val="20"/>
                <w:szCs w:val="20"/>
              </w:rPr>
              <w:t>]</w:t>
            </w:r>
            <w:r w:rsidRPr="007F107E">
              <w:rPr>
                <w:sz w:val="20"/>
                <w:szCs w:val="20"/>
              </w:rPr>
              <w:t xml:space="preserve"> and random effects model (DerSimonian-Laird)</w:t>
            </w:r>
            <w:r w:rsidR="00FC4700">
              <w:rPr>
                <w:sz w:val="20"/>
                <w:szCs w:val="20"/>
              </w:rPr>
              <w:t xml:space="preserve"> [19</w:t>
            </w:r>
            <w:r w:rsidR="002B48A5">
              <w:rPr>
                <w:sz w:val="20"/>
                <w:szCs w:val="20"/>
              </w:rPr>
              <w:t>]</w:t>
            </w:r>
            <w:r w:rsidRPr="005C15DE">
              <w:rPr>
                <w:sz w:val="20"/>
                <w:szCs w:val="20"/>
              </w:rPr>
              <w:t xml:space="preserve"> were calculated. The fixed effects model assumes one single (‘fix’) underlying “true” effect. Opposed to this, the common random effects model (DerSimonian-Laird) assumes a normal distribution of a bundle of “true” effects. While some researchers don’t accept the fixed effects model in case of heterogeneity or focus </w:t>
            </w:r>
            <w:r w:rsidRPr="007F107E">
              <w:rPr>
                <w:sz w:val="20"/>
                <w:szCs w:val="20"/>
              </w:rPr>
              <w:t>a priori</w:t>
            </w:r>
            <w:r w:rsidRPr="005C15DE">
              <w:rPr>
                <w:sz w:val="20"/>
                <w:szCs w:val="20"/>
              </w:rPr>
              <w:t xml:space="preserve"> on the random effects model, it is difficult to establish the validity of the normality assumption, a major disadvantage of the random effects model. All in all, corresponding methodology is still in discussion and there is no consensus on how to best approach “classic” synthesis for ordinal data such as the nonlinear NIHSS. </w:t>
            </w:r>
            <w:r w:rsidRPr="00764372">
              <w:rPr>
                <w:sz w:val="20"/>
                <w:szCs w:val="20"/>
              </w:rPr>
              <w:t>Associated tests for quantitative heterogeneity were performed using standard chi-square statistic</w:t>
            </w:r>
            <w:r w:rsidR="00FC4700">
              <w:rPr>
                <w:sz w:val="20"/>
                <w:szCs w:val="20"/>
              </w:rPr>
              <w:t xml:space="preserve"> [20</w:t>
            </w:r>
            <w:r w:rsidR="002B48A5">
              <w:rPr>
                <w:sz w:val="20"/>
                <w:szCs w:val="20"/>
              </w:rPr>
              <w:t>]</w:t>
            </w:r>
            <w:r w:rsidRPr="007F107E">
              <w:rPr>
                <w:sz w:val="20"/>
                <w:szCs w:val="20"/>
                <w:vertAlign w:val="superscript"/>
              </w:rPr>
              <w:t xml:space="preserve"> </w:t>
            </w:r>
            <w:r w:rsidRPr="00764372">
              <w:rPr>
                <w:sz w:val="20"/>
                <w:szCs w:val="20"/>
              </w:rPr>
              <w:t>and I</w:t>
            </w:r>
            <w:r w:rsidRPr="005352EC">
              <w:rPr>
                <w:sz w:val="20"/>
                <w:szCs w:val="20"/>
                <w:vertAlign w:val="superscript"/>
              </w:rPr>
              <w:t>2</w:t>
            </w:r>
            <w:r w:rsidRPr="00764372">
              <w:rPr>
                <w:sz w:val="20"/>
                <w:szCs w:val="20"/>
              </w:rPr>
              <w:t xml:space="preserve"> statistic</w:t>
            </w:r>
            <w:r w:rsidR="002B48A5">
              <w:rPr>
                <w:sz w:val="20"/>
                <w:szCs w:val="20"/>
              </w:rPr>
              <w:t xml:space="preserve"> [2</w:t>
            </w:r>
            <w:r w:rsidR="00FC4700">
              <w:rPr>
                <w:sz w:val="20"/>
                <w:szCs w:val="20"/>
              </w:rPr>
              <w:t>1</w:t>
            </w:r>
            <w:r w:rsidR="002B48A5">
              <w:rPr>
                <w:sz w:val="20"/>
                <w:szCs w:val="20"/>
              </w:rPr>
              <w:t>]</w:t>
            </w:r>
            <w:r w:rsidRPr="00764372">
              <w:rPr>
                <w:sz w:val="20"/>
                <w:szCs w:val="20"/>
              </w:rPr>
              <w:t>.</w:t>
            </w:r>
          </w:p>
          <w:p w:rsidR="00FC4F49" w:rsidRPr="005C15DE" w:rsidRDefault="00FC4F49" w:rsidP="006350B7">
            <w:pPr>
              <w:pStyle w:val="Publication12pt"/>
              <w:keepLines w:val="0"/>
              <w:spacing w:line="240" w:lineRule="auto"/>
              <w:ind w:left="113" w:right="113"/>
              <w:rPr>
                <w:sz w:val="20"/>
                <w:szCs w:val="20"/>
              </w:rPr>
            </w:pPr>
          </w:p>
          <w:p w:rsidR="00FC4F49" w:rsidRDefault="00FC4F49" w:rsidP="006350B7">
            <w:pPr>
              <w:pStyle w:val="Publication12pt"/>
              <w:keepLines w:val="0"/>
              <w:spacing w:line="240" w:lineRule="auto"/>
              <w:ind w:left="113" w:right="113"/>
              <w:rPr>
                <w:sz w:val="20"/>
                <w:szCs w:val="20"/>
              </w:rPr>
            </w:pPr>
            <w:r w:rsidRPr="005C15DE">
              <w:rPr>
                <w:sz w:val="20"/>
                <w:szCs w:val="20"/>
              </w:rPr>
              <w:t>The analyses were performed using the software packages TESTIMATE and METASUB on high security PCs (HSPC) within a validated working environment at the department ‘Clinical Research/Biometry’ in the institute IDV Data Analysis and Study Planning (Krailling/Germany) under supervision of Volker W. Rahlfs, PhD., C. Stat. (RSS), with a ’Certificate Biometry in Medicine GMDS’. Safety sensitivity analyses based on</w:t>
            </w:r>
            <w:r>
              <w:rPr>
                <w:sz w:val="20"/>
                <w:szCs w:val="20"/>
              </w:rPr>
              <w:t xml:space="preserve"> </w:t>
            </w:r>
            <w:r w:rsidRPr="005C15DE">
              <w:rPr>
                <w:sz w:val="20"/>
                <w:szCs w:val="20"/>
              </w:rPr>
              <w:t>risk ratio</w:t>
            </w:r>
            <w:r>
              <w:rPr>
                <w:sz w:val="20"/>
                <w:szCs w:val="20"/>
              </w:rPr>
              <w:t>s</w:t>
            </w:r>
            <w:r w:rsidRPr="005C15DE">
              <w:rPr>
                <w:sz w:val="20"/>
                <w:szCs w:val="20"/>
              </w:rPr>
              <w:t xml:space="preserve"> (RR) were performed using The Cochrane Collaboration </w:t>
            </w:r>
            <w:r>
              <w:rPr>
                <w:sz w:val="20"/>
                <w:szCs w:val="20"/>
              </w:rPr>
              <w:t>Review Manager (</w:t>
            </w:r>
            <w:r w:rsidRPr="005C15DE">
              <w:rPr>
                <w:sz w:val="20"/>
                <w:szCs w:val="20"/>
              </w:rPr>
              <w:t>Revman Version 5.3</w:t>
            </w:r>
            <w:r>
              <w:rPr>
                <w:sz w:val="20"/>
                <w:szCs w:val="20"/>
              </w:rPr>
              <w:t>), in order to allow comparison of the results of the present larger study ensemble with previous external results including substantially smaller ensembles</w:t>
            </w:r>
            <w:r w:rsidRPr="005C15DE">
              <w:rPr>
                <w:sz w:val="20"/>
                <w:szCs w:val="20"/>
              </w:rPr>
              <w:t>.</w:t>
            </w:r>
          </w:p>
          <w:p w:rsidR="00FC4F49" w:rsidRDefault="00FC4F49" w:rsidP="006350B7">
            <w:pPr>
              <w:pStyle w:val="Publication12pt"/>
              <w:keepLines w:val="0"/>
              <w:spacing w:line="240" w:lineRule="auto"/>
              <w:ind w:left="113" w:right="113"/>
              <w:rPr>
                <w:sz w:val="20"/>
                <w:szCs w:val="20"/>
              </w:rPr>
            </w:pPr>
          </w:p>
          <w:p w:rsidR="00FC4F49" w:rsidRPr="00563DEE" w:rsidRDefault="00FC4F49" w:rsidP="006350B7">
            <w:pPr>
              <w:pStyle w:val="Publication12pt"/>
              <w:spacing w:line="240" w:lineRule="auto"/>
              <w:ind w:left="113" w:right="113"/>
              <w:rPr>
                <w:sz w:val="6"/>
                <w:szCs w:val="6"/>
              </w:rPr>
            </w:pPr>
          </w:p>
        </w:tc>
      </w:tr>
    </w:tbl>
    <w:p w:rsidR="00FC4F49" w:rsidRPr="00985023" w:rsidRDefault="00FC4F49" w:rsidP="00FC4F49">
      <w:pPr>
        <w:rPr>
          <w:rFonts w:ascii="Arial" w:hAnsi="Arial" w:cs="Arial"/>
          <w:b/>
          <w:sz w:val="24"/>
          <w:szCs w:val="24"/>
          <w:lang w:val="en-GB"/>
        </w:rPr>
      </w:pPr>
    </w:p>
    <w:p w:rsidR="00FC4F49" w:rsidRDefault="00FC4F49" w:rsidP="00FC4F49">
      <w:pPr>
        <w:rPr>
          <w:rFonts w:ascii="Arial" w:hAnsi="Arial" w:cs="Arial"/>
          <w:sz w:val="24"/>
          <w:szCs w:val="24"/>
          <w:lang w:val="en-US"/>
        </w:rPr>
      </w:pPr>
      <w:r w:rsidRPr="00C60BD1">
        <w:rPr>
          <w:rFonts w:ascii="Arial" w:hAnsi="Arial" w:cs="Arial"/>
          <w:b/>
          <w:sz w:val="24"/>
          <w:szCs w:val="24"/>
          <w:lang w:val="en-US"/>
        </w:rPr>
        <w:t xml:space="preserve">Table </w:t>
      </w:r>
      <w:r>
        <w:rPr>
          <w:rFonts w:ascii="Arial" w:hAnsi="Arial" w:cs="Arial"/>
          <w:b/>
          <w:sz w:val="24"/>
          <w:szCs w:val="24"/>
          <w:lang w:val="en-US"/>
        </w:rPr>
        <w:t>X4</w:t>
      </w:r>
      <w:r w:rsidRPr="00C60BD1">
        <w:rPr>
          <w:rFonts w:ascii="Arial" w:hAnsi="Arial" w:cs="Arial"/>
          <w:b/>
          <w:sz w:val="24"/>
          <w:szCs w:val="24"/>
          <w:lang w:val="en-US"/>
        </w:rPr>
        <w:t xml:space="preserve">. </w:t>
      </w:r>
      <w:r>
        <w:rPr>
          <w:rFonts w:ascii="Arial" w:hAnsi="Arial" w:cs="Arial"/>
          <w:b/>
          <w:sz w:val="24"/>
          <w:szCs w:val="24"/>
          <w:lang w:val="en-US"/>
        </w:rPr>
        <w:t>Methods of Synthesis</w:t>
      </w:r>
    </w:p>
    <w:p w:rsidR="00FC4F49" w:rsidRDefault="00FC4F49" w:rsidP="00FC4F49">
      <w:pPr>
        <w:rPr>
          <w:rFonts w:ascii="Arial" w:hAnsi="Arial" w:cs="Arial"/>
          <w:b/>
          <w:lang w:val="en-US"/>
        </w:rPr>
      </w:pPr>
      <w:r>
        <w:rPr>
          <w:rFonts w:ascii="Arial" w:hAnsi="Arial" w:cs="Arial"/>
          <w:b/>
          <w:lang w:val="en-US"/>
        </w:rPr>
        <w:br w:type="page"/>
      </w:r>
    </w:p>
    <w:p w:rsidR="00FC4F49" w:rsidRDefault="00FC4F49" w:rsidP="00FC4F49">
      <w:pPr>
        <w:rPr>
          <w:rFonts w:ascii="Arial" w:hAnsi="Arial" w:cs="Arial"/>
          <w:b/>
          <w:lang w:val="en-US"/>
        </w:rPr>
      </w:pPr>
    </w:p>
    <w:p w:rsidR="00FC4F49" w:rsidRDefault="00FC4F49" w:rsidP="00FC4F49">
      <w:pPr>
        <w:rPr>
          <w:rFonts w:ascii="Arial" w:hAnsi="Arial" w:cs="Arial"/>
          <w:b/>
          <w:lang w:val="en-US"/>
        </w:rPr>
      </w:pPr>
    </w:p>
    <w:p w:rsidR="00FC4F49" w:rsidRDefault="00FC4F49" w:rsidP="00FC4F49">
      <w:pPr>
        <w:rPr>
          <w:rFonts w:ascii="Arial" w:hAnsi="Arial" w:cs="Arial"/>
          <w:b/>
          <w:lang w:val="en-US"/>
        </w:rPr>
      </w:pPr>
    </w:p>
    <w:p w:rsidR="00FC4F49" w:rsidRPr="0083014A" w:rsidRDefault="00FC4F49" w:rsidP="00FC4F49">
      <w:pPr>
        <w:rPr>
          <w:rFonts w:ascii="Arial" w:hAnsi="Arial" w:cs="Arial"/>
          <w:b/>
          <w:lang w:val="en-US"/>
        </w:rPr>
      </w:pPr>
      <w:r w:rsidRPr="0083014A">
        <w:rPr>
          <w:rFonts w:ascii="Arial" w:hAnsi="Arial" w:cs="Arial"/>
          <w:b/>
          <w:lang w:val="en-US"/>
        </w:rPr>
        <w:t xml:space="preserve">Risk of bias within studies </w:t>
      </w:r>
    </w:p>
    <w:tbl>
      <w:tblPr>
        <w:tblStyle w:val="TableGrid"/>
        <w:tblW w:w="0" w:type="auto"/>
        <w:tblLook w:val="04A0" w:firstRow="1" w:lastRow="0" w:firstColumn="1" w:lastColumn="0" w:noHBand="0" w:noVBand="1"/>
      </w:tblPr>
      <w:tblGrid>
        <w:gridCol w:w="1017"/>
        <w:gridCol w:w="1244"/>
        <w:gridCol w:w="1374"/>
        <w:gridCol w:w="1341"/>
        <w:gridCol w:w="1141"/>
        <w:gridCol w:w="1289"/>
        <w:gridCol w:w="1101"/>
        <w:gridCol w:w="785"/>
      </w:tblGrid>
      <w:tr w:rsidR="00FC4F49" w:rsidRPr="0083014A" w:rsidTr="006350B7">
        <w:tc>
          <w:tcPr>
            <w:tcW w:w="1017" w:type="dxa"/>
            <w:vMerge w:val="restart"/>
          </w:tcPr>
          <w:p w:rsidR="00FC4F49" w:rsidRPr="0083014A" w:rsidRDefault="00FC4F49" w:rsidP="006350B7">
            <w:pPr>
              <w:spacing w:beforeLines="60" w:before="144" w:afterLines="60" w:after="144"/>
              <w:rPr>
                <w:rFonts w:ascii="Arial" w:hAnsi="Arial" w:cs="Arial"/>
                <w:color w:val="000000" w:themeColor="text1"/>
                <w:sz w:val="18"/>
                <w:szCs w:val="18"/>
                <w:lang w:val="en-US"/>
              </w:rPr>
            </w:pPr>
            <w:r>
              <w:rPr>
                <w:rFonts w:ascii="Arial" w:hAnsi="Arial" w:cs="Arial"/>
                <w:noProof/>
                <w:color w:val="000000" w:themeColor="text1"/>
                <w:sz w:val="18"/>
                <w:szCs w:val="18"/>
                <w:lang w:val="en-US" w:eastAsia="en-US"/>
              </w:rPr>
              <mc:AlternateContent>
                <mc:Choice Requires="wps">
                  <w:drawing>
                    <wp:anchor distT="0" distB="0" distL="114300" distR="114300" simplePos="0" relativeHeight="251659264" behindDoc="0" locked="0" layoutInCell="1" allowOverlap="1">
                      <wp:simplePos x="0" y="0"/>
                      <wp:positionH relativeFrom="column">
                        <wp:posOffset>-61595</wp:posOffset>
                      </wp:positionH>
                      <wp:positionV relativeFrom="paragraph">
                        <wp:posOffset>635</wp:posOffset>
                      </wp:positionV>
                      <wp:extent cx="619125" cy="790575"/>
                      <wp:effectExtent l="0" t="0" r="28575" b="2857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9125" cy="79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5D618FE" id="Straight Connector 2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85pt,.05pt" to="43.9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" strokecolor="black [3200]" strokeweight=".5pt">
                      <v:stroke joinstyle="miter"/>
                      <o:lock v:ext="edit" shapetype="f"/>
                    </v:line>
                  </w:pict>
                </mc:Fallback>
              </mc:AlternateContent>
            </w:r>
          </w:p>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 xml:space="preserve">     Bias</w:t>
            </w:r>
          </w:p>
          <w:p w:rsidR="00FC4F49" w:rsidRPr="0083014A" w:rsidRDefault="00FC4F49" w:rsidP="006350B7">
            <w:pPr>
              <w:spacing w:beforeLines="60" w:before="144" w:afterLines="60" w:after="144"/>
              <w:rPr>
                <w:rFonts w:ascii="Arial" w:hAnsi="Arial" w:cs="Arial"/>
                <w:color w:val="000000" w:themeColor="text1"/>
                <w:sz w:val="18"/>
                <w:szCs w:val="18"/>
                <w:lang w:val="en-US"/>
              </w:rPr>
            </w:pPr>
          </w:p>
          <w:p w:rsidR="00FC4F49" w:rsidRPr="0083014A" w:rsidRDefault="00FC4F49" w:rsidP="006350B7">
            <w:pPr>
              <w:spacing w:beforeLines="60" w:before="144" w:afterLines="60" w:after="144"/>
              <w:rPr>
                <w:rFonts w:ascii="Arial" w:hAnsi="Arial" w:cs="Arial"/>
                <w:color w:val="000000" w:themeColor="text1"/>
                <w:sz w:val="18"/>
                <w:szCs w:val="18"/>
                <w:lang w:val="en-US"/>
              </w:rPr>
            </w:pPr>
          </w:p>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Study</w:t>
            </w:r>
          </w:p>
        </w:tc>
        <w:tc>
          <w:tcPr>
            <w:tcW w:w="2618" w:type="dxa"/>
            <w:gridSpan w:val="2"/>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Selection</w:t>
            </w:r>
          </w:p>
        </w:tc>
        <w:tc>
          <w:tcPr>
            <w:tcW w:w="1341" w:type="dxa"/>
          </w:tcPr>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Performance</w:t>
            </w:r>
          </w:p>
        </w:tc>
        <w:tc>
          <w:tcPr>
            <w:tcW w:w="1141" w:type="dxa"/>
          </w:tcPr>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Detection</w:t>
            </w:r>
          </w:p>
        </w:tc>
        <w:tc>
          <w:tcPr>
            <w:tcW w:w="1289" w:type="dxa"/>
          </w:tcPr>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Attrition</w:t>
            </w:r>
          </w:p>
        </w:tc>
        <w:tc>
          <w:tcPr>
            <w:tcW w:w="1101" w:type="dxa"/>
          </w:tcPr>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Reporting</w:t>
            </w:r>
          </w:p>
        </w:tc>
        <w:tc>
          <w:tcPr>
            <w:tcW w:w="785" w:type="dxa"/>
          </w:tcPr>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Other</w:t>
            </w:r>
          </w:p>
        </w:tc>
      </w:tr>
      <w:tr w:rsidR="00FC4F49" w:rsidRPr="0083014A" w:rsidTr="006350B7">
        <w:tc>
          <w:tcPr>
            <w:tcW w:w="1017" w:type="dxa"/>
            <w:vMerge/>
          </w:tcPr>
          <w:p w:rsidR="00FC4F49" w:rsidRPr="0083014A" w:rsidRDefault="00FC4F49" w:rsidP="006350B7">
            <w:pPr>
              <w:spacing w:beforeLines="60" w:before="144" w:afterLines="60" w:after="144"/>
              <w:rPr>
                <w:rFonts w:ascii="Arial" w:hAnsi="Arial" w:cs="Arial"/>
                <w:color w:val="000000" w:themeColor="text1"/>
                <w:sz w:val="18"/>
                <w:szCs w:val="18"/>
                <w:lang w:val="en-US"/>
              </w:rPr>
            </w:pPr>
          </w:p>
        </w:tc>
        <w:tc>
          <w:tcPr>
            <w:tcW w:w="1244" w:type="dxa"/>
          </w:tcPr>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Appropriate generation of the allocation sequence</w:t>
            </w:r>
          </w:p>
        </w:tc>
        <w:tc>
          <w:tcPr>
            <w:tcW w:w="1374" w:type="dxa"/>
          </w:tcPr>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Concealment of the allocation sequence</w:t>
            </w:r>
          </w:p>
        </w:tc>
        <w:tc>
          <w:tcPr>
            <w:tcW w:w="1341" w:type="dxa"/>
          </w:tcPr>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Blinding of participant and health care providers</w:t>
            </w:r>
          </w:p>
        </w:tc>
        <w:tc>
          <w:tcPr>
            <w:tcW w:w="1141" w:type="dxa"/>
          </w:tcPr>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Blinding of outcome assessors</w:t>
            </w:r>
          </w:p>
        </w:tc>
        <w:tc>
          <w:tcPr>
            <w:tcW w:w="1289" w:type="dxa"/>
          </w:tcPr>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Assessment of incomplete outcome data</w:t>
            </w:r>
          </w:p>
        </w:tc>
        <w:tc>
          <w:tcPr>
            <w:tcW w:w="1101" w:type="dxa"/>
          </w:tcPr>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Selective outcome reporting</w:t>
            </w:r>
          </w:p>
        </w:tc>
        <w:tc>
          <w:tcPr>
            <w:tcW w:w="785" w:type="dxa"/>
          </w:tcPr>
          <w:p w:rsidR="00FC4F49" w:rsidRPr="0083014A" w:rsidRDefault="00FC4F49" w:rsidP="006350B7">
            <w:pPr>
              <w:spacing w:beforeLines="60" w:before="144" w:afterLines="60" w:after="144"/>
              <w:rPr>
                <w:rFonts w:ascii="Arial" w:hAnsi="Arial" w:cs="Arial"/>
                <w:color w:val="000000" w:themeColor="text1"/>
                <w:sz w:val="18"/>
                <w:szCs w:val="18"/>
                <w:lang w:val="en-US"/>
              </w:rPr>
            </w:pPr>
            <w:r w:rsidRPr="0083014A">
              <w:rPr>
                <w:rFonts w:ascii="Arial" w:hAnsi="Arial" w:cs="Arial"/>
                <w:color w:val="000000" w:themeColor="text1"/>
                <w:sz w:val="18"/>
                <w:szCs w:val="18"/>
                <w:lang w:val="en-US"/>
              </w:rPr>
              <w:t xml:space="preserve">Other biases </w:t>
            </w:r>
          </w:p>
        </w:tc>
      </w:tr>
      <w:tr w:rsidR="00FC4F49" w:rsidRPr="0083014A" w:rsidTr="006350B7">
        <w:tc>
          <w:tcPr>
            <w:tcW w:w="1017" w:type="dxa"/>
            <w:vAlign w:val="center"/>
          </w:tcPr>
          <w:p w:rsidR="00FC4F49" w:rsidRPr="0083014A" w:rsidRDefault="00FC4F49" w:rsidP="006350B7">
            <w:pPr>
              <w:spacing w:beforeLines="60" w:before="144" w:afterLines="60" w:after="144"/>
              <w:rPr>
                <w:rFonts w:ascii="Arial" w:hAnsi="Arial" w:cs="Arial"/>
                <w:color w:val="000000"/>
                <w:sz w:val="18"/>
                <w:szCs w:val="18"/>
                <w:lang w:val="en-US"/>
              </w:rPr>
            </w:pPr>
            <w:r>
              <w:rPr>
                <w:rFonts w:ascii="Arial" w:hAnsi="Arial" w:cs="Arial"/>
                <w:color w:val="000000" w:themeColor="text1"/>
                <w:sz w:val="18"/>
                <w:szCs w:val="18"/>
                <w:lang w:val="en-US"/>
              </w:rPr>
              <w:t>MRI-1</w:t>
            </w:r>
          </w:p>
        </w:tc>
        <w:tc>
          <w:tcPr>
            <w:tcW w:w="124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37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3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289"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0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785"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r>
      <w:tr w:rsidR="00FC4F49" w:rsidRPr="0083014A" w:rsidTr="006350B7">
        <w:tc>
          <w:tcPr>
            <w:tcW w:w="1017" w:type="dxa"/>
            <w:vAlign w:val="center"/>
          </w:tcPr>
          <w:p w:rsidR="00FC4F49" w:rsidRPr="0083014A" w:rsidRDefault="00FC4F49" w:rsidP="006350B7">
            <w:pPr>
              <w:spacing w:beforeLines="60" w:before="144" w:afterLines="60" w:after="144"/>
              <w:rPr>
                <w:rFonts w:ascii="Arial" w:hAnsi="Arial" w:cs="Arial"/>
                <w:color w:val="000000" w:themeColor="text1"/>
                <w:sz w:val="18"/>
                <w:szCs w:val="18"/>
              </w:rPr>
            </w:pPr>
            <w:r>
              <w:rPr>
                <w:rFonts w:ascii="Arial" w:hAnsi="Arial" w:cs="Arial"/>
                <w:color w:val="000000" w:themeColor="text1"/>
                <w:sz w:val="18"/>
                <w:szCs w:val="18"/>
              </w:rPr>
              <w:t>MRI-2</w:t>
            </w:r>
          </w:p>
        </w:tc>
        <w:tc>
          <w:tcPr>
            <w:tcW w:w="124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37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3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289"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0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785"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r>
      <w:tr w:rsidR="00FC4F49" w:rsidRPr="0083014A" w:rsidTr="006350B7">
        <w:tc>
          <w:tcPr>
            <w:tcW w:w="1017" w:type="dxa"/>
            <w:vAlign w:val="center"/>
          </w:tcPr>
          <w:p w:rsidR="00FC4F49" w:rsidRPr="0083014A" w:rsidRDefault="00FC4F49" w:rsidP="006350B7">
            <w:pPr>
              <w:spacing w:beforeLines="60" w:before="144" w:afterLines="60" w:after="144"/>
              <w:rPr>
                <w:rFonts w:ascii="Arial" w:hAnsi="Arial" w:cs="Arial"/>
                <w:color w:val="000000"/>
                <w:sz w:val="18"/>
                <w:szCs w:val="18"/>
                <w:lang w:val="en-US"/>
              </w:rPr>
            </w:pPr>
            <w:r w:rsidRPr="0083014A">
              <w:rPr>
                <w:rFonts w:ascii="Arial" w:hAnsi="Arial" w:cs="Arial"/>
                <w:color w:val="000000" w:themeColor="text1"/>
                <w:sz w:val="18"/>
                <w:szCs w:val="18"/>
                <w:lang w:val="en-US"/>
              </w:rPr>
              <w:t>Qaragozli 2011</w:t>
            </w:r>
          </w:p>
        </w:tc>
        <w:tc>
          <w:tcPr>
            <w:tcW w:w="124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37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Unclear risk</w:t>
            </w:r>
          </w:p>
        </w:tc>
        <w:tc>
          <w:tcPr>
            <w:tcW w:w="13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Unclear risk</w:t>
            </w:r>
          </w:p>
        </w:tc>
        <w:tc>
          <w:tcPr>
            <w:tcW w:w="11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Unclear risk</w:t>
            </w:r>
          </w:p>
        </w:tc>
        <w:tc>
          <w:tcPr>
            <w:tcW w:w="1289"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0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785"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r>
      <w:tr w:rsidR="00FC4F49" w:rsidRPr="0083014A" w:rsidTr="006350B7">
        <w:tc>
          <w:tcPr>
            <w:tcW w:w="1017" w:type="dxa"/>
            <w:vAlign w:val="center"/>
          </w:tcPr>
          <w:p w:rsidR="00FC4F49" w:rsidRPr="0083014A" w:rsidRDefault="00FC4F49" w:rsidP="006350B7">
            <w:pPr>
              <w:spacing w:beforeLines="60" w:before="144" w:afterLines="60" w:after="144"/>
              <w:rPr>
                <w:rFonts w:ascii="Arial" w:hAnsi="Arial" w:cs="Arial"/>
                <w:color w:val="000000"/>
                <w:sz w:val="18"/>
                <w:szCs w:val="18"/>
                <w:lang w:val="en-US"/>
              </w:rPr>
            </w:pPr>
            <w:r>
              <w:rPr>
                <w:rFonts w:ascii="Arial" w:hAnsi="Arial" w:cs="Arial"/>
                <w:color w:val="000000" w:themeColor="text1"/>
                <w:sz w:val="18"/>
                <w:szCs w:val="18"/>
                <w:lang w:val="en-US"/>
              </w:rPr>
              <w:t>Cere-Lyse-I</w:t>
            </w:r>
          </w:p>
        </w:tc>
        <w:tc>
          <w:tcPr>
            <w:tcW w:w="1244" w:type="dxa"/>
            <w:shd w:val="clear" w:color="auto" w:fill="auto"/>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374" w:type="dxa"/>
            <w:shd w:val="clear" w:color="auto" w:fill="auto"/>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341" w:type="dxa"/>
            <w:shd w:val="clear" w:color="auto" w:fill="auto"/>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41" w:type="dxa"/>
            <w:shd w:val="clear" w:color="auto" w:fill="auto"/>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289" w:type="dxa"/>
            <w:shd w:val="clear" w:color="auto" w:fill="auto"/>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01" w:type="dxa"/>
            <w:shd w:val="clear" w:color="auto" w:fill="auto"/>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785" w:type="dxa"/>
            <w:shd w:val="clear" w:color="auto" w:fill="auto"/>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r>
      <w:tr w:rsidR="00FC4F49" w:rsidRPr="0083014A" w:rsidTr="006350B7">
        <w:tc>
          <w:tcPr>
            <w:tcW w:w="1017" w:type="dxa"/>
            <w:vAlign w:val="center"/>
          </w:tcPr>
          <w:p w:rsidR="00FC4F49" w:rsidRPr="0083014A" w:rsidRDefault="00FC4F49" w:rsidP="006350B7">
            <w:pPr>
              <w:spacing w:beforeLines="60" w:before="144" w:afterLines="60" w:after="144"/>
              <w:rPr>
                <w:rFonts w:ascii="Arial" w:hAnsi="Arial" w:cs="Arial"/>
                <w:color w:val="000000"/>
                <w:sz w:val="18"/>
                <w:szCs w:val="18"/>
                <w:lang w:val="en-US"/>
              </w:rPr>
            </w:pPr>
            <w:r>
              <w:rPr>
                <w:rFonts w:ascii="Arial" w:hAnsi="Arial" w:cs="Arial"/>
                <w:color w:val="000000" w:themeColor="text1"/>
                <w:sz w:val="18"/>
                <w:szCs w:val="18"/>
                <w:lang w:val="en-US"/>
              </w:rPr>
              <w:t>CASTA</w:t>
            </w:r>
          </w:p>
        </w:tc>
        <w:tc>
          <w:tcPr>
            <w:tcW w:w="124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37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3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289"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0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785"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r>
      <w:tr w:rsidR="00FC4F49" w:rsidRPr="0083014A" w:rsidTr="006350B7">
        <w:tc>
          <w:tcPr>
            <w:tcW w:w="1017" w:type="dxa"/>
            <w:vAlign w:val="center"/>
          </w:tcPr>
          <w:p w:rsidR="00FC4F49" w:rsidRPr="0083014A" w:rsidRDefault="00FC4F49" w:rsidP="006350B7">
            <w:pPr>
              <w:spacing w:beforeLines="60" w:before="144" w:afterLines="60" w:after="144"/>
              <w:rPr>
                <w:rFonts w:ascii="Arial" w:hAnsi="Arial" w:cs="Arial"/>
                <w:color w:val="000000"/>
                <w:sz w:val="18"/>
                <w:szCs w:val="18"/>
                <w:lang w:val="en-US"/>
              </w:rPr>
            </w:pPr>
            <w:r w:rsidRPr="0083014A">
              <w:rPr>
                <w:rFonts w:ascii="Arial" w:hAnsi="Arial" w:cs="Arial"/>
                <w:color w:val="000000" w:themeColor="text1"/>
                <w:sz w:val="18"/>
                <w:szCs w:val="18"/>
                <w:lang w:val="en-US"/>
              </w:rPr>
              <w:t>Amiri-Nikpour et al. 2014</w:t>
            </w:r>
          </w:p>
        </w:tc>
        <w:tc>
          <w:tcPr>
            <w:tcW w:w="124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Unclear risk</w:t>
            </w:r>
          </w:p>
        </w:tc>
        <w:tc>
          <w:tcPr>
            <w:tcW w:w="137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Unclear risk</w:t>
            </w:r>
          </w:p>
        </w:tc>
        <w:tc>
          <w:tcPr>
            <w:tcW w:w="13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Unclear risk</w:t>
            </w:r>
          </w:p>
        </w:tc>
        <w:tc>
          <w:tcPr>
            <w:tcW w:w="11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Unclear risk</w:t>
            </w:r>
          </w:p>
        </w:tc>
        <w:tc>
          <w:tcPr>
            <w:tcW w:w="1289"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0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785"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r>
      <w:tr w:rsidR="00FC4F49" w:rsidRPr="0083014A" w:rsidTr="006350B7">
        <w:tc>
          <w:tcPr>
            <w:tcW w:w="1017" w:type="dxa"/>
            <w:vAlign w:val="center"/>
          </w:tcPr>
          <w:p w:rsidR="00FC4F49" w:rsidRPr="0083014A" w:rsidRDefault="00FC4F49" w:rsidP="006350B7">
            <w:pPr>
              <w:spacing w:beforeLines="60" w:before="144" w:afterLines="60" w:after="144"/>
              <w:rPr>
                <w:rFonts w:ascii="Arial" w:hAnsi="Arial" w:cs="Arial"/>
                <w:color w:val="000000"/>
                <w:sz w:val="18"/>
                <w:szCs w:val="18"/>
                <w:lang w:val="en-US"/>
              </w:rPr>
            </w:pPr>
            <w:r>
              <w:rPr>
                <w:rFonts w:ascii="Arial" w:hAnsi="Arial" w:cs="Arial"/>
                <w:color w:val="000000" w:themeColor="text1"/>
                <w:sz w:val="18"/>
                <w:szCs w:val="18"/>
              </w:rPr>
              <w:t>CARS-1</w:t>
            </w:r>
          </w:p>
        </w:tc>
        <w:tc>
          <w:tcPr>
            <w:tcW w:w="124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37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3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289"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0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785"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r>
      <w:tr w:rsidR="00FC4F49" w:rsidRPr="0083014A" w:rsidTr="006350B7">
        <w:tc>
          <w:tcPr>
            <w:tcW w:w="1017" w:type="dxa"/>
            <w:vAlign w:val="center"/>
          </w:tcPr>
          <w:p w:rsidR="00FC4F49" w:rsidRPr="0083014A" w:rsidRDefault="00FC4F49" w:rsidP="006350B7">
            <w:pPr>
              <w:spacing w:beforeLines="60" w:before="144" w:afterLines="60" w:after="144"/>
              <w:rPr>
                <w:rFonts w:ascii="Arial" w:hAnsi="Arial" w:cs="Arial"/>
                <w:color w:val="000000"/>
                <w:sz w:val="18"/>
                <w:szCs w:val="18"/>
              </w:rPr>
            </w:pPr>
            <w:r>
              <w:rPr>
                <w:rFonts w:ascii="Arial" w:hAnsi="Arial" w:cs="Arial"/>
                <w:color w:val="000000" w:themeColor="text1"/>
                <w:sz w:val="18"/>
                <w:szCs w:val="18"/>
              </w:rPr>
              <w:t>CARS-2</w:t>
            </w:r>
          </w:p>
        </w:tc>
        <w:tc>
          <w:tcPr>
            <w:tcW w:w="124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374"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3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4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289"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1101"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c>
          <w:tcPr>
            <w:tcW w:w="785" w:type="dxa"/>
            <w:vAlign w:val="center"/>
          </w:tcPr>
          <w:p w:rsidR="00FC4F49" w:rsidRPr="0083014A" w:rsidRDefault="00FC4F49" w:rsidP="006350B7">
            <w:pPr>
              <w:spacing w:beforeLines="60" w:before="144" w:afterLines="60" w:after="144"/>
              <w:jc w:val="center"/>
              <w:rPr>
                <w:rFonts w:ascii="Arial" w:hAnsi="Arial" w:cs="Arial"/>
                <w:color w:val="000000" w:themeColor="text1"/>
                <w:sz w:val="18"/>
                <w:szCs w:val="18"/>
                <w:lang w:val="en-US"/>
              </w:rPr>
            </w:pPr>
            <w:r w:rsidRPr="0083014A">
              <w:rPr>
                <w:rFonts w:ascii="Arial" w:hAnsi="Arial" w:cs="Arial"/>
                <w:color w:val="000000" w:themeColor="text1"/>
                <w:sz w:val="18"/>
                <w:szCs w:val="18"/>
                <w:lang w:val="en-US"/>
              </w:rPr>
              <w:t>Low risk</w:t>
            </w:r>
          </w:p>
        </w:tc>
      </w:tr>
      <w:tr w:rsidR="00FC4F49" w:rsidRPr="000C11B1" w:rsidTr="006350B7">
        <w:tc>
          <w:tcPr>
            <w:tcW w:w="1017" w:type="dxa"/>
            <w:shd w:val="clear" w:color="auto" w:fill="auto"/>
            <w:vAlign w:val="center"/>
          </w:tcPr>
          <w:p w:rsidR="00FC4F49" w:rsidRPr="006E68BB" w:rsidRDefault="00FC4F49" w:rsidP="006350B7">
            <w:pPr>
              <w:spacing w:beforeLines="60" w:before="144" w:afterLines="60" w:after="144"/>
              <w:rPr>
                <w:rFonts w:ascii="Arial" w:hAnsi="Arial" w:cs="Arial"/>
                <w:color w:val="000000" w:themeColor="text1"/>
                <w:sz w:val="18"/>
                <w:szCs w:val="18"/>
                <w:lang w:val="en-US"/>
              </w:rPr>
            </w:pPr>
            <w:r w:rsidRPr="006E68BB">
              <w:rPr>
                <w:rFonts w:ascii="Arial" w:hAnsi="Arial" w:cs="Arial"/>
                <w:color w:val="000000" w:themeColor="text1"/>
                <w:sz w:val="18"/>
                <w:szCs w:val="18"/>
                <w:lang w:val="en-US"/>
              </w:rPr>
              <w:t>Xue et al. 2016</w:t>
            </w:r>
          </w:p>
        </w:tc>
        <w:tc>
          <w:tcPr>
            <w:tcW w:w="1244" w:type="dxa"/>
            <w:shd w:val="clear" w:color="auto" w:fill="auto"/>
            <w:vAlign w:val="center"/>
          </w:tcPr>
          <w:p w:rsidR="00FC4F49" w:rsidRPr="006E68BB" w:rsidRDefault="00FC4F49" w:rsidP="006350B7">
            <w:pPr>
              <w:spacing w:beforeLines="60" w:before="144" w:afterLines="60" w:after="144"/>
              <w:jc w:val="center"/>
              <w:rPr>
                <w:rFonts w:ascii="Arial" w:hAnsi="Arial" w:cs="Arial"/>
                <w:color w:val="000000" w:themeColor="text1"/>
                <w:sz w:val="18"/>
                <w:szCs w:val="18"/>
                <w:lang w:val="en-US"/>
              </w:rPr>
            </w:pPr>
            <w:r w:rsidRPr="006E68BB">
              <w:rPr>
                <w:rFonts w:ascii="Arial" w:hAnsi="Arial" w:cs="Arial"/>
                <w:color w:val="000000" w:themeColor="text1"/>
                <w:sz w:val="18"/>
                <w:szCs w:val="18"/>
                <w:lang w:val="en-US"/>
              </w:rPr>
              <w:t>Low risk</w:t>
            </w:r>
          </w:p>
        </w:tc>
        <w:tc>
          <w:tcPr>
            <w:tcW w:w="1374" w:type="dxa"/>
            <w:shd w:val="clear" w:color="auto" w:fill="auto"/>
            <w:vAlign w:val="center"/>
          </w:tcPr>
          <w:p w:rsidR="00FC4F49" w:rsidRPr="006E68BB" w:rsidRDefault="00FC4F49" w:rsidP="006350B7">
            <w:pPr>
              <w:spacing w:beforeLines="60" w:before="144" w:afterLines="60" w:after="144"/>
              <w:jc w:val="center"/>
              <w:rPr>
                <w:rFonts w:ascii="Arial" w:hAnsi="Arial" w:cs="Arial"/>
                <w:color w:val="000000" w:themeColor="text1"/>
                <w:sz w:val="18"/>
                <w:szCs w:val="18"/>
                <w:lang w:val="en-US"/>
              </w:rPr>
            </w:pPr>
            <w:r w:rsidRPr="006E68BB">
              <w:rPr>
                <w:rFonts w:ascii="Arial" w:hAnsi="Arial" w:cs="Arial"/>
                <w:color w:val="000000" w:themeColor="text1"/>
                <w:sz w:val="18"/>
                <w:szCs w:val="18"/>
                <w:lang w:val="en-US"/>
              </w:rPr>
              <w:t>Low risk</w:t>
            </w:r>
          </w:p>
        </w:tc>
        <w:tc>
          <w:tcPr>
            <w:tcW w:w="1341" w:type="dxa"/>
            <w:shd w:val="clear" w:color="auto" w:fill="auto"/>
            <w:vAlign w:val="center"/>
          </w:tcPr>
          <w:p w:rsidR="00FC4F49" w:rsidRPr="006E68BB" w:rsidRDefault="00FC4F49" w:rsidP="006350B7">
            <w:pPr>
              <w:spacing w:beforeLines="60" w:before="144" w:afterLines="60" w:after="144"/>
              <w:jc w:val="center"/>
              <w:rPr>
                <w:rFonts w:ascii="Arial" w:hAnsi="Arial" w:cs="Arial"/>
                <w:color w:val="000000" w:themeColor="text1"/>
                <w:sz w:val="18"/>
                <w:szCs w:val="18"/>
                <w:lang w:val="en-US"/>
              </w:rPr>
            </w:pPr>
            <w:r w:rsidRPr="006E68BB">
              <w:rPr>
                <w:rFonts w:ascii="Arial" w:hAnsi="Arial" w:cs="Arial"/>
                <w:color w:val="000000" w:themeColor="text1"/>
                <w:sz w:val="18"/>
                <w:szCs w:val="18"/>
                <w:lang w:val="en-US"/>
              </w:rPr>
              <w:t>Unclear risk</w:t>
            </w:r>
          </w:p>
        </w:tc>
        <w:tc>
          <w:tcPr>
            <w:tcW w:w="1141" w:type="dxa"/>
            <w:shd w:val="clear" w:color="auto" w:fill="auto"/>
            <w:vAlign w:val="center"/>
          </w:tcPr>
          <w:p w:rsidR="00FC4F49" w:rsidRPr="006E68BB" w:rsidRDefault="00FC4F49" w:rsidP="006350B7">
            <w:pPr>
              <w:spacing w:beforeLines="60" w:before="144" w:afterLines="60" w:after="144"/>
              <w:jc w:val="center"/>
              <w:rPr>
                <w:rFonts w:ascii="Arial" w:hAnsi="Arial" w:cs="Arial"/>
                <w:color w:val="000000" w:themeColor="text1"/>
                <w:sz w:val="18"/>
                <w:szCs w:val="18"/>
                <w:lang w:val="en-US"/>
              </w:rPr>
            </w:pPr>
            <w:r w:rsidRPr="006E68BB">
              <w:rPr>
                <w:rFonts w:ascii="Arial" w:hAnsi="Arial" w:cs="Arial"/>
                <w:color w:val="000000" w:themeColor="text1"/>
                <w:sz w:val="18"/>
                <w:szCs w:val="18"/>
                <w:lang w:val="en-US"/>
              </w:rPr>
              <w:t>Unclear risk</w:t>
            </w:r>
          </w:p>
        </w:tc>
        <w:tc>
          <w:tcPr>
            <w:tcW w:w="1289" w:type="dxa"/>
            <w:shd w:val="clear" w:color="auto" w:fill="auto"/>
            <w:vAlign w:val="center"/>
          </w:tcPr>
          <w:p w:rsidR="00FC4F49" w:rsidRPr="006E68BB" w:rsidRDefault="00FC4F49" w:rsidP="006350B7">
            <w:pPr>
              <w:spacing w:beforeLines="60" w:before="144" w:afterLines="60" w:after="144"/>
              <w:jc w:val="center"/>
              <w:rPr>
                <w:rFonts w:ascii="Arial" w:hAnsi="Arial" w:cs="Arial"/>
                <w:color w:val="000000" w:themeColor="text1"/>
                <w:sz w:val="18"/>
                <w:szCs w:val="18"/>
                <w:lang w:val="en-US"/>
              </w:rPr>
            </w:pPr>
            <w:r w:rsidRPr="006E68BB">
              <w:rPr>
                <w:rFonts w:ascii="Arial" w:hAnsi="Arial" w:cs="Arial"/>
                <w:color w:val="000000" w:themeColor="text1"/>
                <w:sz w:val="18"/>
                <w:szCs w:val="18"/>
                <w:lang w:val="en-US"/>
              </w:rPr>
              <w:t>Low risk</w:t>
            </w:r>
          </w:p>
        </w:tc>
        <w:tc>
          <w:tcPr>
            <w:tcW w:w="1101" w:type="dxa"/>
            <w:shd w:val="clear" w:color="auto" w:fill="auto"/>
            <w:vAlign w:val="center"/>
          </w:tcPr>
          <w:p w:rsidR="00FC4F49" w:rsidRPr="006E68BB" w:rsidRDefault="00FC4F49" w:rsidP="006350B7">
            <w:pPr>
              <w:spacing w:beforeLines="60" w:before="144" w:afterLines="60" w:after="144"/>
              <w:jc w:val="center"/>
              <w:rPr>
                <w:rFonts w:ascii="Arial" w:hAnsi="Arial" w:cs="Arial"/>
                <w:color w:val="000000" w:themeColor="text1"/>
                <w:sz w:val="18"/>
                <w:szCs w:val="18"/>
                <w:lang w:val="en-US"/>
              </w:rPr>
            </w:pPr>
            <w:r w:rsidRPr="006E68BB">
              <w:rPr>
                <w:rFonts w:ascii="Arial" w:hAnsi="Arial" w:cs="Arial"/>
                <w:color w:val="000000" w:themeColor="text1"/>
                <w:sz w:val="18"/>
                <w:szCs w:val="18"/>
                <w:lang w:val="en-US"/>
              </w:rPr>
              <w:t>Low risk</w:t>
            </w:r>
          </w:p>
        </w:tc>
        <w:tc>
          <w:tcPr>
            <w:tcW w:w="785" w:type="dxa"/>
            <w:shd w:val="clear" w:color="auto" w:fill="auto"/>
            <w:vAlign w:val="center"/>
          </w:tcPr>
          <w:p w:rsidR="00FC4F49" w:rsidRPr="006E68BB" w:rsidRDefault="00FC4F49" w:rsidP="006350B7">
            <w:pPr>
              <w:spacing w:beforeLines="60" w:before="144" w:afterLines="60" w:after="144"/>
              <w:jc w:val="center"/>
              <w:rPr>
                <w:rFonts w:ascii="Arial" w:hAnsi="Arial" w:cs="Arial"/>
                <w:color w:val="000000" w:themeColor="text1"/>
                <w:sz w:val="18"/>
                <w:szCs w:val="18"/>
                <w:lang w:val="en-US"/>
              </w:rPr>
            </w:pPr>
            <w:r w:rsidRPr="006E68BB">
              <w:rPr>
                <w:rFonts w:ascii="Arial" w:hAnsi="Arial" w:cs="Arial"/>
                <w:color w:val="000000" w:themeColor="text1"/>
                <w:sz w:val="18"/>
                <w:szCs w:val="18"/>
                <w:lang w:val="en-US"/>
              </w:rPr>
              <w:t>Low risk</w:t>
            </w:r>
          </w:p>
        </w:tc>
      </w:tr>
      <w:tr w:rsidR="00FC4F49" w:rsidRPr="00F475BE" w:rsidTr="006350B7">
        <w:tc>
          <w:tcPr>
            <w:tcW w:w="9292" w:type="dxa"/>
            <w:gridSpan w:val="8"/>
            <w:shd w:val="clear" w:color="auto" w:fill="auto"/>
            <w:vAlign w:val="center"/>
          </w:tcPr>
          <w:p w:rsidR="00FC4F49" w:rsidRPr="00C60BD1" w:rsidRDefault="00FC4F49" w:rsidP="006350B7">
            <w:pPr>
              <w:spacing w:beforeLines="60" w:before="144" w:afterLines="60" w:after="144"/>
              <w:rPr>
                <w:rFonts w:ascii="Arial" w:hAnsi="Arial" w:cs="Arial"/>
                <w:color w:val="000000" w:themeColor="text1"/>
                <w:lang w:val="en-US"/>
              </w:rPr>
            </w:pPr>
            <w:r w:rsidRPr="00C60BD1">
              <w:rPr>
                <w:rFonts w:ascii="Arial" w:hAnsi="Arial" w:cs="Arial"/>
                <w:color w:val="000000" w:themeColor="text1"/>
                <w:lang w:val="en-US"/>
              </w:rPr>
              <w:t>Risk of bias assessment was performed using all available data (publications, clinical study reports, individual patient data files, feedbacks from authors). Attrition assessment was based on the primary point in time of this meta-analysis (21 or 30 days), not on later follow-up visits. For some studies there was insufficient infor</w:t>
            </w:r>
            <w:r>
              <w:rPr>
                <w:rFonts w:ascii="Arial" w:hAnsi="Arial" w:cs="Arial"/>
                <w:color w:val="000000" w:themeColor="text1"/>
                <w:lang w:val="en-US"/>
              </w:rPr>
              <w:t>mation available to permit judg</w:t>
            </w:r>
            <w:r w:rsidRPr="00C60BD1">
              <w:rPr>
                <w:rFonts w:ascii="Arial" w:hAnsi="Arial" w:cs="Arial"/>
                <w:color w:val="000000" w:themeColor="text1"/>
                <w:lang w:val="en-US"/>
              </w:rPr>
              <w:t xml:space="preserve">ment of all risks of bias. </w:t>
            </w:r>
          </w:p>
        </w:tc>
      </w:tr>
    </w:tbl>
    <w:p w:rsidR="00FC4F49" w:rsidRDefault="00FC4F49" w:rsidP="00FC4F49">
      <w:pPr>
        <w:rPr>
          <w:rFonts w:ascii="Arial" w:hAnsi="Arial" w:cs="Arial"/>
          <w:color w:val="00B050"/>
          <w:lang w:val="en-US"/>
        </w:rPr>
      </w:pPr>
    </w:p>
    <w:p w:rsidR="00FC4F49" w:rsidRDefault="00FC4F49" w:rsidP="00FC4F49">
      <w:pPr>
        <w:rPr>
          <w:rFonts w:ascii="Arial" w:hAnsi="Arial" w:cs="Arial"/>
          <w:b/>
          <w:sz w:val="24"/>
          <w:szCs w:val="24"/>
          <w:lang w:val="en-US"/>
        </w:rPr>
      </w:pPr>
      <w:r w:rsidRPr="00C60BD1">
        <w:rPr>
          <w:rFonts w:ascii="Arial" w:hAnsi="Arial" w:cs="Arial"/>
          <w:b/>
          <w:sz w:val="24"/>
          <w:szCs w:val="24"/>
          <w:lang w:val="en-US"/>
        </w:rPr>
        <w:t xml:space="preserve">Table </w:t>
      </w:r>
      <w:r>
        <w:rPr>
          <w:rFonts w:ascii="Arial" w:hAnsi="Arial" w:cs="Arial"/>
          <w:b/>
          <w:sz w:val="24"/>
          <w:szCs w:val="24"/>
          <w:lang w:val="en-US"/>
        </w:rPr>
        <w:t>X5</w:t>
      </w:r>
      <w:r w:rsidRPr="00C60BD1">
        <w:rPr>
          <w:rFonts w:ascii="Arial" w:hAnsi="Arial" w:cs="Arial"/>
          <w:b/>
          <w:sz w:val="24"/>
          <w:szCs w:val="24"/>
          <w:lang w:val="en-US"/>
        </w:rPr>
        <w:t>. Risk of bias</w:t>
      </w:r>
    </w:p>
    <w:p w:rsidR="00FC4F49" w:rsidRDefault="00FC4F49" w:rsidP="00FC4F49">
      <w:pPr>
        <w:rPr>
          <w:rFonts w:ascii="Arial" w:hAnsi="Arial" w:cs="Arial"/>
          <w:b/>
          <w:sz w:val="24"/>
          <w:szCs w:val="24"/>
          <w:lang w:val="en-US"/>
        </w:rPr>
      </w:pPr>
      <w:r>
        <w:rPr>
          <w:rFonts w:ascii="Arial" w:hAnsi="Arial" w:cs="Arial"/>
          <w:b/>
          <w:sz w:val="24"/>
          <w:szCs w:val="24"/>
          <w:lang w:val="en-US"/>
        </w:rPr>
        <w:br w:type="page"/>
      </w:r>
    </w:p>
    <w:p w:rsidR="00FC4F49" w:rsidRDefault="00FC4F49" w:rsidP="00FC4F49">
      <w:pPr>
        <w:rPr>
          <w:rFonts w:ascii="Arial" w:hAnsi="Arial" w:cs="Arial"/>
          <w:sz w:val="22"/>
          <w:szCs w:val="22"/>
          <w:lang w:val="en-US"/>
        </w:rPr>
      </w:pPr>
    </w:p>
    <w:p w:rsidR="00FC4F49" w:rsidRPr="00BE60EB" w:rsidRDefault="00FC4F49" w:rsidP="00FC4F49">
      <w:pPr>
        <w:rPr>
          <w:rFonts w:ascii="Arial" w:hAnsi="Arial" w:cs="Arial"/>
          <w:sz w:val="22"/>
          <w:szCs w:val="22"/>
          <w:lang w:val="en-US"/>
        </w:rPr>
      </w:pPr>
    </w:p>
    <w:p w:rsidR="00FC4F49" w:rsidRDefault="00FC4F49" w:rsidP="00FC4F49">
      <w:pPr>
        <w:rPr>
          <w:rFonts w:ascii="Arial" w:hAnsi="Arial" w:cs="Arial"/>
          <w:b/>
          <w:sz w:val="22"/>
          <w:szCs w:val="22"/>
          <w:lang w:val="en-US"/>
        </w:rPr>
      </w:pPr>
      <w:r>
        <w:rPr>
          <w:rFonts w:ascii="Arial" w:hAnsi="Arial" w:cs="Arial"/>
          <w:b/>
          <w:noProof/>
          <w:sz w:val="22"/>
          <w:szCs w:val="22"/>
          <w:lang w:val="en-US" w:eastAsia="en-US"/>
        </w:rPr>
        <w:drawing>
          <wp:inline distT="0" distB="0" distL="0" distR="0" wp14:anchorId="3293FCF6" wp14:editId="725C2C33">
            <wp:extent cx="5939790" cy="2765044"/>
            <wp:effectExtent l="19050" t="0" r="3810" b="0"/>
            <wp:docPr id="2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939790" cy="2765044"/>
                    </a:xfrm>
                    <a:prstGeom prst="rect">
                      <a:avLst/>
                    </a:prstGeom>
                    <a:noFill/>
                    <a:ln w="9525">
                      <a:noFill/>
                      <a:miter lim="800000"/>
                      <a:headEnd/>
                      <a:tailEnd/>
                    </a:ln>
                  </pic:spPr>
                </pic:pic>
              </a:graphicData>
            </a:graphic>
          </wp:inline>
        </w:drawing>
      </w:r>
    </w:p>
    <w:p w:rsidR="00FC4F49" w:rsidRDefault="00FC4F49" w:rsidP="00FC4F49">
      <w:pPr>
        <w:rPr>
          <w:rFonts w:ascii="Arial" w:hAnsi="Arial" w:cs="Arial"/>
          <w:b/>
          <w:sz w:val="22"/>
          <w:szCs w:val="22"/>
          <w:lang w:val="en-US"/>
        </w:rPr>
      </w:pPr>
    </w:p>
    <w:p w:rsidR="00FC4F49" w:rsidRDefault="00FC4F49" w:rsidP="00FC4F49">
      <w:pPr>
        <w:rPr>
          <w:rFonts w:ascii="Arial" w:hAnsi="Arial" w:cs="Arial"/>
          <w:sz w:val="22"/>
          <w:szCs w:val="22"/>
          <w:lang w:val="en-US"/>
        </w:rPr>
      </w:pPr>
      <w:r w:rsidRPr="00BE60EB">
        <w:rPr>
          <w:rFonts w:ascii="Arial" w:hAnsi="Arial" w:cs="Arial"/>
          <w:b/>
          <w:sz w:val="22"/>
          <w:szCs w:val="22"/>
          <w:lang w:val="en-US"/>
        </w:rPr>
        <w:t xml:space="preserve">Figure </w:t>
      </w:r>
      <w:r>
        <w:rPr>
          <w:rFonts w:ascii="Arial" w:hAnsi="Arial" w:cs="Arial"/>
          <w:b/>
          <w:sz w:val="22"/>
          <w:szCs w:val="22"/>
          <w:lang w:val="en-US"/>
        </w:rPr>
        <w:t>X2</w:t>
      </w:r>
      <w:r w:rsidRPr="00BE60EB">
        <w:rPr>
          <w:rFonts w:ascii="Arial" w:hAnsi="Arial" w:cs="Arial"/>
          <w:b/>
          <w:sz w:val="22"/>
          <w:szCs w:val="22"/>
          <w:lang w:val="en-US"/>
        </w:rPr>
        <w:t xml:space="preserve">. </w:t>
      </w:r>
      <w:r w:rsidRPr="00BE60EB">
        <w:rPr>
          <w:rFonts w:ascii="Arial" w:hAnsi="Arial" w:cs="Arial"/>
          <w:sz w:val="22"/>
          <w:szCs w:val="22"/>
          <w:lang w:val="en-US"/>
        </w:rPr>
        <w:t>Meta-</w:t>
      </w:r>
      <w:r>
        <w:rPr>
          <w:rFonts w:ascii="Arial" w:hAnsi="Arial" w:cs="Arial"/>
          <w:sz w:val="22"/>
          <w:szCs w:val="22"/>
          <w:lang w:val="en-US"/>
        </w:rPr>
        <w:t>a</w:t>
      </w:r>
      <w:r w:rsidRPr="00BE60EB">
        <w:rPr>
          <w:rFonts w:ascii="Arial" w:hAnsi="Arial" w:cs="Arial"/>
          <w:sz w:val="22"/>
          <w:szCs w:val="22"/>
          <w:lang w:val="en-US"/>
        </w:rPr>
        <w:t xml:space="preserve">nalysis </w:t>
      </w:r>
      <w:r>
        <w:rPr>
          <w:rFonts w:ascii="Arial" w:hAnsi="Arial" w:cs="Arial"/>
          <w:sz w:val="22"/>
          <w:szCs w:val="22"/>
          <w:lang w:val="en-US"/>
        </w:rPr>
        <w:t>of NIHSS clinically relevant changes from baseline (≥ 4). C</w:t>
      </w:r>
      <w:r w:rsidRPr="00BE60EB">
        <w:rPr>
          <w:rFonts w:ascii="Arial" w:hAnsi="Arial" w:cs="Arial"/>
          <w:sz w:val="22"/>
          <w:szCs w:val="22"/>
          <w:lang w:val="en-US"/>
        </w:rPr>
        <w:t xml:space="preserve">omparison of Cerebrolysin (30 ml/day) versus placebo at day </w:t>
      </w:r>
      <w:r>
        <w:rPr>
          <w:rFonts w:ascii="Arial" w:hAnsi="Arial" w:cs="Arial"/>
          <w:sz w:val="22"/>
          <w:szCs w:val="22"/>
          <w:lang w:val="en-US"/>
        </w:rPr>
        <w:t>30</w:t>
      </w:r>
      <w:r w:rsidRPr="00BE60EB">
        <w:rPr>
          <w:rFonts w:ascii="Arial" w:hAnsi="Arial" w:cs="Arial"/>
          <w:sz w:val="22"/>
          <w:szCs w:val="22"/>
          <w:lang w:val="en-US"/>
        </w:rPr>
        <w:t xml:space="preserve"> </w:t>
      </w:r>
      <w:r>
        <w:rPr>
          <w:rFonts w:ascii="Arial" w:hAnsi="Arial" w:cs="Arial"/>
          <w:sz w:val="22"/>
          <w:szCs w:val="22"/>
          <w:lang w:val="en-US"/>
        </w:rPr>
        <w:t>(or 21) in the ITT population; LOCF</w:t>
      </w:r>
      <w:r w:rsidRPr="00BE60EB">
        <w:rPr>
          <w:rFonts w:ascii="Arial" w:hAnsi="Arial" w:cs="Arial"/>
          <w:sz w:val="22"/>
          <w:szCs w:val="22"/>
          <w:lang w:val="en-US"/>
        </w:rPr>
        <w:t xml:space="preserve">. </w:t>
      </w:r>
      <w:r>
        <w:rPr>
          <w:rFonts w:ascii="Arial" w:hAnsi="Arial" w:cs="Arial"/>
          <w:sz w:val="22"/>
          <w:szCs w:val="22"/>
          <w:lang w:val="en-US"/>
        </w:rPr>
        <w:t>‘Classic’ fixed effect and random effects analysis</w:t>
      </w:r>
      <w:r w:rsidRPr="00BE60EB">
        <w:rPr>
          <w:rFonts w:ascii="Arial" w:hAnsi="Arial" w:cs="Arial"/>
          <w:sz w:val="22"/>
          <w:szCs w:val="22"/>
          <w:lang w:val="en-US"/>
        </w:rPr>
        <w:t>,</w:t>
      </w:r>
      <w:r>
        <w:rPr>
          <w:rFonts w:ascii="Arial" w:hAnsi="Arial" w:cs="Arial"/>
          <w:sz w:val="22"/>
          <w:szCs w:val="22"/>
          <w:lang w:val="en-US"/>
        </w:rPr>
        <w:t xml:space="preserve"> effect size: Odds Ratio (OR)</w:t>
      </w:r>
      <w:r w:rsidRPr="00BE60EB">
        <w:rPr>
          <w:rFonts w:ascii="Arial" w:hAnsi="Arial" w:cs="Arial"/>
          <w:sz w:val="22"/>
          <w:szCs w:val="22"/>
          <w:lang w:val="en-US"/>
        </w:rPr>
        <w:t>.</w:t>
      </w:r>
    </w:p>
    <w:p w:rsidR="00FC4F49" w:rsidRDefault="00FC4F49" w:rsidP="00FC4F49">
      <w:pPr>
        <w:rPr>
          <w:rFonts w:ascii="Arial" w:hAnsi="Arial" w:cs="Arial"/>
          <w:sz w:val="22"/>
          <w:szCs w:val="22"/>
          <w:lang w:val="en-US"/>
        </w:rPr>
      </w:pPr>
    </w:p>
    <w:p w:rsidR="00FC4F49" w:rsidRDefault="00FC4F49" w:rsidP="00FC4F49">
      <w:pPr>
        <w:rPr>
          <w:rFonts w:ascii="Arial" w:hAnsi="Arial" w:cs="Arial"/>
          <w:sz w:val="22"/>
          <w:szCs w:val="22"/>
          <w:lang w:val="en-US"/>
        </w:rPr>
      </w:pPr>
    </w:p>
    <w:p w:rsidR="00FC4F49" w:rsidRDefault="00FC4F49" w:rsidP="00FC4F49">
      <w:pPr>
        <w:rPr>
          <w:rFonts w:ascii="Arial" w:hAnsi="Arial" w:cs="Arial"/>
          <w:sz w:val="22"/>
          <w:szCs w:val="22"/>
          <w:lang w:val="en-US"/>
        </w:rPr>
      </w:pPr>
    </w:p>
    <w:p w:rsidR="00FC4F49" w:rsidRDefault="00FC4F49" w:rsidP="00FC4F49">
      <w:pPr>
        <w:rPr>
          <w:rFonts w:ascii="Arial" w:hAnsi="Arial" w:cs="Arial"/>
          <w:sz w:val="22"/>
          <w:szCs w:val="22"/>
          <w:lang w:val="en-US"/>
        </w:rPr>
      </w:pPr>
      <w:r>
        <w:rPr>
          <w:rFonts w:ascii="Arial" w:hAnsi="Arial" w:cs="Arial"/>
          <w:noProof/>
          <w:sz w:val="22"/>
          <w:szCs w:val="22"/>
          <w:lang w:val="en-US" w:eastAsia="en-US"/>
        </w:rPr>
        <w:drawing>
          <wp:inline distT="0" distB="0" distL="0" distR="0" wp14:anchorId="5518A1A1" wp14:editId="2CFD7621">
            <wp:extent cx="5939790" cy="2334313"/>
            <wp:effectExtent l="19050" t="0" r="3810" b="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5939790" cy="2334313"/>
                    </a:xfrm>
                    <a:prstGeom prst="rect">
                      <a:avLst/>
                    </a:prstGeom>
                    <a:noFill/>
                    <a:ln w="9525">
                      <a:noFill/>
                      <a:miter lim="800000"/>
                      <a:headEnd/>
                      <a:tailEnd/>
                    </a:ln>
                  </pic:spPr>
                </pic:pic>
              </a:graphicData>
            </a:graphic>
          </wp:inline>
        </w:drawing>
      </w:r>
    </w:p>
    <w:p w:rsidR="00FC4F49" w:rsidRDefault="00FC4F49" w:rsidP="00FC4F49">
      <w:pPr>
        <w:rPr>
          <w:rFonts w:ascii="Arial" w:hAnsi="Arial" w:cs="Arial"/>
          <w:b/>
          <w:sz w:val="22"/>
          <w:szCs w:val="22"/>
          <w:lang w:val="en-US"/>
        </w:rPr>
      </w:pPr>
    </w:p>
    <w:p w:rsidR="00FC4F49" w:rsidRPr="00025FDD" w:rsidRDefault="00FC4F49" w:rsidP="00FC4F49">
      <w:pPr>
        <w:rPr>
          <w:rFonts w:ascii="Arial" w:hAnsi="Arial" w:cs="Arial"/>
          <w:sz w:val="22"/>
          <w:szCs w:val="22"/>
          <w:lang w:val="en-US"/>
        </w:rPr>
      </w:pPr>
      <w:r w:rsidRPr="00BE60EB">
        <w:rPr>
          <w:rFonts w:ascii="Arial" w:hAnsi="Arial" w:cs="Arial"/>
          <w:b/>
          <w:sz w:val="22"/>
          <w:szCs w:val="22"/>
          <w:lang w:val="en-US"/>
        </w:rPr>
        <w:t xml:space="preserve">Figure </w:t>
      </w:r>
      <w:r>
        <w:rPr>
          <w:rFonts w:ascii="Arial" w:hAnsi="Arial" w:cs="Arial"/>
          <w:b/>
          <w:sz w:val="22"/>
          <w:szCs w:val="22"/>
          <w:lang w:val="en-US"/>
        </w:rPr>
        <w:t>X3</w:t>
      </w:r>
      <w:r w:rsidRPr="00BE60EB">
        <w:rPr>
          <w:rFonts w:ascii="Arial" w:hAnsi="Arial" w:cs="Arial"/>
          <w:b/>
          <w:sz w:val="22"/>
          <w:szCs w:val="22"/>
          <w:lang w:val="en-US"/>
        </w:rPr>
        <w:t xml:space="preserve">. </w:t>
      </w:r>
      <w:r w:rsidRPr="00BE60EB">
        <w:rPr>
          <w:rFonts w:ascii="Arial" w:hAnsi="Arial" w:cs="Arial"/>
          <w:sz w:val="22"/>
          <w:szCs w:val="22"/>
          <w:lang w:val="en-US"/>
        </w:rPr>
        <w:t>Meta-</w:t>
      </w:r>
      <w:r>
        <w:rPr>
          <w:rFonts w:ascii="Arial" w:hAnsi="Arial" w:cs="Arial"/>
          <w:sz w:val="22"/>
          <w:szCs w:val="22"/>
          <w:lang w:val="en-US"/>
        </w:rPr>
        <w:t>a</w:t>
      </w:r>
      <w:r w:rsidRPr="00BE60EB">
        <w:rPr>
          <w:rFonts w:ascii="Arial" w:hAnsi="Arial" w:cs="Arial"/>
          <w:sz w:val="22"/>
          <w:szCs w:val="22"/>
          <w:lang w:val="en-US"/>
        </w:rPr>
        <w:t xml:space="preserve">nalysis </w:t>
      </w:r>
      <w:r>
        <w:rPr>
          <w:rFonts w:ascii="Arial" w:hAnsi="Arial" w:cs="Arial"/>
          <w:sz w:val="22"/>
          <w:szCs w:val="22"/>
          <w:lang w:val="en-US"/>
        </w:rPr>
        <w:t>of NIHSS clinically relevant changes from baseline (≥ 4). C</w:t>
      </w:r>
      <w:r w:rsidRPr="00BE60EB">
        <w:rPr>
          <w:rFonts w:ascii="Arial" w:hAnsi="Arial" w:cs="Arial"/>
          <w:sz w:val="22"/>
          <w:szCs w:val="22"/>
          <w:lang w:val="en-US"/>
        </w:rPr>
        <w:t xml:space="preserve">omparison of Cerebrolysin (30 ml/day) versus placebo at day </w:t>
      </w:r>
      <w:r>
        <w:rPr>
          <w:rFonts w:ascii="Arial" w:hAnsi="Arial" w:cs="Arial"/>
          <w:sz w:val="22"/>
          <w:szCs w:val="22"/>
          <w:lang w:val="en-US"/>
        </w:rPr>
        <w:t>30</w:t>
      </w:r>
      <w:r w:rsidRPr="00BE60EB">
        <w:rPr>
          <w:rFonts w:ascii="Arial" w:hAnsi="Arial" w:cs="Arial"/>
          <w:sz w:val="22"/>
          <w:szCs w:val="22"/>
          <w:lang w:val="en-US"/>
        </w:rPr>
        <w:t xml:space="preserve"> </w:t>
      </w:r>
      <w:r>
        <w:rPr>
          <w:rFonts w:ascii="Arial" w:hAnsi="Arial" w:cs="Arial"/>
          <w:sz w:val="22"/>
          <w:szCs w:val="22"/>
          <w:lang w:val="en-US"/>
        </w:rPr>
        <w:t>(or 21) in the ITT population; LOCF</w:t>
      </w:r>
      <w:r w:rsidRPr="00BE60EB">
        <w:rPr>
          <w:rFonts w:ascii="Arial" w:hAnsi="Arial" w:cs="Arial"/>
          <w:sz w:val="22"/>
          <w:szCs w:val="22"/>
          <w:lang w:val="en-US"/>
        </w:rPr>
        <w:t xml:space="preserve">. Wei-Lachin pooling procedure (MERT), effect size: </w:t>
      </w:r>
      <w:r>
        <w:rPr>
          <w:rFonts w:ascii="Arial" w:hAnsi="Arial" w:cs="Arial"/>
          <w:sz w:val="22"/>
          <w:szCs w:val="22"/>
          <w:lang w:val="en-US"/>
        </w:rPr>
        <w:t>Rate Difference</w:t>
      </w:r>
      <w:r w:rsidRPr="00BE60EB">
        <w:rPr>
          <w:rFonts w:ascii="Arial" w:hAnsi="Arial" w:cs="Arial"/>
          <w:sz w:val="22"/>
          <w:szCs w:val="22"/>
          <w:lang w:val="en-US"/>
        </w:rPr>
        <w:t xml:space="preserve"> (</w:t>
      </w:r>
      <w:r>
        <w:rPr>
          <w:rFonts w:ascii="Arial" w:hAnsi="Arial" w:cs="Arial"/>
          <w:sz w:val="22"/>
          <w:szCs w:val="22"/>
          <w:lang w:val="en-US"/>
        </w:rPr>
        <w:t>RD</w:t>
      </w:r>
      <w:r w:rsidRPr="00BE60EB">
        <w:rPr>
          <w:rFonts w:ascii="Arial" w:hAnsi="Arial" w:cs="Arial"/>
          <w:sz w:val="22"/>
          <w:szCs w:val="22"/>
          <w:lang w:val="en-US"/>
        </w:rPr>
        <w:t>)</w:t>
      </w:r>
      <w:r>
        <w:rPr>
          <w:rFonts w:ascii="Arial" w:hAnsi="Arial" w:cs="Arial"/>
          <w:sz w:val="22"/>
          <w:szCs w:val="22"/>
          <w:lang w:val="en-US"/>
        </w:rPr>
        <w:t>.</w:t>
      </w:r>
    </w:p>
    <w:p w:rsidR="00FC4F49" w:rsidRPr="002022B2" w:rsidRDefault="00FC4F49" w:rsidP="00FC4F49">
      <w:pPr>
        <w:rPr>
          <w:rFonts w:ascii="Arial" w:hAnsi="Arial" w:cs="Arial"/>
          <w:sz w:val="24"/>
          <w:szCs w:val="24"/>
          <w:lang w:val="en-US"/>
        </w:rPr>
      </w:pPr>
    </w:p>
    <w:p w:rsidR="00FC4F49" w:rsidRPr="0083014A" w:rsidRDefault="00FC4F49" w:rsidP="00FC4F49">
      <w:pPr>
        <w:rPr>
          <w:rFonts w:ascii="Arial" w:hAnsi="Arial" w:cs="Arial"/>
          <w:color w:val="000000" w:themeColor="text1"/>
          <w:lang w:val="en-US"/>
        </w:rPr>
      </w:pPr>
      <w:r w:rsidRPr="0083014A">
        <w:rPr>
          <w:rFonts w:ascii="Arial" w:hAnsi="Arial" w:cs="Arial"/>
          <w:color w:val="000000" w:themeColor="text1"/>
          <w:lang w:val="en-US"/>
        </w:rPr>
        <w:br w:type="page"/>
      </w:r>
    </w:p>
    <w:p w:rsidR="00FC4F49" w:rsidRDefault="00FC4F49" w:rsidP="00FC4F49">
      <w:pPr>
        <w:rPr>
          <w:rFonts w:ascii="Arial" w:hAnsi="Arial" w:cs="Arial"/>
          <w:sz w:val="24"/>
          <w:szCs w:val="24"/>
          <w:lang w:val="en-US"/>
        </w:rPr>
      </w:pPr>
    </w:p>
    <w:p w:rsidR="00FC4F49" w:rsidRDefault="00FC4F49" w:rsidP="00FC4F49">
      <w:pPr>
        <w:spacing w:afterLines="120" w:after="288" w:line="288" w:lineRule="auto"/>
        <w:jc w:val="both"/>
        <w:rPr>
          <w:rFonts w:ascii="Arial" w:hAnsi="Arial" w:cs="Arial"/>
          <w:sz w:val="24"/>
          <w:szCs w:val="24"/>
          <w:lang w:val="en-US"/>
        </w:rPr>
      </w:pPr>
      <w:r>
        <w:rPr>
          <w:rFonts w:ascii="Arial" w:hAnsi="Arial" w:cs="Arial"/>
          <w:noProof/>
          <w:sz w:val="24"/>
          <w:szCs w:val="24"/>
          <w:lang w:val="en-US" w:eastAsia="en-US"/>
        </w:rPr>
        <w:drawing>
          <wp:inline distT="0" distB="0" distL="0" distR="0" wp14:anchorId="12A9A543" wp14:editId="1135A394">
            <wp:extent cx="5939790" cy="3686995"/>
            <wp:effectExtent l="19050" t="0" r="3810" b="0"/>
            <wp:docPr id="298" name="Bild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0" cstate="print"/>
                    <a:srcRect/>
                    <a:stretch>
                      <a:fillRect/>
                    </a:stretch>
                  </pic:blipFill>
                  <pic:spPr bwMode="auto">
                    <a:xfrm>
                      <a:off x="0" y="0"/>
                      <a:ext cx="5939790" cy="3686995"/>
                    </a:xfrm>
                    <a:prstGeom prst="rect">
                      <a:avLst/>
                    </a:prstGeom>
                    <a:noFill/>
                    <a:ln w="9525">
                      <a:noFill/>
                      <a:miter lim="800000"/>
                      <a:headEnd/>
                      <a:tailEnd/>
                    </a:ln>
                  </pic:spPr>
                </pic:pic>
              </a:graphicData>
            </a:graphic>
          </wp:inline>
        </w:drawing>
      </w:r>
    </w:p>
    <w:p w:rsidR="00FC4F49" w:rsidRPr="00BE60EB" w:rsidRDefault="00FC4F49" w:rsidP="00FC4F49">
      <w:pPr>
        <w:rPr>
          <w:rFonts w:ascii="Arial" w:hAnsi="Arial" w:cs="Arial"/>
          <w:sz w:val="22"/>
          <w:szCs w:val="22"/>
          <w:lang w:val="en-US"/>
        </w:rPr>
      </w:pPr>
      <w:r w:rsidRPr="00BE60EB">
        <w:rPr>
          <w:rFonts w:ascii="Arial" w:hAnsi="Arial" w:cs="Arial"/>
          <w:b/>
          <w:sz w:val="22"/>
          <w:szCs w:val="22"/>
          <w:lang w:val="en-US"/>
        </w:rPr>
        <w:t xml:space="preserve">Figure </w:t>
      </w:r>
      <w:r>
        <w:rPr>
          <w:rFonts w:ascii="Arial" w:hAnsi="Arial" w:cs="Arial"/>
          <w:b/>
          <w:sz w:val="22"/>
          <w:szCs w:val="22"/>
          <w:lang w:val="en-US"/>
        </w:rPr>
        <w:t>X4</w:t>
      </w:r>
      <w:r w:rsidRPr="00BE60EB">
        <w:rPr>
          <w:rFonts w:ascii="Arial" w:hAnsi="Arial" w:cs="Arial"/>
          <w:b/>
          <w:sz w:val="22"/>
          <w:szCs w:val="22"/>
          <w:lang w:val="en-US"/>
        </w:rPr>
        <w:t xml:space="preserve">. </w:t>
      </w:r>
      <w:r w:rsidRPr="00BE60EB">
        <w:rPr>
          <w:rFonts w:ascii="Arial" w:hAnsi="Arial" w:cs="Arial"/>
          <w:sz w:val="22"/>
          <w:szCs w:val="22"/>
          <w:lang w:val="en-US"/>
        </w:rPr>
        <w:t>Meta-</w:t>
      </w:r>
      <w:r>
        <w:rPr>
          <w:rFonts w:ascii="Arial" w:hAnsi="Arial" w:cs="Arial"/>
          <w:sz w:val="22"/>
          <w:szCs w:val="22"/>
          <w:lang w:val="en-US"/>
        </w:rPr>
        <w:t>a</w:t>
      </w:r>
      <w:r w:rsidRPr="00BE60EB">
        <w:rPr>
          <w:rFonts w:ascii="Arial" w:hAnsi="Arial" w:cs="Arial"/>
          <w:sz w:val="22"/>
          <w:szCs w:val="22"/>
          <w:lang w:val="en-US"/>
        </w:rPr>
        <w:t xml:space="preserve">nalysis </w:t>
      </w:r>
      <w:r>
        <w:rPr>
          <w:rFonts w:ascii="Arial" w:hAnsi="Arial" w:cs="Arial"/>
          <w:sz w:val="22"/>
          <w:szCs w:val="22"/>
          <w:lang w:val="en-US"/>
        </w:rPr>
        <w:t>of NIHSS changes from baseline. C</w:t>
      </w:r>
      <w:r w:rsidRPr="00BE60EB">
        <w:rPr>
          <w:rFonts w:ascii="Arial" w:hAnsi="Arial" w:cs="Arial"/>
          <w:sz w:val="22"/>
          <w:szCs w:val="22"/>
          <w:lang w:val="en-US"/>
        </w:rPr>
        <w:t xml:space="preserve">omparison of Cerebrolysin (30 ml/day) versus placebo at day </w:t>
      </w:r>
      <w:r>
        <w:rPr>
          <w:rFonts w:ascii="Arial" w:hAnsi="Arial" w:cs="Arial"/>
          <w:sz w:val="22"/>
          <w:szCs w:val="22"/>
          <w:lang w:val="en-US"/>
        </w:rPr>
        <w:t>30</w:t>
      </w:r>
      <w:r w:rsidRPr="00BE60EB">
        <w:rPr>
          <w:rFonts w:ascii="Arial" w:hAnsi="Arial" w:cs="Arial"/>
          <w:sz w:val="22"/>
          <w:szCs w:val="22"/>
          <w:lang w:val="en-US"/>
        </w:rPr>
        <w:t xml:space="preserve"> </w:t>
      </w:r>
      <w:r>
        <w:rPr>
          <w:rFonts w:ascii="Arial" w:hAnsi="Arial" w:cs="Arial"/>
          <w:sz w:val="22"/>
          <w:szCs w:val="22"/>
          <w:lang w:val="en-US"/>
        </w:rPr>
        <w:t>(or 21) in the ITT population; LOCF</w:t>
      </w:r>
      <w:r w:rsidRPr="00BE60EB">
        <w:rPr>
          <w:rFonts w:ascii="Arial" w:hAnsi="Arial" w:cs="Arial"/>
          <w:sz w:val="22"/>
          <w:szCs w:val="22"/>
          <w:lang w:val="en-US"/>
        </w:rPr>
        <w:t xml:space="preserve">. </w:t>
      </w:r>
      <w:r>
        <w:rPr>
          <w:rFonts w:ascii="Arial" w:hAnsi="Arial" w:cs="Arial"/>
          <w:sz w:val="22"/>
          <w:szCs w:val="22"/>
          <w:lang w:val="en-US"/>
        </w:rPr>
        <w:t>‘Classic’ fixed effect and random effects analysis</w:t>
      </w:r>
      <w:r w:rsidRPr="00BE60EB">
        <w:rPr>
          <w:rFonts w:ascii="Arial" w:hAnsi="Arial" w:cs="Arial"/>
          <w:sz w:val="22"/>
          <w:szCs w:val="22"/>
          <w:lang w:val="en-US"/>
        </w:rPr>
        <w:t>,</w:t>
      </w:r>
      <w:r>
        <w:rPr>
          <w:rFonts w:ascii="Arial" w:hAnsi="Arial" w:cs="Arial"/>
          <w:sz w:val="22"/>
          <w:szCs w:val="22"/>
          <w:lang w:val="en-US"/>
        </w:rPr>
        <w:t xml:space="preserve"> effect size: Mann-Whitney (MW)</w:t>
      </w:r>
      <w:r w:rsidRPr="00BE60EB">
        <w:rPr>
          <w:rFonts w:ascii="Arial" w:hAnsi="Arial" w:cs="Arial"/>
          <w:sz w:val="22"/>
          <w:szCs w:val="22"/>
          <w:lang w:val="en-US"/>
        </w:rPr>
        <w:t>.</w:t>
      </w:r>
    </w:p>
    <w:p w:rsidR="00FC4F49" w:rsidRDefault="00FC4F49" w:rsidP="00FC4F49">
      <w:pPr>
        <w:spacing w:afterLines="120" w:after="288" w:line="288" w:lineRule="auto"/>
        <w:jc w:val="center"/>
        <w:rPr>
          <w:rFonts w:ascii="Arial" w:hAnsi="Arial" w:cs="Arial"/>
          <w:sz w:val="24"/>
          <w:szCs w:val="24"/>
          <w:lang w:val="en-US"/>
        </w:rPr>
      </w:pPr>
    </w:p>
    <w:p w:rsidR="00FC4F49" w:rsidRDefault="00FC4F49" w:rsidP="00FC4F49">
      <w:pPr>
        <w:jc w:val="both"/>
        <w:rPr>
          <w:rFonts w:ascii="Arial" w:hAnsi="Arial" w:cs="Arial"/>
          <w:sz w:val="24"/>
          <w:szCs w:val="24"/>
          <w:lang w:val="en-US"/>
        </w:rPr>
      </w:pPr>
      <w:r>
        <w:rPr>
          <w:rFonts w:ascii="Arial" w:hAnsi="Arial" w:cs="Arial"/>
          <w:sz w:val="24"/>
          <w:szCs w:val="24"/>
          <w:lang w:val="en-US"/>
        </w:rPr>
        <w:br w:type="page"/>
      </w:r>
    </w:p>
    <w:p w:rsidR="00FC4F49" w:rsidRDefault="00FC4F49" w:rsidP="00FC4F49">
      <w:pPr>
        <w:rPr>
          <w:rFonts w:ascii="Arial" w:hAnsi="Arial" w:cs="Arial"/>
          <w:sz w:val="24"/>
          <w:szCs w:val="24"/>
          <w:lang w:val="en-US"/>
        </w:rPr>
      </w:pPr>
      <w:r>
        <w:rPr>
          <w:rFonts w:ascii="Arial" w:hAnsi="Arial" w:cs="Arial"/>
          <w:sz w:val="24"/>
          <w:szCs w:val="24"/>
          <w:lang w:val="en-US"/>
        </w:rPr>
        <w:lastRenderedPageBreak/>
        <w:t xml:space="preserve">       </w:t>
      </w:r>
      <w:r>
        <w:rPr>
          <w:rFonts w:ascii="Arial" w:hAnsi="Arial" w:cs="Arial"/>
          <w:noProof/>
          <w:sz w:val="24"/>
          <w:szCs w:val="24"/>
          <w:lang w:val="en-US" w:eastAsia="en-US"/>
        </w:rPr>
        <w:drawing>
          <wp:inline distT="0" distB="0" distL="0" distR="0" wp14:anchorId="51D12CFF" wp14:editId="60B8105F">
            <wp:extent cx="2087293" cy="7234813"/>
            <wp:effectExtent l="19050" t="0" r="8207" b="0"/>
            <wp:docPr id="305" name="Bild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preferRelativeResize="0">
                      <a:picLocks noChangeAspect="1" noChangeArrowheads="1"/>
                    </pic:cNvPicPr>
                  </pic:nvPicPr>
                  <pic:blipFill>
                    <a:blip r:embed="rId11" cstate="print"/>
                    <a:srcRect/>
                    <a:stretch>
                      <a:fillRect/>
                    </a:stretch>
                  </pic:blipFill>
                  <pic:spPr bwMode="auto">
                    <a:xfrm>
                      <a:off x="0" y="0"/>
                      <a:ext cx="2087293" cy="7234813"/>
                    </a:xfrm>
                    <a:prstGeom prst="rect">
                      <a:avLst/>
                    </a:prstGeom>
                    <a:noFill/>
                    <a:ln w="9525">
                      <a:noFill/>
                      <a:miter lim="800000"/>
                      <a:headEnd/>
                      <a:tailEnd/>
                    </a:ln>
                  </pic:spPr>
                </pic:pic>
              </a:graphicData>
            </a:graphic>
          </wp:inline>
        </w:drawing>
      </w:r>
      <w:r>
        <w:rPr>
          <w:rFonts w:ascii="Arial" w:hAnsi="Arial" w:cs="Arial"/>
          <w:sz w:val="24"/>
          <w:szCs w:val="24"/>
          <w:lang w:val="en-US"/>
        </w:rPr>
        <w:t xml:space="preserve">                   </w:t>
      </w:r>
      <w:r w:rsidRPr="009B17D7">
        <w:rPr>
          <w:rFonts w:ascii="Arial" w:hAnsi="Arial" w:cs="Arial"/>
          <w:sz w:val="24"/>
          <w:szCs w:val="24"/>
          <w:lang w:val="en-US"/>
        </w:rPr>
        <w:t xml:space="preserve"> </w:t>
      </w:r>
      <w:r>
        <w:rPr>
          <w:rFonts w:ascii="Arial" w:hAnsi="Arial" w:cs="Arial"/>
          <w:noProof/>
          <w:sz w:val="24"/>
          <w:szCs w:val="24"/>
          <w:lang w:val="en-US" w:eastAsia="en-US"/>
        </w:rPr>
        <w:drawing>
          <wp:inline distT="0" distB="0" distL="0" distR="0" wp14:anchorId="1058EF45" wp14:editId="3EDFECFA">
            <wp:extent cx="1791383" cy="7365844"/>
            <wp:effectExtent l="19050" t="0" r="0" b="0"/>
            <wp:docPr id="311" name="Bild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preferRelativeResize="0">
                      <a:picLocks noChangeAspect="1" noChangeArrowheads="1"/>
                    </pic:cNvPicPr>
                  </pic:nvPicPr>
                  <pic:blipFill>
                    <a:blip r:embed="rId12" cstate="print"/>
                    <a:srcRect/>
                    <a:stretch>
                      <a:fillRect/>
                    </a:stretch>
                  </pic:blipFill>
                  <pic:spPr bwMode="auto">
                    <a:xfrm>
                      <a:off x="0" y="0"/>
                      <a:ext cx="1791383" cy="7365844"/>
                    </a:xfrm>
                    <a:prstGeom prst="rect">
                      <a:avLst/>
                    </a:prstGeom>
                    <a:noFill/>
                    <a:ln w="9525">
                      <a:noFill/>
                      <a:miter lim="800000"/>
                      <a:headEnd/>
                      <a:tailEnd/>
                    </a:ln>
                  </pic:spPr>
                </pic:pic>
              </a:graphicData>
            </a:graphic>
          </wp:inline>
        </w:drawing>
      </w:r>
    </w:p>
    <w:p w:rsidR="00FC4F49" w:rsidRDefault="00FC4F49" w:rsidP="00FC4F49">
      <w:pPr>
        <w:rPr>
          <w:rFonts w:ascii="Arial" w:hAnsi="Arial" w:cs="Arial"/>
          <w:sz w:val="24"/>
          <w:szCs w:val="24"/>
          <w:lang w:val="en-US"/>
        </w:rPr>
      </w:pPr>
    </w:p>
    <w:p w:rsidR="00FC4F49" w:rsidRDefault="00FC4F49" w:rsidP="00FC4F49">
      <w:pPr>
        <w:rPr>
          <w:rFonts w:ascii="Arial" w:hAnsi="Arial" w:cs="Arial"/>
          <w:sz w:val="22"/>
          <w:szCs w:val="22"/>
          <w:lang w:val="en-US"/>
        </w:rPr>
      </w:pPr>
      <w:r w:rsidRPr="00BE60EB">
        <w:rPr>
          <w:rFonts w:ascii="Arial" w:hAnsi="Arial" w:cs="Arial"/>
          <w:b/>
          <w:sz w:val="22"/>
          <w:szCs w:val="22"/>
          <w:lang w:val="en-US"/>
        </w:rPr>
        <w:t xml:space="preserve">Figure </w:t>
      </w:r>
      <w:r>
        <w:rPr>
          <w:rFonts w:ascii="Arial" w:hAnsi="Arial" w:cs="Arial"/>
          <w:b/>
          <w:sz w:val="22"/>
          <w:szCs w:val="22"/>
          <w:lang w:val="en-US"/>
        </w:rPr>
        <w:t>X5</w:t>
      </w:r>
      <w:r w:rsidRPr="00BE60EB">
        <w:rPr>
          <w:rFonts w:ascii="Arial" w:hAnsi="Arial" w:cs="Arial"/>
          <w:b/>
          <w:sz w:val="22"/>
          <w:szCs w:val="22"/>
          <w:lang w:val="en-US"/>
        </w:rPr>
        <w:t xml:space="preserve">. </w:t>
      </w:r>
      <w:r w:rsidRPr="009B17D7">
        <w:rPr>
          <w:rFonts w:ascii="Arial" w:hAnsi="Arial" w:cs="Arial"/>
          <w:sz w:val="22"/>
          <w:szCs w:val="22"/>
          <w:lang w:val="en-US"/>
        </w:rPr>
        <w:t xml:space="preserve">Leave-One-Out </w:t>
      </w:r>
      <w:r>
        <w:rPr>
          <w:rFonts w:ascii="Arial" w:hAnsi="Arial" w:cs="Arial"/>
          <w:sz w:val="22"/>
          <w:szCs w:val="22"/>
          <w:lang w:val="en-US"/>
        </w:rPr>
        <w:t>m</w:t>
      </w:r>
      <w:r w:rsidRPr="009B17D7">
        <w:rPr>
          <w:rFonts w:ascii="Arial" w:hAnsi="Arial" w:cs="Arial"/>
          <w:sz w:val="22"/>
          <w:szCs w:val="22"/>
          <w:lang w:val="en-US"/>
        </w:rPr>
        <w:t>eta</w:t>
      </w:r>
      <w:r w:rsidRPr="00BE60EB">
        <w:rPr>
          <w:rFonts w:ascii="Arial" w:hAnsi="Arial" w:cs="Arial"/>
          <w:sz w:val="22"/>
          <w:szCs w:val="22"/>
          <w:lang w:val="en-US"/>
        </w:rPr>
        <w:t>-</w:t>
      </w:r>
      <w:r>
        <w:rPr>
          <w:rFonts w:ascii="Arial" w:hAnsi="Arial" w:cs="Arial"/>
          <w:sz w:val="22"/>
          <w:szCs w:val="22"/>
          <w:lang w:val="en-US"/>
        </w:rPr>
        <w:t>a</w:t>
      </w:r>
      <w:r w:rsidRPr="00BE60EB">
        <w:rPr>
          <w:rFonts w:ascii="Arial" w:hAnsi="Arial" w:cs="Arial"/>
          <w:sz w:val="22"/>
          <w:szCs w:val="22"/>
          <w:lang w:val="en-US"/>
        </w:rPr>
        <w:t xml:space="preserve">nalysis </w:t>
      </w:r>
      <w:r>
        <w:rPr>
          <w:rFonts w:ascii="Arial" w:hAnsi="Arial" w:cs="Arial"/>
          <w:sz w:val="22"/>
          <w:szCs w:val="22"/>
          <w:lang w:val="en-US"/>
        </w:rPr>
        <w:t>of NIHSS changes from baseline. C</w:t>
      </w:r>
      <w:r w:rsidRPr="00BE60EB">
        <w:rPr>
          <w:rFonts w:ascii="Arial" w:hAnsi="Arial" w:cs="Arial"/>
          <w:sz w:val="22"/>
          <w:szCs w:val="22"/>
          <w:lang w:val="en-US"/>
        </w:rPr>
        <w:t xml:space="preserve">omparison of Cerebrolysin (30 ml/day) versus placebo at day </w:t>
      </w:r>
      <w:r>
        <w:rPr>
          <w:rFonts w:ascii="Arial" w:hAnsi="Arial" w:cs="Arial"/>
          <w:sz w:val="22"/>
          <w:szCs w:val="22"/>
          <w:lang w:val="en-US"/>
        </w:rPr>
        <w:t>30</w:t>
      </w:r>
      <w:r w:rsidRPr="00BE60EB">
        <w:rPr>
          <w:rFonts w:ascii="Arial" w:hAnsi="Arial" w:cs="Arial"/>
          <w:sz w:val="22"/>
          <w:szCs w:val="22"/>
          <w:lang w:val="en-US"/>
        </w:rPr>
        <w:t xml:space="preserve"> </w:t>
      </w:r>
      <w:r>
        <w:rPr>
          <w:rFonts w:ascii="Arial" w:hAnsi="Arial" w:cs="Arial"/>
          <w:sz w:val="22"/>
          <w:szCs w:val="22"/>
          <w:lang w:val="en-US"/>
        </w:rPr>
        <w:t>(or 21) in the ITT population; LOCF</w:t>
      </w:r>
      <w:r w:rsidRPr="00BE60EB">
        <w:rPr>
          <w:rFonts w:ascii="Arial" w:hAnsi="Arial" w:cs="Arial"/>
          <w:sz w:val="22"/>
          <w:szCs w:val="22"/>
          <w:lang w:val="en-US"/>
        </w:rPr>
        <w:t xml:space="preserve">. </w:t>
      </w:r>
      <w:r>
        <w:rPr>
          <w:rFonts w:ascii="Arial" w:hAnsi="Arial" w:cs="Arial"/>
          <w:sz w:val="22"/>
          <w:szCs w:val="22"/>
          <w:lang w:val="en-US"/>
        </w:rPr>
        <w:t xml:space="preserve">Left panel: </w:t>
      </w:r>
      <w:r w:rsidRPr="00BE60EB">
        <w:rPr>
          <w:rFonts w:ascii="Arial" w:hAnsi="Arial" w:cs="Arial"/>
          <w:sz w:val="22"/>
          <w:szCs w:val="22"/>
          <w:lang w:val="en-US"/>
        </w:rPr>
        <w:t>Wei-Lachin pooling procedure (MERT), effect size: Mann-Whitney (MW).</w:t>
      </w:r>
      <w:r>
        <w:rPr>
          <w:rFonts w:ascii="Arial" w:hAnsi="Arial" w:cs="Arial"/>
          <w:sz w:val="22"/>
          <w:szCs w:val="22"/>
          <w:lang w:val="en-US"/>
        </w:rPr>
        <w:t xml:space="preserve"> Right panel: ‘Classic’ fixed effect and random effects analysis</w:t>
      </w:r>
      <w:r w:rsidRPr="00BE60EB">
        <w:rPr>
          <w:rFonts w:ascii="Arial" w:hAnsi="Arial" w:cs="Arial"/>
          <w:sz w:val="22"/>
          <w:szCs w:val="22"/>
          <w:lang w:val="en-US"/>
        </w:rPr>
        <w:t>,</w:t>
      </w:r>
      <w:r>
        <w:rPr>
          <w:rFonts w:ascii="Arial" w:hAnsi="Arial" w:cs="Arial"/>
          <w:sz w:val="22"/>
          <w:szCs w:val="22"/>
          <w:lang w:val="en-US"/>
        </w:rPr>
        <w:t xml:space="preserve"> effect size: Mann-Whitney (MW)</w:t>
      </w:r>
      <w:r w:rsidRPr="00BE60EB">
        <w:rPr>
          <w:rFonts w:ascii="Arial" w:hAnsi="Arial" w:cs="Arial"/>
          <w:sz w:val="22"/>
          <w:szCs w:val="22"/>
          <w:lang w:val="en-US"/>
        </w:rPr>
        <w:t>.</w:t>
      </w:r>
    </w:p>
    <w:p w:rsidR="00FC4F49" w:rsidRDefault="00FC4F49" w:rsidP="00FC4F49">
      <w:pPr>
        <w:rPr>
          <w:rFonts w:ascii="Arial" w:hAnsi="Arial" w:cs="Arial"/>
          <w:sz w:val="22"/>
          <w:szCs w:val="22"/>
          <w:lang w:val="en-US"/>
        </w:rPr>
      </w:pPr>
    </w:p>
    <w:p w:rsidR="00FC4F49" w:rsidRDefault="00FC4F49" w:rsidP="00FC4F49">
      <w:pPr>
        <w:pStyle w:val="Publication12pt"/>
        <w:spacing w:line="240" w:lineRule="auto"/>
        <w:jc w:val="left"/>
        <w:rPr>
          <w:b/>
          <w:sz w:val="20"/>
          <w:szCs w:val="20"/>
        </w:rPr>
      </w:pPr>
      <w:r>
        <w:rPr>
          <w:b/>
          <w:sz w:val="20"/>
          <w:szCs w:val="20"/>
        </w:rPr>
        <w:t xml:space="preserve">     (A) </w:t>
      </w:r>
      <w:r w:rsidRPr="009E126C">
        <w:rPr>
          <w:b/>
          <w:sz w:val="20"/>
          <w:szCs w:val="20"/>
        </w:rPr>
        <w:t>Predomina</w:t>
      </w:r>
      <w:r>
        <w:rPr>
          <w:b/>
          <w:sz w:val="20"/>
          <w:szCs w:val="20"/>
        </w:rPr>
        <w:t>n</w:t>
      </w:r>
      <w:r w:rsidRPr="009E126C">
        <w:rPr>
          <w:b/>
          <w:sz w:val="20"/>
          <w:szCs w:val="20"/>
        </w:rPr>
        <w:t xml:space="preserve">tly ‘mild’ </w:t>
      </w:r>
      <w:r>
        <w:rPr>
          <w:b/>
          <w:sz w:val="20"/>
          <w:szCs w:val="20"/>
        </w:rPr>
        <w:t xml:space="preserve">initial stroke </w:t>
      </w:r>
      <w:r w:rsidRPr="009E126C">
        <w:rPr>
          <w:b/>
          <w:sz w:val="20"/>
          <w:szCs w:val="20"/>
        </w:rPr>
        <w:t>severity</w:t>
      </w:r>
    </w:p>
    <w:p w:rsidR="00FC4F49" w:rsidRDefault="00FC4F49" w:rsidP="00FC4F49">
      <w:pPr>
        <w:pStyle w:val="Publication12pt"/>
        <w:spacing w:line="240" w:lineRule="auto"/>
        <w:jc w:val="left"/>
        <w:rPr>
          <w:b/>
          <w:sz w:val="20"/>
          <w:szCs w:val="20"/>
        </w:rPr>
      </w:pPr>
    </w:p>
    <w:p w:rsidR="00FC4F49" w:rsidRDefault="00FC4F49" w:rsidP="00FC4F49">
      <w:pPr>
        <w:pStyle w:val="Publication12pt"/>
        <w:spacing w:line="240" w:lineRule="auto"/>
        <w:jc w:val="left"/>
        <w:rPr>
          <w:b/>
          <w:sz w:val="20"/>
          <w:szCs w:val="20"/>
        </w:rPr>
      </w:pPr>
      <w:r>
        <w:rPr>
          <w:b/>
          <w:noProof/>
          <w:sz w:val="20"/>
          <w:szCs w:val="20"/>
          <w:lang w:val="en-US" w:eastAsia="en-US"/>
        </w:rPr>
        <w:drawing>
          <wp:inline distT="0" distB="0" distL="0" distR="0" wp14:anchorId="2F931487" wp14:editId="3887537D">
            <wp:extent cx="5939790" cy="2968297"/>
            <wp:effectExtent l="19050" t="0" r="3810" b="0"/>
            <wp:docPr id="320" name="Bild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3" cstate="print"/>
                    <a:srcRect/>
                    <a:stretch>
                      <a:fillRect/>
                    </a:stretch>
                  </pic:blipFill>
                  <pic:spPr bwMode="auto">
                    <a:xfrm>
                      <a:off x="0" y="0"/>
                      <a:ext cx="5939790" cy="2968297"/>
                    </a:xfrm>
                    <a:prstGeom prst="rect">
                      <a:avLst/>
                    </a:prstGeom>
                    <a:noFill/>
                    <a:ln w="9525">
                      <a:noFill/>
                      <a:miter lim="800000"/>
                      <a:headEnd/>
                      <a:tailEnd/>
                    </a:ln>
                  </pic:spPr>
                </pic:pic>
              </a:graphicData>
            </a:graphic>
          </wp:inline>
        </w:drawing>
      </w:r>
    </w:p>
    <w:p w:rsidR="00FC4F49" w:rsidRDefault="00FC4F49" w:rsidP="00FC4F49">
      <w:pPr>
        <w:pStyle w:val="Publication12pt"/>
        <w:spacing w:line="240" w:lineRule="auto"/>
        <w:jc w:val="left"/>
        <w:rPr>
          <w:b/>
          <w:noProof/>
          <w:sz w:val="20"/>
          <w:szCs w:val="20"/>
          <w:lang w:val="en-US"/>
        </w:rPr>
      </w:pPr>
      <w:r w:rsidRPr="009E126C">
        <w:rPr>
          <w:b/>
          <w:sz w:val="20"/>
          <w:szCs w:val="20"/>
          <w:lang w:val="en-US"/>
        </w:rPr>
        <w:t xml:space="preserve">    </w:t>
      </w:r>
      <w:r w:rsidRPr="009E126C">
        <w:rPr>
          <w:b/>
          <w:sz w:val="20"/>
          <w:szCs w:val="20"/>
        </w:rPr>
        <w:t xml:space="preserve"> (B) Predomina</w:t>
      </w:r>
      <w:r>
        <w:rPr>
          <w:b/>
          <w:sz w:val="20"/>
          <w:szCs w:val="20"/>
        </w:rPr>
        <w:t>n</w:t>
      </w:r>
      <w:r w:rsidRPr="009E126C">
        <w:rPr>
          <w:b/>
          <w:sz w:val="20"/>
          <w:szCs w:val="20"/>
        </w:rPr>
        <w:t xml:space="preserve">tly ‘moderate-severe’ </w:t>
      </w:r>
      <w:r>
        <w:rPr>
          <w:b/>
          <w:sz w:val="20"/>
          <w:szCs w:val="20"/>
        </w:rPr>
        <w:t>initial</w:t>
      </w:r>
      <w:r w:rsidRPr="009E126C">
        <w:rPr>
          <w:b/>
          <w:sz w:val="20"/>
          <w:szCs w:val="20"/>
        </w:rPr>
        <w:t xml:space="preserve"> </w:t>
      </w:r>
      <w:r>
        <w:rPr>
          <w:b/>
          <w:sz w:val="20"/>
          <w:szCs w:val="20"/>
        </w:rPr>
        <w:t xml:space="preserve">stroke </w:t>
      </w:r>
      <w:r w:rsidRPr="009E126C">
        <w:rPr>
          <w:b/>
          <w:sz w:val="20"/>
          <w:szCs w:val="20"/>
        </w:rPr>
        <w:t>severity</w:t>
      </w:r>
      <w:r w:rsidRPr="009E126C">
        <w:rPr>
          <w:b/>
          <w:noProof/>
          <w:sz w:val="20"/>
          <w:szCs w:val="20"/>
          <w:lang w:val="en-US"/>
        </w:rPr>
        <w:t xml:space="preserve"> </w:t>
      </w:r>
    </w:p>
    <w:p w:rsidR="00FC4F49" w:rsidRPr="00A620C5" w:rsidRDefault="00FC4F49" w:rsidP="00FC4F49">
      <w:pPr>
        <w:pStyle w:val="Publication12pt"/>
        <w:spacing w:line="240" w:lineRule="auto"/>
        <w:jc w:val="left"/>
        <w:rPr>
          <w:lang w:val="en-US"/>
        </w:rPr>
      </w:pPr>
      <w:r>
        <w:rPr>
          <w:noProof/>
          <w:lang w:val="en-US" w:eastAsia="en-US"/>
        </w:rPr>
        <w:drawing>
          <wp:inline distT="0" distB="0" distL="0" distR="0" wp14:anchorId="3A9AB116" wp14:editId="5B886831">
            <wp:extent cx="5939790" cy="2806820"/>
            <wp:effectExtent l="19050" t="0" r="3810" b="0"/>
            <wp:docPr id="43"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5939790" cy="2806820"/>
                    </a:xfrm>
                    <a:prstGeom prst="rect">
                      <a:avLst/>
                    </a:prstGeom>
                    <a:noFill/>
                    <a:ln w="9525">
                      <a:noFill/>
                      <a:miter lim="800000"/>
                      <a:headEnd/>
                      <a:tailEnd/>
                    </a:ln>
                  </pic:spPr>
                </pic:pic>
              </a:graphicData>
            </a:graphic>
          </wp:inline>
        </w:drawing>
      </w:r>
    </w:p>
    <w:p w:rsidR="00FC4F49" w:rsidRPr="00C666E6" w:rsidRDefault="00FC4F49" w:rsidP="00FC4F49">
      <w:pPr>
        <w:pStyle w:val="Caption"/>
        <w:jc w:val="both"/>
        <w:rPr>
          <w:rFonts w:ascii="Arial" w:hAnsi="Arial" w:cs="Arial"/>
          <w:b w:val="0"/>
          <w:sz w:val="22"/>
          <w:szCs w:val="22"/>
          <w:lang w:val="en-US"/>
        </w:rPr>
      </w:pPr>
      <w:r w:rsidRPr="00D81EE7">
        <w:rPr>
          <w:rFonts w:ascii="Arial" w:hAnsi="Arial" w:cs="Arial"/>
          <w:sz w:val="22"/>
          <w:szCs w:val="22"/>
          <w:lang w:val="en-US"/>
        </w:rPr>
        <w:t xml:space="preserve">Figure </w:t>
      </w:r>
      <w:r>
        <w:rPr>
          <w:rFonts w:ascii="Arial" w:hAnsi="Arial" w:cs="Arial"/>
          <w:sz w:val="22"/>
          <w:szCs w:val="22"/>
          <w:lang w:val="en-US"/>
        </w:rPr>
        <w:t>X6</w:t>
      </w:r>
      <w:r w:rsidRPr="00D81EE7">
        <w:rPr>
          <w:rFonts w:ascii="Arial" w:hAnsi="Arial" w:cs="Arial"/>
          <w:sz w:val="22"/>
          <w:szCs w:val="22"/>
          <w:lang w:val="en-US"/>
        </w:rPr>
        <w:t>.</w:t>
      </w:r>
      <w:r w:rsidRPr="00D81EE7">
        <w:rPr>
          <w:rFonts w:ascii="Arial" w:hAnsi="Arial" w:cs="Arial"/>
          <w:b w:val="0"/>
          <w:sz w:val="22"/>
          <w:szCs w:val="22"/>
          <w:lang w:val="en-US"/>
        </w:rPr>
        <w:t xml:space="preserve"> </w:t>
      </w:r>
      <w:r w:rsidRPr="00C666E6">
        <w:rPr>
          <w:rFonts w:ascii="Arial" w:hAnsi="Arial" w:cs="Arial"/>
          <w:b w:val="0"/>
          <w:sz w:val="22"/>
          <w:szCs w:val="22"/>
          <w:lang w:val="en-US"/>
        </w:rPr>
        <w:t xml:space="preserve">Meta-analysis of </w:t>
      </w:r>
      <w:r>
        <w:rPr>
          <w:rFonts w:ascii="Arial" w:hAnsi="Arial" w:cs="Arial"/>
          <w:b w:val="0"/>
          <w:sz w:val="22"/>
          <w:szCs w:val="22"/>
          <w:lang w:val="en-US"/>
        </w:rPr>
        <w:t xml:space="preserve">early NIHSS </w:t>
      </w:r>
      <w:r w:rsidRPr="00C666E6">
        <w:rPr>
          <w:rFonts w:ascii="Arial" w:hAnsi="Arial" w:cs="Arial"/>
          <w:b w:val="0"/>
          <w:sz w:val="22"/>
          <w:szCs w:val="22"/>
          <w:lang w:val="en-US"/>
        </w:rPr>
        <w:t xml:space="preserve">changes </w:t>
      </w:r>
      <w:r>
        <w:rPr>
          <w:rFonts w:ascii="Arial" w:hAnsi="Arial" w:cs="Arial"/>
          <w:b w:val="0"/>
          <w:sz w:val="22"/>
          <w:szCs w:val="22"/>
          <w:lang w:val="en-US"/>
        </w:rPr>
        <w:t>in predominantly mild (A) and moderate-severe patients (B)</w:t>
      </w:r>
      <w:r w:rsidRPr="00C666E6">
        <w:rPr>
          <w:rFonts w:ascii="Arial" w:hAnsi="Arial" w:cs="Arial"/>
          <w:b w:val="0"/>
          <w:sz w:val="22"/>
          <w:szCs w:val="22"/>
          <w:lang w:val="en-US"/>
        </w:rPr>
        <w:t xml:space="preserve">. Comparison of Cerebrolysin (30 ml/day) </w:t>
      </w:r>
      <w:r>
        <w:rPr>
          <w:rFonts w:ascii="Arial" w:hAnsi="Arial" w:cs="Arial"/>
          <w:b w:val="0"/>
          <w:sz w:val="22"/>
          <w:szCs w:val="22"/>
          <w:lang w:val="en-US"/>
        </w:rPr>
        <w:t>at day 30 (or 21);</w:t>
      </w:r>
      <w:r w:rsidRPr="00C666E6">
        <w:rPr>
          <w:rFonts w:ascii="Arial" w:hAnsi="Arial" w:cs="Arial"/>
          <w:b w:val="0"/>
          <w:sz w:val="22"/>
          <w:szCs w:val="22"/>
          <w:lang w:val="en-US"/>
        </w:rPr>
        <w:t xml:space="preserve"> ITT; LOCF. </w:t>
      </w:r>
      <w:r w:rsidRPr="00A620C5">
        <w:rPr>
          <w:rFonts w:ascii="Arial" w:hAnsi="Arial" w:cs="Arial"/>
          <w:b w:val="0"/>
          <w:sz w:val="22"/>
          <w:szCs w:val="22"/>
          <w:lang w:val="en-US"/>
        </w:rPr>
        <w:t>‘Classic’ fixed effect and random effects analysis, effect size: Mann-Whitney (MW).</w:t>
      </w:r>
    </w:p>
    <w:p w:rsidR="00FC4F49" w:rsidRPr="00BE60EB" w:rsidRDefault="00FC4F49" w:rsidP="00FC4F49">
      <w:pPr>
        <w:rPr>
          <w:rFonts w:ascii="Arial" w:hAnsi="Arial" w:cs="Arial"/>
          <w:sz w:val="22"/>
          <w:szCs w:val="22"/>
          <w:lang w:val="en-US"/>
        </w:rPr>
      </w:pPr>
    </w:p>
    <w:p w:rsidR="00FC4F49" w:rsidRDefault="00FC4F49" w:rsidP="00FC4F49">
      <w:pPr>
        <w:spacing w:afterLines="120" w:after="288" w:line="288" w:lineRule="auto"/>
        <w:rPr>
          <w:rFonts w:ascii="Arial" w:hAnsi="Arial" w:cs="Arial"/>
          <w:sz w:val="24"/>
          <w:szCs w:val="24"/>
          <w:lang w:val="en-US"/>
        </w:rPr>
      </w:pPr>
    </w:p>
    <w:p w:rsidR="00FC4F49" w:rsidRDefault="00FC4F49" w:rsidP="00FC4F49">
      <w:pPr>
        <w:spacing w:afterLines="120" w:after="288" w:line="288" w:lineRule="auto"/>
        <w:rPr>
          <w:rFonts w:ascii="Arial" w:hAnsi="Arial" w:cs="Arial"/>
          <w:sz w:val="24"/>
          <w:szCs w:val="24"/>
          <w:lang w:val="en-US"/>
        </w:rPr>
      </w:pPr>
    </w:p>
    <w:p w:rsidR="00FC4F49" w:rsidRDefault="00FC4F49" w:rsidP="00FC4F49">
      <w:pPr>
        <w:spacing w:afterLines="120" w:after="288" w:line="288" w:lineRule="auto"/>
        <w:rPr>
          <w:rFonts w:ascii="Arial" w:hAnsi="Arial" w:cs="Arial"/>
          <w:sz w:val="24"/>
          <w:szCs w:val="24"/>
          <w:lang w:val="en-US"/>
        </w:rPr>
      </w:pPr>
    </w:p>
    <w:p w:rsidR="00FC4F49" w:rsidRDefault="00FC4F49" w:rsidP="00FC4F49">
      <w:pPr>
        <w:spacing w:afterLines="120" w:after="288" w:line="288" w:lineRule="auto"/>
        <w:jc w:val="both"/>
        <w:rPr>
          <w:rFonts w:ascii="Arial" w:hAnsi="Arial" w:cs="Arial"/>
          <w:sz w:val="24"/>
          <w:szCs w:val="24"/>
          <w:lang w:val="en-US"/>
        </w:rPr>
      </w:pPr>
    </w:p>
    <w:p w:rsidR="00FC4F49" w:rsidRDefault="00FC4F49" w:rsidP="00FC4F49">
      <w:pPr>
        <w:spacing w:afterLines="120" w:after="288" w:line="288" w:lineRule="auto"/>
        <w:jc w:val="both"/>
        <w:rPr>
          <w:rFonts w:ascii="Arial" w:hAnsi="Arial" w:cs="Arial"/>
          <w:sz w:val="24"/>
          <w:szCs w:val="24"/>
          <w:lang w:val="en-US"/>
        </w:rPr>
      </w:pPr>
      <w:r>
        <w:rPr>
          <w:rFonts w:ascii="Arial" w:hAnsi="Arial" w:cs="Arial"/>
          <w:noProof/>
          <w:sz w:val="24"/>
          <w:szCs w:val="24"/>
          <w:lang w:val="en-US" w:eastAsia="en-US"/>
        </w:rPr>
        <w:drawing>
          <wp:inline distT="0" distB="0" distL="0" distR="0" wp14:anchorId="1B11F96B" wp14:editId="1B9A3AA4">
            <wp:extent cx="5939790" cy="1989746"/>
            <wp:effectExtent l="19050" t="0" r="3810" b="0"/>
            <wp:docPr id="271" name="Bild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5" cstate="print"/>
                    <a:srcRect/>
                    <a:stretch>
                      <a:fillRect/>
                    </a:stretch>
                  </pic:blipFill>
                  <pic:spPr bwMode="auto">
                    <a:xfrm>
                      <a:off x="0" y="0"/>
                      <a:ext cx="5939790" cy="1989746"/>
                    </a:xfrm>
                    <a:prstGeom prst="rect">
                      <a:avLst/>
                    </a:prstGeom>
                    <a:noFill/>
                    <a:ln w="9525">
                      <a:noFill/>
                      <a:miter lim="800000"/>
                      <a:headEnd/>
                      <a:tailEnd/>
                    </a:ln>
                  </pic:spPr>
                </pic:pic>
              </a:graphicData>
            </a:graphic>
          </wp:inline>
        </w:drawing>
      </w:r>
    </w:p>
    <w:p w:rsidR="00FC4F49" w:rsidRDefault="00FC4F49" w:rsidP="00FC4F49">
      <w:pPr>
        <w:spacing w:afterLines="120" w:after="288" w:line="288" w:lineRule="auto"/>
        <w:jc w:val="both"/>
        <w:rPr>
          <w:rFonts w:ascii="Arial" w:hAnsi="Arial" w:cs="Arial"/>
          <w:sz w:val="24"/>
          <w:szCs w:val="24"/>
          <w:lang w:val="en-US"/>
        </w:rPr>
      </w:pPr>
      <w:r>
        <w:rPr>
          <w:rFonts w:ascii="Arial" w:hAnsi="Arial" w:cs="Arial"/>
          <w:noProof/>
          <w:sz w:val="24"/>
          <w:szCs w:val="24"/>
          <w:lang w:val="en-US" w:eastAsia="en-US"/>
        </w:rPr>
        <w:drawing>
          <wp:inline distT="0" distB="0" distL="0" distR="0" wp14:anchorId="06C864F9" wp14:editId="50D64B32">
            <wp:extent cx="5939790" cy="1978008"/>
            <wp:effectExtent l="19050" t="0" r="3810" b="0"/>
            <wp:docPr id="272" name="Bild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6" cstate="print"/>
                    <a:srcRect/>
                    <a:stretch>
                      <a:fillRect/>
                    </a:stretch>
                  </pic:blipFill>
                  <pic:spPr bwMode="auto">
                    <a:xfrm>
                      <a:off x="0" y="0"/>
                      <a:ext cx="5939790" cy="1978008"/>
                    </a:xfrm>
                    <a:prstGeom prst="rect">
                      <a:avLst/>
                    </a:prstGeom>
                    <a:noFill/>
                    <a:ln w="9525">
                      <a:noFill/>
                      <a:miter lim="800000"/>
                      <a:headEnd/>
                      <a:tailEnd/>
                    </a:ln>
                  </pic:spPr>
                </pic:pic>
              </a:graphicData>
            </a:graphic>
          </wp:inline>
        </w:drawing>
      </w:r>
    </w:p>
    <w:p w:rsidR="00FC4F49" w:rsidRPr="00BE60EB" w:rsidRDefault="00FC4F49" w:rsidP="00FC4F49">
      <w:pPr>
        <w:rPr>
          <w:rFonts w:ascii="Arial" w:hAnsi="Arial" w:cs="Arial"/>
          <w:sz w:val="22"/>
          <w:szCs w:val="22"/>
          <w:lang w:val="en-US"/>
        </w:rPr>
      </w:pPr>
      <w:r w:rsidRPr="00BE60EB">
        <w:rPr>
          <w:rFonts w:ascii="Arial" w:hAnsi="Arial" w:cs="Arial"/>
          <w:b/>
          <w:sz w:val="22"/>
          <w:szCs w:val="22"/>
          <w:lang w:val="en-US"/>
        </w:rPr>
        <w:t xml:space="preserve">Figure </w:t>
      </w:r>
      <w:r>
        <w:rPr>
          <w:rFonts w:ascii="Arial" w:hAnsi="Arial" w:cs="Arial"/>
          <w:b/>
          <w:sz w:val="22"/>
          <w:szCs w:val="22"/>
          <w:lang w:val="en-US"/>
        </w:rPr>
        <w:t>X7</w:t>
      </w:r>
      <w:r w:rsidRPr="00BE60EB">
        <w:rPr>
          <w:rFonts w:ascii="Arial" w:hAnsi="Arial" w:cs="Arial"/>
          <w:b/>
          <w:sz w:val="22"/>
          <w:szCs w:val="22"/>
          <w:lang w:val="en-US"/>
        </w:rPr>
        <w:t xml:space="preserve">. </w:t>
      </w:r>
      <w:r>
        <w:rPr>
          <w:rFonts w:ascii="Arial" w:hAnsi="Arial" w:cs="Arial"/>
          <w:sz w:val="22"/>
          <w:szCs w:val="22"/>
          <w:lang w:val="en-US"/>
        </w:rPr>
        <w:t>Deaths (all cause). C</w:t>
      </w:r>
      <w:r w:rsidRPr="00BE60EB">
        <w:rPr>
          <w:rFonts w:ascii="Arial" w:hAnsi="Arial" w:cs="Arial"/>
          <w:sz w:val="22"/>
          <w:szCs w:val="22"/>
          <w:lang w:val="en-US"/>
        </w:rPr>
        <w:t xml:space="preserve">omparison of Cerebrolysin (30 ml/day) versus placebo </w:t>
      </w:r>
      <w:r>
        <w:rPr>
          <w:rFonts w:ascii="Arial" w:hAnsi="Arial" w:cs="Arial"/>
          <w:sz w:val="22"/>
          <w:szCs w:val="22"/>
          <w:lang w:val="en-US"/>
        </w:rPr>
        <w:t>in the safety population</w:t>
      </w:r>
      <w:r w:rsidRPr="00BE60EB">
        <w:rPr>
          <w:rFonts w:ascii="Arial" w:hAnsi="Arial" w:cs="Arial"/>
          <w:sz w:val="22"/>
          <w:szCs w:val="22"/>
          <w:lang w:val="en-US"/>
        </w:rPr>
        <w:t xml:space="preserve">. </w:t>
      </w:r>
      <w:r>
        <w:rPr>
          <w:rFonts w:ascii="Arial" w:hAnsi="Arial" w:cs="Arial"/>
          <w:sz w:val="22"/>
          <w:szCs w:val="22"/>
          <w:lang w:val="en-US"/>
        </w:rPr>
        <w:t>‘Classic’ fixed effect (upper panel) and random effects (lower panel) analysis</w:t>
      </w:r>
      <w:r w:rsidRPr="00BE60EB">
        <w:rPr>
          <w:rFonts w:ascii="Arial" w:hAnsi="Arial" w:cs="Arial"/>
          <w:sz w:val="22"/>
          <w:szCs w:val="22"/>
          <w:lang w:val="en-US"/>
        </w:rPr>
        <w:t xml:space="preserve">, effect size: </w:t>
      </w:r>
      <w:r>
        <w:rPr>
          <w:rFonts w:ascii="Arial" w:hAnsi="Arial" w:cs="Arial"/>
          <w:sz w:val="22"/>
          <w:szCs w:val="22"/>
          <w:lang w:val="en-US"/>
        </w:rPr>
        <w:t>Odds Ratio (OR)</w:t>
      </w:r>
      <w:r w:rsidRPr="00BE60EB">
        <w:rPr>
          <w:rFonts w:ascii="Arial" w:hAnsi="Arial" w:cs="Arial"/>
          <w:sz w:val="22"/>
          <w:szCs w:val="22"/>
          <w:lang w:val="en-US"/>
        </w:rPr>
        <w:t>.</w:t>
      </w:r>
    </w:p>
    <w:p w:rsidR="00FC4F49" w:rsidRDefault="00FC4F49" w:rsidP="00FC4F49">
      <w:pPr>
        <w:rPr>
          <w:rFonts w:ascii="Arial" w:hAnsi="Arial" w:cs="Arial"/>
          <w:sz w:val="24"/>
          <w:szCs w:val="24"/>
          <w:lang w:val="en-US"/>
        </w:rPr>
      </w:pPr>
      <w:r>
        <w:rPr>
          <w:rFonts w:ascii="Arial" w:hAnsi="Arial" w:cs="Arial"/>
          <w:sz w:val="24"/>
          <w:szCs w:val="24"/>
          <w:lang w:val="en-US"/>
        </w:rPr>
        <w:br w:type="page"/>
      </w:r>
    </w:p>
    <w:p w:rsidR="00FC4F49" w:rsidRDefault="00FC4F49" w:rsidP="00FC4F49">
      <w:pPr>
        <w:spacing w:afterLines="120" w:after="288" w:line="288" w:lineRule="auto"/>
        <w:jc w:val="both"/>
        <w:rPr>
          <w:rFonts w:ascii="Arial" w:hAnsi="Arial" w:cs="Arial"/>
          <w:sz w:val="24"/>
          <w:szCs w:val="24"/>
          <w:lang w:val="en-US"/>
        </w:rPr>
      </w:pPr>
    </w:p>
    <w:p w:rsidR="00FC4F49" w:rsidRDefault="00FC4F49" w:rsidP="00FC4F49">
      <w:pPr>
        <w:spacing w:afterLines="120" w:after="288" w:line="288" w:lineRule="auto"/>
        <w:jc w:val="both"/>
        <w:rPr>
          <w:rFonts w:ascii="Arial" w:hAnsi="Arial" w:cs="Arial"/>
          <w:sz w:val="24"/>
          <w:szCs w:val="24"/>
          <w:lang w:val="en-US"/>
        </w:rPr>
      </w:pPr>
      <w:r>
        <w:rPr>
          <w:rFonts w:ascii="Arial" w:hAnsi="Arial" w:cs="Arial"/>
          <w:noProof/>
          <w:sz w:val="24"/>
          <w:szCs w:val="24"/>
          <w:lang w:val="en-US" w:eastAsia="en-US"/>
        </w:rPr>
        <w:drawing>
          <wp:inline distT="0" distB="0" distL="0" distR="0" wp14:anchorId="480F937B" wp14:editId="1899B91E">
            <wp:extent cx="5939790" cy="1795294"/>
            <wp:effectExtent l="19050" t="0" r="3810" b="0"/>
            <wp:docPr id="266" name="Bild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7" cstate="print"/>
                    <a:srcRect/>
                    <a:stretch>
                      <a:fillRect/>
                    </a:stretch>
                  </pic:blipFill>
                  <pic:spPr bwMode="auto">
                    <a:xfrm>
                      <a:off x="0" y="0"/>
                      <a:ext cx="5939790" cy="1795294"/>
                    </a:xfrm>
                    <a:prstGeom prst="rect">
                      <a:avLst/>
                    </a:prstGeom>
                    <a:noFill/>
                    <a:ln w="9525">
                      <a:noFill/>
                      <a:miter lim="800000"/>
                      <a:headEnd/>
                      <a:tailEnd/>
                    </a:ln>
                  </pic:spPr>
                </pic:pic>
              </a:graphicData>
            </a:graphic>
          </wp:inline>
        </w:drawing>
      </w:r>
    </w:p>
    <w:p w:rsidR="00FC4F49" w:rsidRDefault="00FC4F49" w:rsidP="00FC4F49">
      <w:pPr>
        <w:spacing w:afterLines="120" w:after="288" w:line="288" w:lineRule="auto"/>
        <w:jc w:val="both"/>
        <w:rPr>
          <w:rFonts w:ascii="Arial" w:hAnsi="Arial" w:cs="Arial"/>
          <w:sz w:val="24"/>
          <w:szCs w:val="24"/>
          <w:lang w:val="en-US"/>
        </w:rPr>
      </w:pPr>
      <w:r>
        <w:rPr>
          <w:rFonts w:ascii="Arial" w:hAnsi="Arial" w:cs="Arial"/>
          <w:noProof/>
          <w:sz w:val="24"/>
          <w:szCs w:val="24"/>
          <w:lang w:val="en-US" w:eastAsia="en-US"/>
        </w:rPr>
        <w:drawing>
          <wp:inline distT="0" distB="0" distL="0" distR="0" wp14:anchorId="5C5F68CC" wp14:editId="53443D17">
            <wp:extent cx="5939790" cy="1761570"/>
            <wp:effectExtent l="19050" t="0" r="3810" b="0"/>
            <wp:docPr id="267" name="Bild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8" cstate="print"/>
                    <a:srcRect/>
                    <a:stretch>
                      <a:fillRect/>
                    </a:stretch>
                  </pic:blipFill>
                  <pic:spPr bwMode="auto">
                    <a:xfrm>
                      <a:off x="0" y="0"/>
                      <a:ext cx="5939790" cy="1761570"/>
                    </a:xfrm>
                    <a:prstGeom prst="rect">
                      <a:avLst/>
                    </a:prstGeom>
                    <a:noFill/>
                    <a:ln w="9525">
                      <a:noFill/>
                      <a:miter lim="800000"/>
                      <a:headEnd/>
                      <a:tailEnd/>
                    </a:ln>
                  </pic:spPr>
                </pic:pic>
              </a:graphicData>
            </a:graphic>
          </wp:inline>
        </w:drawing>
      </w:r>
    </w:p>
    <w:p w:rsidR="00FC4F49" w:rsidRDefault="00FC4F49" w:rsidP="00FC4F49">
      <w:pPr>
        <w:rPr>
          <w:rFonts w:ascii="Arial" w:hAnsi="Arial" w:cs="Arial"/>
          <w:sz w:val="22"/>
          <w:szCs w:val="22"/>
          <w:lang w:val="en-US"/>
        </w:rPr>
      </w:pPr>
      <w:r w:rsidRPr="00BE60EB">
        <w:rPr>
          <w:rFonts w:ascii="Arial" w:hAnsi="Arial" w:cs="Arial"/>
          <w:b/>
          <w:sz w:val="22"/>
          <w:szCs w:val="22"/>
          <w:lang w:val="en-US"/>
        </w:rPr>
        <w:t xml:space="preserve">Figure </w:t>
      </w:r>
      <w:r>
        <w:rPr>
          <w:rFonts w:ascii="Arial" w:hAnsi="Arial" w:cs="Arial"/>
          <w:b/>
          <w:sz w:val="22"/>
          <w:szCs w:val="22"/>
          <w:lang w:val="en-US"/>
        </w:rPr>
        <w:t>X8</w:t>
      </w:r>
      <w:r w:rsidRPr="00BE60EB">
        <w:rPr>
          <w:rFonts w:ascii="Arial" w:hAnsi="Arial" w:cs="Arial"/>
          <w:b/>
          <w:sz w:val="22"/>
          <w:szCs w:val="22"/>
          <w:lang w:val="en-US"/>
        </w:rPr>
        <w:t xml:space="preserve">. </w:t>
      </w:r>
      <w:r>
        <w:rPr>
          <w:rFonts w:ascii="Arial" w:hAnsi="Arial" w:cs="Arial"/>
          <w:sz w:val="22"/>
          <w:szCs w:val="22"/>
          <w:lang w:val="en-US"/>
        </w:rPr>
        <w:t>Patients with at least one serious adverse event (TESAE). C</w:t>
      </w:r>
      <w:r w:rsidRPr="00BE60EB">
        <w:rPr>
          <w:rFonts w:ascii="Arial" w:hAnsi="Arial" w:cs="Arial"/>
          <w:sz w:val="22"/>
          <w:szCs w:val="22"/>
          <w:lang w:val="en-US"/>
        </w:rPr>
        <w:t xml:space="preserve">omparison of Cerebrolysin (30 ml/day) versus placebo </w:t>
      </w:r>
      <w:r>
        <w:rPr>
          <w:rFonts w:ascii="Arial" w:hAnsi="Arial" w:cs="Arial"/>
          <w:sz w:val="22"/>
          <w:szCs w:val="22"/>
          <w:lang w:val="en-US"/>
        </w:rPr>
        <w:t>in the safety population</w:t>
      </w:r>
      <w:r w:rsidRPr="00BE60EB">
        <w:rPr>
          <w:rFonts w:ascii="Arial" w:hAnsi="Arial" w:cs="Arial"/>
          <w:sz w:val="22"/>
          <w:szCs w:val="22"/>
          <w:lang w:val="en-US"/>
        </w:rPr>
        <w:t xml:space="preserve">. </w:t>
      </w:r>
      <w:r>
        <w:rPr>
          <w:rFonts w:ascii="Arial" w:hAnsi="Arial" w:cs="Arial"/>
          <w:sz w:val="22"/>
          <w:szCs w:val="22"/>
          <w:lang w:val="en-US"/>
        </w:rPr>
        <w:t>‘Classic’ fixed effect and random effects analysis</w:t>
      </w:r>
      <w:r w:rsidRPr="00BE60EB">
        <w:rPr>
          <w:rFonts w:ascii="Arial" w:hAnsi="Arial" w:cs="Arial"/>
          <w:sz w:val="22"/>
          <w:szCs w:val="22"/>
          <w:lang w:val="en-US"/>
        </w:rPr>
        <w:t xml:space="preserve">, effect size: </w:t>
      </w:r>
      <w:r>
        <w:rPr>
          <w:rFonts w:ascii="Arial" w:hAnsi="Arial" w:cs="Arial"/>
          <w:sz w:val="22"/>
          <w:szCs w:val="22"/>
          <w:lang w:val="en-US"/>
        </w:rPr>
        <w:t>Odds Ratio (OR)</w:t>
      </w:r>
      <w:r w:rsidRPr="00BE60EB">
        <w:rPr>
          <w:rFonts w:ascii="Arial" w:hAnsi="Arial" w:cs="Arial"/>
          <w:sz w:val="22"/>
          <w:szCs w:val="22"/>
          <w:lang w:val="en-US"/>
        </w:rPr>
        <w:t>.</w:t>
      </w:r>
    </w:p>
    <w:p w:rsidR="00FC4F49" w:rsidRDefault="00FC4F49" w:rsidP="00FC4F49">
      <w:pPr>
        <w:rPr>
          <w:rFonts w:ascii="Arial" w:hAnsi="Arial" w:cs="Arial"/>
          <w:sz w:val="22"/>
          <w:szCs w:val="22"/>
          <w:lang w:val="en-US"/>
        </w:rPr>
      </w:pPr>
      <w:r>
        <w:rPr>
          <w:rFonts w:ascii="Arial" w:hAnsi="Arial" w:cs="Arial"/>
          <w:sz w:val="22"/>
          <w:szCs w:val="22"/>
          <w:lang w:val="en-US"/>
        </w:rPr>
        <w:br w:type="page"/>
      </w:r>
    </w:p>
    <w:p w:rsidR="00FC4F49" w:rsidRDefault="00FC4F49" w:rsidP="00FC4F49">
      <w:pPr>
        <w:spacing w:afterLines="120" w:after="288" w:line="288" w:lineRule="auto"/>
        <w:jc w:val="both"/>
        <w:rPr>
          <w:rFonts w:ascii="Arial" w:hAnsi="Arial" w:cs="Arial"/>
          <w:sz w:val="24"/>
          <w:szCs w:val="24"/>
          <w:lang w:val="en-US"/>
        </w:rPr>
      </w:pPr>
      <w:r>
        <w:rPr>
          <w:rFonts w:ascii="Arial" w:hAnsi="Arial" w:cs="Arial"/>
          <w:noProof/>
          <w:sz w:val="24"/>
          <w:szCs w:val="24"/>
          <w:lang w:val="en-US" w:eastAsia="en-US"/>
        </w:rPr>
        <w:lastRenderedPageBreak/>
        <w:drawing>
          <wp:inline distT="0" distB="0" distL="0" distR="0" wp14:anchorId="7BE8732B" wp14:editId="1F973454">
            <wp:extent cx="5939790" cy="1900782"/>
            <wp:effectExtent l="19050" t="0" r="3810" b="0"/>
            <wp:docPr id="270" name="Bild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9" cstate="print"/>
                    <a:srcRect/>
                    <a:stretch>
                      <a:fillRect/>
                    </a:stretch>
                  </pic:blipFill>
                  <pic:spPr bwMode="auto">
                    <a:xfrm>
                      <a:off x="0" y="0"/>
                      <a:ext cx="5939790" cy="1900782"/>
                    </a:xfrm>
                    <a:prstGeom prst="rect">
                      <a:avLst/>
                    </a:prstGeom>
                    <a:noFill/>
                    <a:ln w="9525">
                      <a:noFill/>
                      <a:miter lim="800000"/>
                      <a:headEnd/>
                      <a:tailEnd/>
                    </a:ln>
                  </pic:spPr>
                </pic:pic>
              </a:graphicData>
            </a:graphic>
          </wp:inline>
        </w:drawing>
      </w:r>
    </w:p>
    <w:p w:rsidR="00FC4F49" w:rsidRDefault="00FC4F49" w:rsidP="00FC4F49">
      <w:pPr>
        <w:spacing w:afterLines="120" w:after="288" w:line="288" w:lineRule="auto"/>
        <w:jc w:val="both"/>
        <w:rPr>
          <w:rFonts w:ascii="Arial" w:hAnsi="Arial" w:cs="Arial"/>
          <w:sz w:val="24"/>
          <w:szCs w:val="24"/>
          <w:lang w:val="en-US"/>
        </w:rPr>
      </w:pPr>
      <w:r>
        <w:rPr>
          <w:rFonts w:ascii="Arial" w:hAnsi="Arial" w:cs="Arial"/>
          <w:noProof/>
          <w:sz w:val="24"/>
          <w:szCs w:val="24"/>
          <w:lang w:val="en-US" w:eastAsia="en-US"/>
        </w:rPr>
        <w:drawing>
          <wp:inline distT="0" distB="0" distL="0" distR="0" wp14:anchorId="06BF502A" wp14:editId="7472FFF8">
            <wp:extent cx="5939790" cy="1868244"/>
            <wp:effectExtent l="19050" t="0" r="3810" b="0"/>
            <wp:docPr id="269" name="Bild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0" cstate="print"/>
                    <a:srcRect/>
                    <a:stretch>
                      <a:fillRect/>
                    </a:stretch>
                  </pic:blipFill>
                  <pic:spPr bwMode="auto">
                    <a:xfrm>
                      <a:off x="0" y="0"/>
                      <a:ext cx="5939790" cy="1868244"/>
                    </a:xfrm>
                    <a:prstGeom prst="rect">
                      <a:avLst/>
                    </a:prstGeom>
                    <a:noFill/>
                    <a:ln w="9525">
                      <a:noFill/>
                      <a:miter lim="800000"/>
                      <a:headEnd/>
                      <a:tailEnd/>
                    </a:ln>
                  </pic:spPr>
                </pic:pic>
              </a:graphicData>
            </a:graphic>
          </wp:inline>
        </w:drawing>
      </w:r>
    </w:p>
    <w:p w:rsidR="00FC4F49" w:rsidRPr="00BE60EB" w:rsidRDefault="00FC4F49" w:rsidP="00FC4F49">
      <w:pPr>
        <w:rPr>
          <w:rFonts w:ascii="Arial" w:hAnsi="Arial" w:cs="Arial"/>
          <w:sz w:val="22"/>
          <w:szCs w:val="22"/>
          <w:lang w:val="en-US"/>
        </w:rPr>
      </w:pPr>
      <w:r w:rsidRPr="00BE60EB">
        <w:rPr>
          <w:rFonts w:ascii="Arial" w:hAnsi="Arial" w:cs="Arial"/>
          <w:b/>
          <w:sz w:val="22"/>
          <w:szCs w:val="22"/>
          <w:lang w:val="en-US"/>
        </w:rPr>
        <w:t xml:space="preserve">Figure </w:t>
      </w:r>
      <w:r>
        <w:rPr>
          <w:rFonts w:ascii="Arial" w:hAnsi="Arial" w:cs="Arial"/>
          <w:b/>
          <w:sz w:val="22"/>
          <w:szCs w:val="22"/>
          <w:lang w:val="en-US"/>
        </w:rPr>
        <w:t>X9</w:t>
      </w:r>
      <w:r w:rsidRPr="00BE60EB">
        <w:rPr>
          <w:rFonts w:ascii="Arial" w:hAnsi="Arial" w:cs="Arial"/>
          <w:b/>
          <w:sz w:val="22"/>
          <w:szCs w:val="22"/>
          <w:lang w:val="en-US"/>
        </w:rPr>
        <w:t xml:space="preserve">. </w:t>
      </w:r>
      <w:r>
        <w:rPr>
          <w:rFonts w:ascii="Arial" w:hAnsi="Arial" w:cs="Arial"/>
          <w:sz w:val="22"/>
          <w:szCs w:val="22"/>
          <w:lang w:val="en-US"/>
        </w:rPr>
        <w:t>Patients with at least one adverse event (TEAE). C</w:t>
      </w:r>
      <w:r w:rsidRPr="00BE60EB">
        <w:rPr>
          <w:rFonts w:ascii="Arial" w:hAnsi="Arial" w:cs="Arial"/>
          <w:sz w:val="22"/>
          <w:szCs w:val="22"/>
          <w:lang w:val="en-US"/>
        </w:rPr>
        <w:t xml:space="preserve">omparison of Cerebrolysin (30 ml/day) versus placebo </w:t>
      </w:r>
      <w:r>
        <w:rPr>
          <w:rFonts w:ascii="Arial" w:hAnsi="Arial" w:cs="Arial"/>
          <w:sz w:val="22"/>
          <w:szCs w:val="22"/>
          <w:lang w:val="en-US"/>
        </w:rPr>
        <w:t>in the safety population</w:t>
      </w:r>
      <w:r w:rsidRPr="00BE60EB">
        <w:rPr>
          <w:rFonts w:ascii="Arial" w:hAnsi="Arial" w:cs="Arial"/>
          <w:sz w:val="22"/>
          <w:szCs w:val="22"/>
          <w:lang w:val="en-US"/>
        </w:rPr>
        <w:t xml:space="preserve">. </w:t>
      </w:r>
      <w:r>
        <w:rPr>
          <w:rFonts w:ascii="Arial" w:hAnsi="Arial" w:cs="Arial"/>
          <w:sz w:val="22"/>
          <w:szCs w:val="22"/>
          <w:lang w:val="en-US"/>
        </w:rPr>
        <w:t>‘Classic’ fixed effect and random effects analysis</w:t>
      </w:r>
      <w:r w:rsidRPr="00BE60EB">
        <w:rPr>
          <w:rFonts w:ascii="Arial" w:hAnsi="Arial" w:cs="Arial"/>
          <w:sz w:val="22"/>
          <w:szCs w:val="22"/>
          <w:lang w:val="en-US"/>
        </w:rPr>
        <w:t xml:space="preserve">, effect size: </w:t>
      </w:r>
      <w:r>
        <w:rPr>
          <w:rFonts w:ascii="Arial" w:hAnsi="Arial" w:cs="Arial"/>
          <w:sz w:val="22"/>
          <w:szCs w:val="22"/>
          <w:lang w:val="en-US"/>
        </w:rPr>
        <w:t>Odds Ratio (OR)</w:t>
      </w:r>
      <w:r w:rsidRPr="00BE60EB">
        <w:rPr>
          <w:rFonts w:ascii="Arial" w:hAnsi="Arial" w:cs="Arial"/>
          <w:sz w:val="22"/>
          <w:szCs w:val="22"/>
          <w:lang w:val="en-US"/>
        </w:rPr>
        <w:t>.</w:t>
      </w:r>
    </w:p>
    <w:p w:rsidR="00FC4F49" w:rsidRDefault="00FC4F49" w:rsidP="00FC4F49">
      <w:pPr>
        <w:pStyle w:val="Publication12pt"/>
        <w:spacing w:afterLines="120" w:after="288"/>
        <w:rPr>
          <w:lang w:val="en-US"/>
        </w:rPr>
      </w:pPr>
      <w:r>
        <w:rPr>
          <w:lang w:val="en-US"/>
        </w:rPr>
        <w:br w:type="page"/>
      </w:r>
    </w:p>
    <w:p w:rsidR="00FC4F49" w:rsidRDefault="00FC4F49" w:rsidP="00FC4F49">
      <w:pPr>
        <w:pStyle w:val="Publication12pt"/>
        <w:spacing w:afterLines="120" w:after="288"/>
        <w:rPr>
          <w:lang w:val="en-US"/>
        </w:rPr>
      </w:pPr>
    </w:p>
    <w:p w:rsidR="00FC4F49" w:rsidRDefault="00FC4F49" w:rsidP="00FC4F49">
      <w:pPr>
        <w:pStyle w:val="Publication12pt"/>
        <w:spacing w:afterLines="120" w:after="288"/>
        <w:rPr>
          <w:lang w:val="en-US"/>
        </w:rPr>
      </w:pPr>
      <w:r>
        <w:rPr>
          <w:noProof/>
          <w:lang w:val="en-US" w:eastAsia="en-US"/>
        </w:rPr>
        <w:drawing>
          <wp:inline distT="0" distB="0" distL="0" distR="0" wp14:anchorId="7AD2CD71" wp14:editId="04206E1A">
            <wp:extent cx="5939790" cy="1765007"/>
            <wp:effectExtent l="19050" t="0" r="3810" b="0"/>
            <wp:docPr id="323" name="Bild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1" cstate="print"/>
                    <a:srcRect/>
                    <a:stretch>
                      <a:fillRect/>
                    </a:stretch>
                  </pic:blipFill>
                  <pic:spPr bwMode="auto">
                    <a:xfrm>
                      <a:off x="0" y="0"/>
                      <a:ext cx="5939790" cy="1765007"/>
                    </a:xfrm>
                    <a:prstGeom prst="rect">
                      <a:avLst/>
                    </a:prstGeom>
                    <a:noFill/>
                    <a:ln w="9525">
                      <a:noFill/>
                      <a:miter lim="800000"/>
                      <a:headEnd/>
                      <a:tailEnd/>
                    </a:ln>
                  </pic:spPr>
                </pic:pic>
              </a:graphicData>
            </a:graphic>
          </wp:inline>
        </w:drawing>
      </w:r>
    </w:p>
    <w:p w:rsidR="00FC4F49" w:rsidRPr="00EA4712" w:rsidRDefault="00FC4F49" w:rsidP="00FC4F49">
      <w:pPr>
        <w:pStyle w:val="Publication12pt"/>
        <w:spacing w:afterLines="120" w:after="288"/>
        <w:rPr>
          <w:lang w:val="en-US"/>
        </w:rPr>
      </w:pPr>
      <w:r>
        <w:rPr>
          <w:noProof/>
          <w:lang w:val="en-US" w:eastAsia="en-US"/>
        </w:rPr>
        <w:drawing>
          <wp:inline distT="0" distB="0" distL="0" distR="0" wp14:anchorId="6B2C8D45" wp14:editId="27348841">
            <wp:extent cx="5939790" cy="1725771"/>
            <wp:effectExtent l="19050" t="0" r="3810" b="0"/>
            <wp:docPr id="324" name="Bild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2" cstate="print"/>
                    <a:srcRect/>
                    <a:stretch>
                      <a:fillRect/>
                    </a:stretch>
                  </pic:blipFill>
                  <pic:spPr bwMode="auto">
                    <a:xfrm>
                      <a:off x="0" y="0"/>
                      <a:ext cx="5939790" cy="1725771"/>
                    </a:xfrm>
                    <a:prstGeom prst="rect">
                      <a:avLst/>
                    </a:prstGeom>
                    <a:noFill/>
                    <a:ln w="9525">
                      <a:noFill/>
                      <a:miter lim="800000"/>
                      <a:headEnd/>
                      <a:tailEnd/>
                    </a:ln>
                  </pic:spPr>
                </pic:pic>
              </a:graphicData>
            </a:graphic>
          </wp:inline>
        </w:drawing>
      </w:r>
    </w:p>
    <w:p w:rsidR="00FC4F49" w:rsidRPr="00BE60EB" w:rsidRDefault="00FC4F49" w:rsidP="00FC4F49">
      <w:pPr>
        <w:rPr>
          <w:rFonts w:ascii="Arial" w:hAnsi="Arial" w:cs="Arial"/>
          <w:sz w:val="22"/>
          <w:szCs w:val="22"/>
          <w:lang w:val="en-US"/>
        </w:rPr>
      </w:pPr>
      <w:r w:rsidRPr="00BE60EB">
        <w:rPr>
          <w:rFonts w:ascii="Arial" w:hAnsi="Arial" w:cs="Arial"/>
          <w:b/>
          <w:sz w:val="22"/>
          <w:szCs w:val="22"/>
          <w:lang w:val="en-US"/>
        </w:rPr>
        <w:t xml:space="preserve">Figure </w:t>
      </w:r>
      <w:r>
        <w:rPr>
          <w:rFonts w:ascii="Arial" w:hAnsi="Arial" w:cs="Arial"/>
          <w:b/>
          <w:sz w:val="22"/>
          <w:szCs w:val="22"/>
          <w:lang w:val="en-US"/>
        </w:rPr>
        <w:t>X10</w:t>
      </w:r>
      <w:r w:rsidRPr="00BE60EB">
        <w:rPr>
          <w:rFonts w:ascii="Arial" w:hAnsi="Arial" w:cs="Arial"/>
          <w:b/>
          <w:sz w:val="22"/>
          <w:szCs w:val="22"/>
          <w:lang w:val="en-US"/>
        </w:rPr>
        <w:t xml:space="preserve">. </w:t>
      </w:r>
      <w:r>
        <w:rPr>
          <w:rFonts w:ascii="Arial" w:hAnsi="Arial" w:cs="Arial"/>
          <w:sz w:val="22"/>
          <w:szCs w:val="22"/>
          <w:lang w:val="en-US"/>
        </w:rPr>
        <w:t>Patients with at least one non-fatal serious adverse event (non-fatal TEAE). C</w:t>
      </w:r>
      <w:r w:rsidRPr="00BE60EB">
        <w:rPr>
          <w:rFonts w:ascii="Arial" w:hAnsi="Arial" w:cs="Arial"/>
          <w:sz w:val="22"/>
          <w:szCs w:val="22"/>
          <w:lang w:val="en-US"/>
        </w:rPr>
        <w:t xml:space="preserve">omparison of Cerebrolysin (30 ml/day) versus placebo </w:t>
      </w:r>
      <w:r>
        <w:rPr>
          <w:rFonts w:ascii="Arial" w:hAnsi="Arial" w:cs="Arial"/>
          <w:sz w:val="22"/>
          <w:szCs w:val="22"/>
          <w:lang w:val="en-US"/>
        </w:rPr>
        <w:t>in the safety population</w:t>
      </w:r>
      <w:r w:rsidRPr="00BE60EB">
        <w:rPr>
          <w:rFonts w:ascii="Arial" w:hAnsi="Arial" w:cs="Arial"/>
          <w:sz w:val="22"/>
          <w:szCs w:val="22"/>
          <w:lang w:val="en-US"/>
        </w:rPr>
        <w:t xml:space="preserve">. </w:t>
      </w:r>
      <w:r>
        <w:rPr>
          <w:rFonts w:ascii="Arial" w:hAnsi="Arial" w:cs="Arial"/>
          <w:sz w:val="22"/>
          <w:szCs w:val="22"/>
          <w:lang w:val="en-US"/>
        </w:rPr>
        <w:t>‘Classic’ fixed effect and random effects analysis</w:t>
      </w:r>
      <w:r w:rsidRPr="00BE60EB">
        <w:rPr>
          <w:rFonts w:ascii="Arial" w:hAnsi="Arial" w:cs="Arial"/>
          <w:sz w:val="22"/>
          <w:szCs w:val="22"/>
          <w:lang w:val="en-US"/>
        </w:rPr>
        <w:t xml:space="preserve">, effect size: </w:t>
      </w:r>
      <w:r>
        <w:rPr>
          <w:rFonts w:ascii="Arial" w:hAnsi="Arial" w:cs="Arial"/>
          <w:sz w:val="22"/>
          <w:szCs w:val="22"/>
          <w:lang w:val="en-US"/>
        </w:rPr>
        <w:t>Odds Ratio (OR)</w:t>
      </w:r>
      <w:r w:rsidRPr="00BE60EB">
        <w:rPr>
          <w:rFonts w:ascii="Arial" w:hAnsi="Arial" w:cs="Arial"/>
          <w:sz w:val="22"/>
          <w:szCs w:val="22"/>
          <w:lang w:val="en-US"/>
        </w:rPr>
        <w:t>.</w:t>
      </w:r>
    </w:p>
    <w:p w:rsidR="00FC4F49" w:rsidRPr="00403FAC" w:rsidRDefault="00FC4F49" w:rsidP="00FC4F49">
      <w:pPr>
        <w:pStyle w:val="1PublicationHeader"/>
        <w:outlineLvl w:val="0"/>
        <w:rPr>
          <w:b/>
          <w:lang w:val="en-US"/>
        </w:rPr>
      </w:pPr>
    </w:p>
    <w:p w:rsidR="00FC4F49" w:rsidRDefault="00FC4F49" w:rsidP="00FC4F49">
      <w:pPr>
        <w:rPr>
          <w:rFonts w:ascii="Arial" w:hAnsi="Arial" w:cs="Arial"/>
          <w:b/>
          <w:caps/>
          <w:sz w:val="24"/>
          <w:szCs w:val="24"/>
          <w:lang w:val="en-GB"/>
        </w:rPr>
      </w:pPr>
      <w:r w:rsidRPr="00403FAC">
        <w:rPr>
          <w:b/>
          <w:lang w:val="en-US"/>
        </w:rPr>
        <w:br w:type="page"/>
      </w:r>
    </w:p>
    <w:p w:rsidR="00CE7A04" w:rsidRPr="005352EC" w:rsidRDefault="005352EC">
      <w:pPr>
        <w:rPr>
          <w:b/>
          <w:sz w:val="24"/>
          <w:lang w:val="en-GB"/>
        </w:rPr>
      </w:pPr>
      <w:r w:rsidRPr="005352EC">
        <w:rPr>
          <w:b/>
          <w:sz w:val="24"/>
          <w:lang w:val="en-GB"/>
        </w:rPr>
        <w:lastRenderedPageBreak/>
        <w:t>References</w:t>
      </w:r>
    </w:p>
    <w:p w:rsidR="005352EC" w:rsidRDefault="005352EC">
      <w:pPr>
        <w:rPr>
          <w:sz w:val="24"/>
          <w:lang w:val="en-GB"/>
        </w:rPr>
      </w:pPr>
    </w:p>
    <w:p w:rsidR="005352EC" w:rsidRPr="005352EC" w:rsidRDefault="005352EC" w:rsidP="005352EC">
      <w:pPr>
        <w:spacing w:after="160" w:line="259" w:lineRule="auto"/>
        <w:rPr>
          <w:rFonts w:eastAsia="Calibri"/>
          <w:sz w:val="24"/>
          <w:szCs w:val="24"/>
          <w:lang w:val="en-US" w:eastAsia="en-US"/>
        </w:rPr>
      </w:pPr>
      <w:r w:rsidRPr="005352EC">
        <w:rPr>
          <w:rFonts w:eastAsia="Calibri"/>
          <w:sz w:val="24"/>
          <w:szCs w:val="24"/>
          <w:lang w:val="en-US" w:eastAsia="en-US"/>
        </w:rPr>
        <w:t xml:space="preserve">[1] Skvortsova, V. I., Stakhovskaia, L. V., Gubskiĭ, L. V., Shamalov, N. A., Tikhonova, I. V., &amp; Smychkov, A. S. (2003). A randomized, double-blind, placebo-controlled study of Cerebrolysin safety and efficacy in the treatment of acute ischemic stroke. Zhurnal nevrologii i psikhiatrii imeni SS Korsakova/Ministerstvo zdravookhraneniia i meditsinskoi promyshlennosti Rossiiskoi Federatsii, Vserossiiskoe obshchestvo nevrologov [i] Vserossiiskoe obshchestvo psikhiatrov, (Suppl 11), 51-55. </w:t>
      </w:r>
    </w:p>
    <w:p w:rsidR="005352EC" w:rsidRPr="005352EC" w:rsidRDefault="005352EC" w:rsidP="005352EC">
      <w:pPr>
        <w:spacing w:after="160" w:line="259" w:lineRule="auto"/>
        <w:rPr>
          <w:rFonts w:eastAsia="Calibri"/>
          <w:sz w:val="24"/>
          <w:szCs w:val="24"/>
          <w:lang w:val="en-US" w:eastAsia="en-US"/>
        </w:rPr>
      </w:pPr>
      <w:r w:rsidRPr="005352EC">
        <w:rPr>
          <w:rFonts w:eastAsia="Calibri"/>
          <w:sz w:val="24"/>
          <w:szCs w:val="24"/>
          <w:lang w:eastAsia="en-US"/>
        </w:rPr>
        <w:t xml:space="preserve">[2] Xue, L. X., Zhang, T., Zhao, Y. W., Geng, Z., Chen, J. J., &amp; Chen, H. (2016). </w:t>
      </w:r>
      <w:r w:rsidRPr="005352EC">
        <w:rPr>
          <w:rFonts w:eastAsia="Calibri"/>
          <w:sz w:val="24"/>
          <w:szCs w:val="24"/>
          <w:lang w:val="en-US" w:eastAsia="en-US"/>
        </w:rPr>
        <w:t xml:space="preserve">Efficacy and safety comparison of DL-3-n-butylphthalide and Cerebrolysin: Effects on neurological and behavioral outcomes in acute ischemic stroke. Experimental and therapeutic medicine, 11(5), 2015-2020. </w:t>
      </w:r>
    </w:p>
    <w:p w:rsidR="005352EC" w:rsidRPr="005352EC" w:rsidRDefault="005352EC" w:rsidP="005352EC">
      <w:pPr>
        <w:spacing w:after="160" w:line="259" w:lineRule="auto"/>
        <w:rPr>
          <w:rFonts w:eastAsia="Calibri"/>
          <w:sz w:val="24"/>
          <w:szCs w:val="24"/>
          <w:lang w:val="en-US" w:eastAsia="en-US"/>
        </w:rPr>
      </w:pPr>
      <w:r w:rsidRPr="005352EC">
        <w:rPr>
          <w:rFonts w:eastAsia="Calibri"/>
          <w:sz w:val="24"/>
          <w:szCs w:val="24"/>
          <w:lang w:val="en-US" w:eastAsia="en-US"/>
        </w:rPr>
        <w:t>[3] Brott TG, Adams HP, Olinger CP, Marler JR, Barsan WG, Biller J, Spilker J, Holleran R, Eberle R, Hertzberg V, et al (1989). Measurements of acute cerebral infarction: a clinical examination scale. Stroke; 20: 864–870.</w:t>
      </w:r>
    </w:p>
    <w:p w:rsidR="005352EC" w:rsidRPr="005352EC" w:rsidRDefault="005352EC" w:rsidP="005352EC">
      <w:pPr>
        <w:spacing w:after="160"/>
        <w:rPr>
          <w:sz w:val="24"/>
          <w:szCs w:val="24"/>
          <w:lang w:val="en-US"/>
        </w:rPr>
      </w:pPr>
      <w:r w:rsidRPr="005352EC">
        <w:rPr>
          <w:sz w:val="24"/>
          <w:szCs w:val="24"/>
        </w:rPr>
        <w:t xml:space="preserve">[4]  Kerr DM, Fulton RL, Lees KR. </w:t>
      </w:r>
      <w:r w:rsidRPr="005352EC">
        <w:rPr>
          <w:sz w:val="24"/>
          <w:szCs w:val="24"/>
          <w:lang w:val="en-US"/>
        </w:rPr>
        <w:t>(2012). Seven-Day NIHSS Is a Sensitive Outcome Measure for Exploratory Clinical Trials in Acute Stroke. Stroke;43:1401-1403.</w:t>
      </w:r>
    </w:p>
    <w:p w:rsidR="005352EC" w:rsidRPr="005352EC" w:rsidRDefault="005352EC" w:rsidP="005352EC">
      <w:pPr>
        <w:spacing w:after="160" w:line="259" w:lineRule="auto"/>
        <w:rPr>
          <w:rFonts w:eastAsia="Calibri"/>
          <w:sz w:val="24"/>
          <w:szCs w:val="24"/>
          <w:lang w:val="en-US" w:eastAsia="en-US"/>
        </w:rPr>
      </w:pPr>
      <w:r w:rsidRPr="005352EC">
        <w:rPr>
          <w:rFonts w:eastAsia="Calibri"/>
          <w:sz w:val="24"/>
          <w:szCs w:val="24"/>
          <w:lang w:val="en-US" w:eastAsia="en-US"/>
        </w:rPr>
        <w:t xml:space="preserve">[5] Rothmann, M. D., Wiens, B. L., &amp; Chan, I. S. (2011). Design and analysis of non-inferiority trials. CRC Press. </w:t>
      </w:r>
    </w:p>
    <w:p w:rsidR="005352EC" w:rsidRPr="005352EC" w:rsidRDefault="005352EC" w:rsidP="005352EC">
      <w:pPr>
        <w:spacing w:after="160" w:line="259" w:lineRule="auto"/>
        <w:rPr>
          <w:rFonts w:eastAsia="Calibri"/>
          <w:sz w:val="24"/>
          <w:szCs w:val="24"/>
          <w:lang w:val="en-US" w:eastAsia="en-US"/>
        </w:rPr>
      </w:pPr>
      <w:r w:rsidRPr="005352EC">
        <w:rPr>
          <w:rFonts w:eastAsia="Calibri"/>
          <w:sz w:val="24"/>
          <w:szCs w:val="24"/>
          <w:lang w:val="en-US" w:eastAsia="en-US"/>
        </w:rPr>
        <w:t>[6] Colditz, G. A., Miller, J. N., &amp; Mosteller, F. (1988). Measuring gain in the evaluation of medical technology The probability of a better outcome. International journal of technology assessment in health care, 4(4), 637-642.</w:t>
      </w:r>
      <w:r w:rsidRPr="005352EC">
        <w:rPr>
          <w:rFonts w:eastAsia="Calibri"/>
          <w:sz w:val="24"/>
          <w:szCs w:val="24"/>
          <w:lang w:val="en-US" w:eastAsia="en-US"/>
        </w:rPr>
        <w:tab/>
      </w:r>
    </w:p>
    <w:p w:rsidR="005352EC" w:rsidRPr="005352EC" w:rsidRDefault="005352EC" w:rsidP="005352EC">
      <w:pPr>
        <w:spacing w:after="160" w:line="259" w:lineRule="auto"/>
        <w:rPr>
          <w:rFonts w:eastAsia="Calibri"/>
          <w:sz w:val="24"/>
          <w:szCs w:val="24"/>
          <w:lang w:val="en-US" w:eastAsia="en-US"/>
        </w:rPr>
      </w:pPr>
      <w:r w:rsidRPr="005352EC">
        <w:rPr>
          <w:rFonts w:eastAsia="Calibri"/>
          <w:sz w:val="24"/>
          <w:szCs w:val="24"/>
          <w:lang w:val="en-US" w:eastAsia="en-US"/>
        </w:rPr>
        <w:t>[7] Rahlfs, V. W., Zimmermann, H., &amp; Lees, K. R. (2014). Effect size measures and their relationships in stroke studies. Stroke, 45(2), 627-633.</w:t>
      </w:r>
    </w:p>
    <w:p w:rsidR="005352EC" w:rsidRPr="005352EC" w:rsidRDefault="005352EC" w:rsidP="005352EC">
      <w:pPr>
        <w:spacing w:after="160"/>
        <w:rPr>
          <w:sz w:val="24"/>
          <w:szCs w:val="24"/>
          <w:lang w:val="en-US"/>
        </w:rPr>
      </w:pPr>
      <w:r w:rsidRPr="005352EC">
        <w:rPr>
          <w:sz w:val="24"/>
          <w:szCs w:val="24"/>
          <w:lang w:val="en-US"/>
        </w:rPr>
        <w:t xml:space="preserve">[8] </w:t>
      </w:r>
      <w:r w:rsidRPr="005352EC">
        <w:rPr>
          <w:rFonts w:eastAsia="Calibri"/>
          <w:sz w:val="24"/>
          <w:szCs w:val="24"/>
          <w:lang w:val="en-US" w:eastAsia="en-US"/>
        </w:rPr>
        <w:t>Amiri-Nikpour, M. R., Nazarbaghi, S., Ahmadi-Salmasi, B., Mokari, T., Tahamtan, U., &amp; Rezaei, Y. (2014). Cerebrolysin effects on neurological outcomes and cerebral blood flow in acute ischemic stroke. Neuropsychiatric disease and treatment, 10, 2299.</w:t>
      </w:r>
    </w:p>
    <w:p w:rsidR="005352EC" w:rsidRPr="005352EC" w:rsidRDefault="005352EC" w:rsidP="005352EC">
      <w:pPr>
        <w:spacing w:after="160"/>
        <w:rPr>
          <w:sz w:val="24"/>
          <w:szCs w:val="24"/>
          <w:lang w:val="en-US"/>
        </w:rPr>
      </w:pPr>
      <w:r w:rsidRPr="005352EC">
        <w:rPr>
          <w:sz w:val="24"/>
          <w:szCs w:val="24"/>
          <w:lang w:val="en-US"/>
        </w:rPr>
        <w:t xml:space="preserve">[9] van Swieten J, Koudstaal P, Visser M, Schouten H, et al. </w:t>
      </w:r>
      <w:r w:rsidRPr="005352EC">
        <w:rPr>
          <w:sz w:val="24"/>
          <w:szCs w:val="24"/>
          <w:lang w:val="en-GB"/>
        </w:rPr>
        <w:t>(1988). Interobserver agreement for the assessment of handicap in stroke patients. Stroke.;19(5):604–607.</w:t>
      </w:r>
    </w:p>
    <w:p w:rsidR="005352EC" w:rsidRPr="005352EC" w:rsidRDefault="005352EC" w:rsidP="005352EC">
      <w:pPr>
        <w:spacing w:after="160" w:line="259" w:lineRule="auto"/>
        <w:rPr>
          <w:rFonts w:eastAsia="Calibri"/>
          <w:sz w:val="24"/>
          <w:szCs w:val="24"/>
          <w:lang w:val="en-US" w:eastAsia="en-US"/>
        </w:rPr>
      </w:pPr>
      <w:r w:rsidRPr="005352EC">
        <w:rPr>
          <w:rFonts w:eastAsia="Calibri"/>
          <w:sz w:val="24"/>
          <w:szCs w:val="24"/>
          <w:lang w:val="en-US" w:eastAsia="en-US"/>
        </w:rPr>
        <w:t>[10] D'Agostino, R. B., Campbell, M., &amp; Greenhouse, J. (2006). The Mann–Whitney statistic: continuous use and discovery. Statistics in Medicine, 25(4), 541-542.. doi: 10.1002/sim.2508.</w:t>
      </w:r>
    </w:p>
    <w:p w:rsidR="005352EC" w:rsidRPr="005352EC" w:rsidRDefault="005352EC" w:rsidP="005352EC">
      <w:pPr>
        <w:spacing w:after="160" w:line="259" w:lineRule="auto"/>
        <w:rPr>
          <w:rFonts w:eastAsia="Calibri"/>
          <w:sz w:val="24"/>
          <w:szCs w:val="24"/>
          <w:lang w:val="en-US" w:eastAsia="en-US"/>
        </w:rPr>
      </w:pPr>
      <w:r w:rsidRPr="005352EC">
        <w:rPr>
          <w:rFonts w:eastAsia="Calibri"/>
          <w:sz w:val="24"/>
          <w:szCs w:val="24"/>
          <w:lang w:val="en-US" w:eastAsia="en-US"/>
        </w:rPr>
        <w:t>[11] Munzel, U., &amp; Hauschke, D. (2003). A nonparametric test for proving noninferiority in clinical trials with ordered categorical data. Pharmaceutical Statistics, 2(1), 31-37. doi: 10.1002/pst.17.</w:t>
      </w:r>
    </w:p>
    <w:p w:rsidR="005352EC" w:rsidRPr="005352EC" w:rsidRDefault="005352EC" w:rsidP="005352EC">
      <w:pPr>
        <w:spacing w:after="160" w:line="259" w:lineRule="auto"/>
        <w:rPr>
          <w:rFonts w:eastAsia="Calibri"/>
          <w:sz w:val="24"/>
          <w:szCs w:val="24"/>
          <w:lang w:val="en-US" w:eastAsia="en-US"/>
        </w:rPr>
      </w:pPr>
      <w:r w:rsidRPr="005352EC">
        <w:rPr>
          <w:rFonts w:eastAsia="Calibri"/>
          <w:sz w:val="24"/>
          <w:szCs w:val="24"/>
          <w:lang w:val="en-US" w:eastAsia="en-US"/>
        </w:rPr>
        <w:t>[12] Kieser   M,   Friede   T,   Gondan   M. (2013).   Assessment   of   statistical   significance   and   clinical   relevance.   Stat   Med.;32:1707–1719.</w:t>
      </w:r>
    </w:p>
    <w:p w:rsidR="005352EC" w:rsidRPr="005352EC" w:rsidRDefault="005352EC" w:rsidP="005352EC">
      <w:pPr>
        <w:spacing w:after="160" w:line="259" w:lineRule="auto"/>
        <w:rPr>
          <w:rFonts w:eastAsia="Calibri"/>
          <w:sz w:val="24"/>
          <w:szCs w:val="24"/>
          <w:lang w:val="en-US" w:eastAsia="en-US"/>
        </w:rPr>
      </w:pPr>
      <w:r w:rsidRPr="005352EC">
        <w:rPr>
          <w:rFonts w:eastAsia="Calibri"/>
          <w:sz w:val="24"/>
          <w:szCs w:val="24"/>
          <w:lang w:val="en-US" w:eastAsia="en-US"/>
        </w:rPr>
        <w:lastRenderedPageBreak/>
        <w:t>[13] Lachin, J. M. (2009). Biostatistical methods: the assessment of relative risks (Vol. 509). John Wiley &amp; Sons.</w:t>
      </w:r>
    </w:p>
    <w:p w:rsidR="005352EC" w:rsidRPr="005352EC" w:rsidRDefault="005352EC" w:rsidP="005352EC">
      <w:pPr>
        <w:spacing w:after="160" w:line="259" w:lineRule="auto"/>
        <w:rPr>
          <w:rFonts w:eastAsia="Calibri"/>
          <w:sz w:val="24"/>
          <w:szCs w:val="24"/>
          <w:lang w:val="en-US" w:eastAsia="en-US"/>
        </w:rPr>
      </w:pPr>
      <w:r w:rsidRPr="005352EC">
        <w:rPr>
          <w:rFonts w:eastAsia="Calibri"/>
          <w:sz w:val="24"/>
          <w:szCs w:val="24"/>
          <w:lang w:val="en-US" w:eastAsia="en-US"/>
        </w:rPr>
        <w:t xml:space="preserve">[14] Frick, H. (1994). A maxmin linear test of normal means and its application to lachin’s data. Communications in statistics-theory and methods, 23(4), 1021-1029. </w:t>
      </w:r>
    </w:p>
    <w:p w:rsidR="005352EC" w:rsidRPr="005352EC" w:rsidRDefault="005352EC" w:rsidP="005352EC">
      <w:pPr>
        <w:spacing w:after="160" w:line="259" w:lineRule="auto"/>
        <w:rPr>
          <w:rFonts w:eastAsia="Calibri"/>
          <w:sz w:val="24"/>
          <w:szCs w:val="24"/>
          <w:lang w:val="en-US" w:eastAsia="en-US"/>
        </w:rPr>
      </w:pPr>
      <w:r w:rsidRPr="005352EC">
        <w:rPr>
          <w:rFonts w:eastAsia="Calibri"/>
          <w:sz w:val="24"/>
          <w:szCs w:val="24"/>
          <w:lang w:val="en-US" w:eastAsia="en-US"/>
        </w:rPr>
        <w:t>[15] Frick, H. (1995). Comparing Trials with Multiple Outcomes: The Multivariate One</w:t>
      </w:r>
      <w:r w:rsidRPr="005352EC">
        <w:rPr>
          <w:rFonts w:ascii="Cambria Math" w:eastAsia="Calibri" w:hAnsi="Cambria Math" w:cs="Cambria Math"/>
          <w:sz w:val="24"/>
          <w:szCs w:val="24"/>
          <w:lang w:val="en-US" w:eastAsia="en-US"/>
        </w:rPr>
        <w:t>‐</w:t>
      </w:r>
      <w:r w:rsidRPr="005352EC">
        <w:rPr>
          <w:rFonts w:eastAsia="Calibri"/>
          <w:sz w:val="24"/>
          <w:szCs w:val="24"/>
          <w:lang w:val="en-US" w:eastAsia="en-US"/>
        </w:rPr>
        <w:t>Sided Hypothesis with Unknown Covariances. Biometrical journal, 37(8), 909-917.</w:t>
      </w:r>
    </w:p>
    <w:p w:rsidR="005352EC" w:rsidRPr="005352EC" w:rsidRDefault="005352EC" w:rsidP="005352EC">
      <w:pPr>
        <w:spacing w:after="160" w:line="259" w:lineRule="auto"/>
        <w:rPr>
          <w:rFonts w:eastAsia="Calibri"/>
          <w:sz w:val="24"/>
          <w:szCs w:val="24"/>
          <w:lang w:val="en-US" w:eastAsia="en-US"/>
        </w:rPr>
      </w:pPr>
      <w:r w:rsidRPr="005352EC">
        <w:rPr>
          <w:rFonts w:eastAsia="Calibri"/>
          <w:sz w:val="24"/>
          <w:szCs w:val="24"/>
          <w:lang w:val="en-US" w:eastAsia="en-US"/>
        </w:rPr>
        <w:t>[16] Guekht, A. et al. (2017). Safety and efficacy of Cerebrolysin in motor function recovery after stroke: a meta-analysis of the CARS trials. Neurological Sciences, 1-9.. DOI: 10.1007/s10072-017-3037-z.</w:t>
      </w:r>
    </w:p>
    <w:p w:rsidR="005352EC" w:rsidRPr="005352EC" w:rsidRDefault="005352EC" w:rsidP="005352EC">
      <w:pPr>
        <w:spacing w:after="160"/>
        <w:rPr>
          <w:sz w:val="24"/>
          <w:szCs w:val="24"/>
          <w:lang w:val="en-US"/>
        </w:rPr>
      </w:pPr>
      <w:r w:rsidRPr="005352EC">
        <w:rPr>
          <w:sz w:val="24"/>
          <w:szCs w:val="24"/>
          <w:lang w:val="en-US"/>
        </w:rPr>
        <w:t>[17] Gail M, Simon R. Testing for qualitative interactions between treatment effects and patient subsets. Biometrics 1985; 41: 361-372.</w:t>
      </w:r>
    </w:p>
    <w:p w:rsidR="005352EC" w:rsidRPr="005352EC" w:rsidRDefault="005352EC" w:rsidP="005352EC">
      <w:pPr>
        <w:spacing w:after="160"/>
        <w:jc w:val="both"/>
        <w:rPr>
          <w:sz w:val="24"/>
          <w:szCs w:val="24"/>
          <w:lang w:val="en-US"/>
        </w:rPr>
      </w:pPr>
      <w:r w:rsidRPr="005352EC">
        <w:rPr>
          <w:sz w:val="24"/>
          <w:szCs w:val="24"/>
          <w:lang w:val="en-US"/>
        </w:rPr>
        <w:t>[18] Hedges, L.V., Olkin, J. (1985). Statistical Methods for Meta-Analysis, Academic  Press  Inc.,  San Diego.</w:t>
      </w:r>
    </w:p>
    <w:p w:rsidR="005352EC" w:rsidRPr="005352EC" w:rsidRDefault="005352EC" w:rsidP="005352EC">
      <w:pPr>
        <w:spacing w:after="160"/>
        <w:jc w:val="both"/>
        <w:rPr>
          <w:sz w:val="24"/>
          <w:szCs w:val="24"/>
          <w:lang w:val="en-US"/>
        </w:rPr>
      </w:pPr>
      <w:r w:rsidRPr="005352EC">
        <w:rPr>
          <w:sz w:val="24"/>
          <w:szCs w:val="24"/>
          <w:lang w:val="en-US"/>
        </w:rPr>
        <w:t xml:space="preserve">[19] DerSimonian, R., &amp; Laird, N. (1986). Meta-analysis in clinical trials. Controlled clinical trials, 7(3), 177-188. </w:t>
      </w:r>
    </w:p>
    <w:p w:rsidR="005352EC" w:rsidRPr="005352EC" w:rsidRDefault="005352EC" w:rsidP="005352EC">
      <w:pPr>
        <w:spacing w:after="160"/>
        <w:jc w:val="both"/>
        <w:rPr>
          <w:sz w:val="24"/>
          <w:szCs w:val="24"/>
          <w:lang w:val="en-US"/>
        </w:rPr>
      </w:pPr>
      <w:r w:rsidRPr="005352EC">
        <w:rPr>
          <w:sz w:val="24"/>
          <w:szCs w:val="24"/>
          <w:lang w:val="en-US"/>
        </w:rPr>
        <w:t>[20] Higgins, J. P., Thompson, S. G., Deeks, J. J., &amp; Altman, D. G. (2003). Measuring inconsistency in meta-analyses. BMJ: British Medical Journal, 327(7414), 557.</w:t>
      </w:r>
    </w:p>
    <w:p w:rsidR="005352EC" w:rsidRPr="005352EC" w:rsidRDefault="005352EC" w:rsidP="005352EC">
      <w:pPr>
        <w:spacing w:after="160"/>
        <w:jc w:val="both"/>
        <w:rPr>
          <w:sz w:val="24"/>
          <w:szCs w:val="24"/>
          <w:lang w:val="en-US"/>
        </w:rPr>
      </w:pPr>
      <w:r w:rsidRPr="005352EC">
        <w:rPr>
          <w:sz w:val="24"/>
          <w:szCs w:val="24"/>
          <w:lang w:val="en-US"/>
        </w:rPr>
        <w:t>[21] Higgins, J., &amp; Thompson, S. G. (2002). Quantifying heterogeneity in a meta</w:t>
      </w:r>
      <w:r w:rsidRPr="005352EC">
        <w:rPr>
          <w:rFonts w:ascii="Cambria Math" w:hAnsi="Cambria Math" w:cs="Cambria Math"/>
          <w:sz w:val="24"/>
          <w:szCs w:val="24"/>
          <w:lang w:val="en-US"/>
        </w:rPr>
        <w:t>‐</w:t>
      </w:r>
      <w:r w:rsidRPr="005352EC">
        <w:rPr>
          <w:sz w:val="24"/>
          <w:szCs w:val="24"/>
          <w:lang w:val="en-US"/>
        </w:rPr>
        <w:t>analysis. Statistics in medicine, 21(11), 1539-1558.</w:t>
      </w:r>
    </w:p>
    <w:p w:rsidR="005352EC" w:rsidRPr="005352EC" w:rsidRDefault="005352EC">
      <w:pPr>
        <w:rPr>
          <w:sz w:val="24"/>
          <w:lang w:val="en-GB"/>
        </w:rPr>
      </w:pPr>
      <w:bookmarkStart w:id="1" w:name="_GoBack"/>
      <w:bookmarkEnd w:id="1"/>
    </w:p>
    <w:sectPr w:rsidR="005352EC" w:rsidRPr="005352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784B" w:rsidRDefault="006E784B" w:rsidP="00FC4F49">
      <w:r>
        <w:separator/>
      </w:r>
    </w:p>
  </w:endnote>
  <w:endnote w:type="continuationSeparator" w:id="0">
    <w:p w:rsidR="006E784B" w:rsidRDefault="006E784B" w:rsidP="00FC4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784B" w:rsidRDefault="006E784B" w:rsidP="00FC4F49">
      <w:r>
        <w:separator/>
      </w:r>
    </w:p>
  </w:footnote>
  <w:footnote w:type="continuationSeparator" w:id="0">
    <w:p w:rsidR="006E784B" w:rsidRDefault="006E784B" w:rsidP="00FC4F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3505A5"/>
    <w:multiLevelType w:val="hybridMultilevel"/>
    <w:tmpl w:val="87204F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F49"/>
    <w:rsid w:val="002B48A5"/>
    <w:rsid w:val="005352EC"/>
    <w:rsid w:val="006E784B"/>
    <w:rsid w:val="007C3C4D"/>
    <w:rsid w:val="00966B52"/>
    <w:rsid w:val="00CE7A04"/>
    <w:rsid w:val="00F247FA"/>
    <w:rsid w:val="00F475BE"/>
    <w:rsid w:val="00FC4700"/>
    <w:rsid w:val="00FC4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3ACE77-3F37-47FA-A438-BF1A6074D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F49"/>
    <w:pPr>
      <w:spacing w:after="0" w:line="240" w:lineRule="auto"/>
    </w:pPr>
    <w:rPr>
      <w:rFonts w:ascii="Times New Roman" w:eastAsia="Times New Roman" w:hAnsi="Times New Roman" w:cs="Times New Roman"/>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FC4F49"/>
    <w:pPr>
      <w:spacing w:before="120" w:after="320"/>
      <w:jc w:val="center"/>
    </w:pPr>
    <w:rPr>
      <w:b/>
    </w:rPr>
  </w:style>
  <w:style w:type="table" w:styleId="TableGrid">
    <w:name w:val="Table Grid"/>
    <w:basedOn w:val="TableNormal"/>
    <w:uiPriority w:val="59"/>
    <w:rsid w:val="00FC4F49"/>
    <w:pPr>
      <w:spacing w:after="0" w:line="240" w:lineRule="auto"/>
    </w:pPr>
    <w:rPr>
      <w:rFonts w:ascii="Times New Roman" w:eastAsia="Times New Roman" w:hAnsi="Times New Roman" w:cs="Times New Roman"/>
      <w:sz w:val="20"/>
      <w:szCs w:val="20"/>
      <w:lang w:val="de-DE"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eta-Untertitel">
    <w:name w:val="Meta-Untertitel"/>
    <w:basedOn w:val="Normal"/>
    <w:link w:val="Meta-UntertitelZchn"/>
    <w:qFormat/>
    <w:rsid w:val="00FC4F49"/>
    <w:pPr>
      <w:jc w:val="center"/>
    </w:pPr>
    <w:rPr>
      <w:b/>
      <w:bCs/>
      <w:lang w:val="en-US"/>
    </w:rPr>
  </w:style>
  <w:style w:type="character" w:customStyle="1" w:styleId="Meta-UntertitelZchn">
    <w:name w:val="Meta-Untertitel Zchn"/>
    <w:link w:val="Meta-Untertitel"/>
    <w:rsid w:val="00FC4F49"/>
    <w:rPr>
      <w:rFonts w:ascii="Times New Roman" w:eastAsia="Times New Roman" w:hAnsi="Times New Roman" w:cs="Times New Roman"/>
      <w:b/>
      <w:bCs/>
      <w:sz w:val="20"/>
      <w:szCs w:val="20"/>
      <w:lang w:eastAsia="de-DE"/>
    </w:rPr>
  </w:style>
  <w:style w:type="paragraph" w:customStyle="1" w:styleId="Publication12pt">
    <w:name w:val="Publication 12pt"/>
    <w:basedOn w:val="BodyText"/>
    <w:link w:val="Publication12ptZchn"/>
    <w:qFormat/>
    <w:rsid w:val="00FC4F49"/>
    <w:pPr>
      <w:keepLines/>
      <w:spacing w:after="0" w:line="480" w:lineRule="auto"/>
      <w:jc w:val="both"/>
    </w:pPr>
    <w:rPr>
      <w:rFonts w:ascii="Arial" w:hAnsi="Arial" w:cs="Arial"/>
      <w:sz w:val="24"/>
      <w:szCs w:val="24"/>
      <w:lang w:val="en-GB"/>
    </w:rPr>
  </w:style>
  <w:style w:type="paragraph" w:customStyle="1" w:styleId="1PublicationHeader">
    <w:name w:val="1. Publication Header"/>
    <w:basedOn w:val="Publication12pt"/>
    <w:link w:val="1PublicationHeaderZchn"/>
    <w:qFormat/>
    <w:rsid w:val="00FC4F49"/>
    <w:rPr>
      <w:caps/>
    </w:rPr>
  </w:style>
  <w:style w:type="character" w:customStyle="1" w:styleId="Publication12ptZchn">
    <w:name w:val="Publication 12pt Zchn"/>
    <w:link w:val="Publication12pt"/>
    <w:rsid w:val="00FC4F49"/>
    <w:rPr>
      <w:rFonts w:ascii="Arial" w:eastAsia="Times New Roman" w:hAnsi="Arial" w:cs="Arial"/>
      <w:sz w:val="24"/>
      <w:szCs w:val="24"/>
      <w:lang w:val="en-GB" w:eastAsia="de-DE"/>
    </w:rPr>
  </w:style>
  <w:style w:type="character" w:customStyle="1" w:styleId="1PublicationHeaderZchn">
    <w:name w:val="1. Publication Header Zchn"/>
    <w:link w:val="1PublicationHeader"/>
    <w:rsid w:val="00FC4F49"/>
    <w:rPr>
      <w:rFonts w:ascii="Arial" w:eastAsia="Times New Roman" w:hAnsi="Arial" w:cs="Arial"/>
      <w:caps/>
      <w:sz w:val="24"/>
      <w:szCs w:val="24"/>
      <w:lang w:val="en-GB" w:eastAsia="de-DE"/>
    </w:rPr>
  </w:style>
  <w:style w:type="paragraph" w:styleId="EndnoteText">
    <w:name w:val="endnote text"/>
    <w:basedOn w:val="Normal"/>
    <w:link w:val="EndnoteTextChar"/>
    <w:uiPriority w:val="99"/>
    <w:rsid w:val="00FC4F49"/>
  </w:style>
  <w:style w:type="character" w:customStyle="1" w:styleId="EndnoteTextChar">
    <w:name w:val="Endnote Text Char"/>
    <w:basedOn w:val="DefaultParagraphFont"/>
    <w:link w:val="EndnoteText"/>
    <w:uiPriority w:val="99"/>
    <w:rsid w:val="00FC4F49"/>
    <w:rPr>
      <w:rFonts w:ascii="Times New Roman" w:eastAsia="Times New Roman" w:hAnsi="Times New Roman" w:cs="Times New Roman"/>
      <w:sz w:val="20"/>
      <w:szCs w:val="20"/>
      <w:lang w:val="de-DE" w:eastAsia="de-DE"/>
    </w:rPr>
  </w:style>
  <w:style w:type="character" w:styleId="EndnoteReference">
    <w:name w:val="endnote reference"/>
    <w:uiPriority w:val="99"/>
    <w:rsid w:val="00FC4F49"/>
    <w:rPr>
      <w:vertAlign w:val="superscript"/>
    </w:rPr>
  </w:style>
  <w:style w:type="paragraph" w:styleId="BodyText">
    <w:name w:val="Body Text"/>
    <w:basedOn w:val="Normal"/>
    <w:link w:val="BodyTextChar"/>
    <w:uiPriority w:val="99"/>
    <w:semiHidden/>
    <w:unhideWhenUsed/>
    <w:rsid w:val="00FC4F49"/>
    <w:pPr>
      <w:spacing w:after="120"/>
    </w:pPr>
  </w:style>
  <w:style w:type="character" w:customStyle="1" w:styleId="BodyTextChar">
    <w:name w:val="Body Text Char"/>
    <w:basedOn w:val="DefaultParagraphFont"/>
    <w:link w:val="BodyText"/>
    <w:uiPriority w:val="99"/>
    <w:semiHidden/>
    <w:rsid w:val="00FC4F49"/>
    <w:rPr>
      <w:rFonts w:ascii="Times New Roman" w:eastAsia="Times New Roman" w:hAnsi="Times New Roman" w:cs="Times New Roman"/>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15</Pages>
  <Words>2079</Words>
  <Characters>11854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dc:creator>
  <cp:keywords/>
  <dc:description/>
  <cp:lastModifiedBy>Cristian </cp:lastModifiedBy>
  <cp:revision>2</cp:revision>
  <dcterms:created xsi:type="dcterms:W3CDTF">2017-09-22T10:57:00Z</dcterms:created>
  <dcterms:modified xsi:type="dcterms:W3CDTF">2017-09-25T12:34:00Z</dcterms:modified>
</cp:coreProperties>
</file>