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Appendix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proofErr w:type="gramStart"/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Appendix 1.</w:t>
      </w:r>
      <w:proofErr w:type="gramEnd"/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MESH terms and search strategy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proofErr w:type="spellStart"/>
      <w:r w:rsidRPr="00BE58F9">
        <w:rPr>
          <w:rFonts w:ascii="Times New Roman" w:hAnsi="Times New Roman" w:cs="Times New Roman"/>
          <w:b/>
          <w:bCs/>
          <w:color w:val="2E2E2E"/>
          <w:shd w:val="clear" w:color="auto" w:fill="FFFFFF"/>
        </w:rPr>
        <w:t>PubMed</w:t>
      </w:r>
      <w:proofErr w:type="spellEnd"/>
      <w:r w:rsidRPr="00BE58F9">
        <w:rPr>
          <w:rFonts w:ascii="Times New Roman" w:hAnsi="Times New Roman" w:cs="Times New Roman"/>
          <w:b/>
          <w:bCs/>
          <w:color w:val="2E2E2E"/>
          <w:shd w:val="clear" w:color="auto" w:fill="FFFFFF"/>
        </w:rPr>
        <w:t xml:space="preserve"> &amp; Cochrane Strategy:</w:t>
      </w: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2E2E2E"/>
          <w:shd w:val="clear" w:color="auto" w:fill="FFFFFF"/>
        </w:rPr>
        <w:t>(("epilepsy"[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MeSH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 Terms] OR "epilepsy"[All Fields]) OR ("seizures"[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MeSH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 Terms] OR "seizures"[text word] OR "seizure*"[All Fields]))</w:t>
      </w: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2E2E2E"/>
          <w:shd w:val="clear" w:color="auto" w:fill="FFFFFF"/>
        </w:rPr>
        <w:t>AND</w:t>
      </w: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2E2E2E"/>
          <w:shd w:val="clear" w:color="auto" w:fill="FFFFFF"/>
        </w:rPr>
        <w:t>("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 magnetic stimulation"[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MeSH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 Terms] OR ("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"[All Fields] AND "magnetic"[All Fields] AND "stimulation"[All Fields]) OR "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 magnetic stimulation"[All Fields] OR ("repetitive"[All Fields] AND "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"[All Fields] AND "magnetic"[All Fields] AND "stimulation"[All Fields]) OR "repetitive 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 magnetic stimulation"[All Fields] OR TMS[All Fields] OR 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rTMS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[All Fields])</w:t>
      </w: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2E2E2E"/>
          <w:shd w:val="clear" w:color="auto" w:fill="FFFFFF"/>
        </w:rPr>
        <w:t>NOT ("animals"[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MeSH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] NOT "humans"[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MeSH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]))</w:t>
      </w: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Retrieves 652 results from 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PubMed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 on 2/1/16</w:t>
      </w: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2E2E2E"/>
          <w:shd w:val="clear" w:color="auto" w:fill="FFFFFF"/>
        </w:rPr>
        <w:t>Retrieves 69 unique from Cochrane CENTRAL on 2/1/16</w:t>
      </w: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2E2E2E"/>
          <w:shd w:val="clear" w:color="auto" w:fill="FFFFFF"/>
        </w:rPr>
        <w:t>Scopus Strategy:</w:t>
      </w: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2E2E2E"/>
          <w:shd w:val="clear" w:color="auto" w:fill="FFFFFF"/>
        </w:rPr>
        <w:t>(</w:t>
      </w:r>
      <w:proofErr w:type="spellStart"/>
      <w:proofErr w:type="gram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INDEXTERMS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(</w:t>
      </w:r>
      <w:proofErr w:type="gram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"Epilepsy") OR ALL("epilepsy") OR 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INDEXTERMS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("Seizure") OR ALL(Seizure*))</w:t>
      </w: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2E2E2E"/>
          <w:shd w:val="clear" w:color="auto" w:fill="FFFFFF"/>
        </w:rPr>
        <w:t>AND</w:t>
      </w: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2E2E2E"/>
          <w:shd w:val="clear" w:color="auto" w:fill="FFFFFF"/>
        </w:rPr>
        <w:t>(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INDEXTERMS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("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 magnetic stimulation") OR (ALL("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") AND ALL("magnetic") AND ALL("stimulation")) OR ALL("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 magnetic stimulation") OR </w:t>
      </w:r>
      <w:r w:rsidRPr="00BE58F9">
        <w:rPr>
          <w:rFonts w:ascii="Times New Roman" w:hAnsi="Times New Roman" w:cs="Times New Roman"/>
          <w:color w:val="2E2E2E"/>
          <w:shd w:val="clear" w:color="auto" w:fill="FFFFFF"/>
        </w:rPr>
        <w:lastRenderedPageBreak/>
        <w:t>(ALL("repetitive") AND ALL("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") AND ALL("magnetic") AND ALL("stimulation")) OR ALL("repetitive 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 magnetic stimulation") OR ALL("TMS") OR ALL("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rTMS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"))</w:t>
      </w: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2E2E2E"/>
          <w:shd w:val="clear" w:color="auto" w:fill="FFFFFF"/>
        </w:rPr>
        <w:t>AND NOT (</w:t>
      </w:r>
      <w:proofErr w:type="spellStart"/>
      <w:proofErr w:type="gram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INDEXTERMS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(</w:t>
      </w:r>
      <w:proofErr w:type="gram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animal*) NOT </w:t>
      </w:r>
      <w:proofErr w:type="spell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INDEXTERMS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("human"))</w:t>
      </w: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2E2E2E"/>
          <w:shd w:val="clear" w:color="auto" w:fill="FFFFFF"/>
        </w:rPr>
        <w:t xml:space="preserve">AND NOT </w:t>
      </w:r>
      <w:proofErr w:type="gramStart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INDEX(</w:t>
      </w:r>
      <w:proofErr w:type="spellStart"/>
      <w:proofErr w:type="gram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medline</w:t>
      </w:r>
      <w:proofErr w:type="spellEnd"/>
      <w:r w:rsidRPr="00BE58F9">
        <w:rPr>
          <w:rFonts w:ascii="Times New Roman" w:hAnsi="Times New Roman" w:cs="Times New Roman"/>
          <w:color w:val="2E2E2E"/>
          <w:shd w:val="clear" w:color="auto" w:fill="FFFFFF"/>
        </w:rPr>
        <w:t>)</w:t>
      </w:r>
    </w:p>
    <w:p w:rsidR="005D5F1E" w:rsidRPr="00BE58F9" w:rsidRDefault="005D5F1E" w:rsidP="005D5F1E">
      <w:pPr>
        <w:spacing w:after="140"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2E2E2E"/>
          <w:shd w:val="clear" w:color="auto" w:fill="FFFFFF"/>
        </w:rPr>
        <w:t>Retrieves 2756 unique results from Scopus on 2/1/16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proofErr w:type="gramStart"/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Appendix 2.</w:t>
      </w:r>
      <w:proofErr w:type="gramEnd"/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Criteria for performing assessment of bias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1. Was the 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patient sample</w:t>
      </w: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representative?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Definitely yes: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Well described inclusion criteria. Procedure for participant selection </w:t>
      </w:r>
      <w:r>
        <w:rPr>
          <w:rFonts w:ascii="Times New Roman" w:hAnsi="Times New Roman" w:cs="Times New Roman"/>
          <w:color w:val="000000"/>
          <w:shd w:val="clear" w:color="auto" w:fill="FFFFFF"/>
        </w:rPr>
        <w:t>wa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s well-described and participants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enrolled consecutively. Participants are representative and clinical/demographic characteristics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comprehensively described.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Probably yes: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Well described inclusion criteria. Procedure for participant selection </w:t>
      </w:r>
      <w:r>
        <w:rPr>
          <w:rFonts w:ascii="Times New Roman" w:hAnsi="Times New Roman" w:cs="Times New Roman"/>
          <w:color w:val="000000"/>
          <w:shd w:val="clear" w:color="auto" w:fill="FFFFFF"/>
        </w:rPr>
        <w:t>wa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s well-described, but it is unclear if participants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enrolled consecutively. Participants are likely representative, and clinical/demographic characteristics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partially described.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Probably no: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Poorly described inclusion criteria. Procedure for participant selection </w:t>
      </w:r>
      <w:r>
        <w:rPr>
          <w:rFonts w:ascii="Times New Roman" w:hAnsi="Times New Roman" w:cs="Times New Roman"/>
          <w:color w:val="000000"/>
          <w:shd w:val="clear" w:color="auto" w:fill="FFFFFF"/>
        </w:rPr>
        <w:t>wa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s incompletely described and it is unclear if participants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enrolled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consecutively. Participants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are likely not broadly representative and clinical/demographic characteristics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partially described. 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Definitely no: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Poorly described inclusion criteria. Procedure for participant selection </w:t>
      </w:r>
      <w:r>
        <w:rPr>
          <w:rFonts w:ascii="Times New Roman" w:hAnsi="Times New Roman" w:cs="Times New Roman"/>
          <w:color w:val="000000"/>
          <w:shd w:val="clear" w:color="auto" w:fill="FFFFFF"/>
        </w:rPr>
        <w:t>was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not described and it is clear that participants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enrolled non-consecutively. Participants are not representative and clinical/demographic characteristics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not described.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2. Were the prognostic variables well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-</w:t>
      </w: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defined and well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-</w:t>
      </w: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characterized?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Definitely yes: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Well-defined and complete list of prognostic variables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available for all included patients. Methods for measurement of each prognostic variable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clearly 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explained/characterized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Default="005D5F1E" w:rsidP="005D5F1E">
      <w:pPr>
        <w:spacing w:line="480" w:lineRule="auto"/>
        <w:ind w:right="40"/>
        <w:rPr>
          <w:rFonts w:ascii="Times New Roman" w:hAnsi="Times New Roman" w:cs="Times New Roman"/>
          <w:color w:val="000000"/>
          <w:shd w:val="clear" w:color="auto" w:fill="FFFFFF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Probably yes: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Well-defined and complete list of prognostic variables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available for the majority of included patients. Methods for measurement of some prognostic variables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somewhat 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explained/characterized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Probably no: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Poorly-defined and incomplete list of prognostic variables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available for a minority of included patients. Methods for measurement of prognostic variables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poorly characterized.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Definitely no: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Prognostic variables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unreported and undefined.</w:t>
      </w:r>
    </w:p>
    <w:p w:rsidR="005D5F1E" w:rsidRDefault="005D5F1E" w:rsidP="005D5F1E">
      <w:pPr>
        <w:spacing w:line="480" w:lineRule="auto"/>
        <w:ind w:right="4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:rsidR="005D5F1E" w:rsidRDefault="005D5F1E" w:rsidP="005D5F1E">
      <w:pPr>
        <w:spacing w:line="480" w:lineRule="auto"/>
        <w:ind w:right="4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3. Can we be confident in the assessment of outcome?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Definitely yes: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Study outcomes are rigorously quantified, well-defined, and appropriately obtained. Participants kept a post-intervention seizure diary, follow-up appointments were adequate</w:t>
      </w:r>
      <w:r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and data were collected in duplicate and independently analyzed. 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Probably yes: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Study outcomes are reasonably quantified, somewhat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defined, and appropriately obtained. It is unclear if participants kept post-intervention seizure diary and follow-up appointments were adequate. 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Probably no: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Study outcomes are subjective and somewhat qualitative, inadequately defined and inappropriately obtained. No seizure diary was kept and follow-up appointments were inadequate and infrequent.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Definitely no: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Study outcomes are subjective and qualitative, undefined, and inappropriately obtained. Participants did not keep a seizure diary, and follow-up appointments were inadequate or nonexistent.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4. </w:t>
      </w:r>
      <w:proofErr w:type="gramStart"/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Was</w:t>
      </w:r>
      <w:proofErr w:type="gramEnd"/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the follow-up adequate?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Definitely yes: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No outcome data was missing OR reasons for missing outcome data were unlikely to be related to the outcome. Participants lost to follow-up were balanced across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different demographic or treatment groups with similar reasons for missing outcome data between groups.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Probably yes: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Rare missing outcome data. Reasons for missing outcome data were unlikely to be related to true outcome. Participants lost to follow-up were mostly balanced across different demographic or treatment groups with similar reasons for missing outcome data between groups. 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Probably no: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Some missing outcome data. Reasons for missing outcome data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were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likely to be related to true outcome. Participants lost to follow-up were overrepresented in certain demographic or treatment groups with dissimilar reasons for missing outcome data between groups. 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Definitely no: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Significant missing outcome data. Reason for missing outcome data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likely to be related to true outcome. Participants lost to follow-up were significantly concentrated within certain demographic or treatment groups with clearly biased reasons for missing outcome data between groups.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:rsidR="005D5F1E" w:rsidRDefault="005D5F1E" w:rsidP="005D5F1E">
      <w:pPr>
        <w:spacing w:line="480" w:lineRule="auto"/>
        <w:ind w:right="4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5. Can we be confident that the treatment was standardized?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Definitely yes: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The treatment </w:t>
      </w:r>
      <w:r>
        <w:rPr>
          <w:rFonts w:ascii="Times New Roman" w:hAnsi="Times New Roman" w:cs="Times New Roman"/>
          <w:color w:val="000000"/>
          <w:shd w:val="clear" w:color="auto" w:fill="FFFFFF"/>
        </w:rPr>
        <w:t>wa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s standardized across patients and </w:t>
      </w:r>
      <w:r>
        <w:rPr>
          <w:rFonts w:ascii="Times New Roman" w:hAnsi="Times New Roman" w:cs="Times New Roman"/>
          <w:color w:val="000000"/>
          <w:shd w:val="clear" w:color="auto" w:fill="FFFFFF"/>
        </w:rPr>
        <w:t>was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described in adequate detail. Specifically, stimulation coil type, position, frequency, and general regime 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was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consistent. The same TMS operator was used and method for identifying seizure focus was kept consistent between participants.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Probably yes: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The treatment </w:t>
      </w:r>
      <w:r>
        <w:rPr>
          <w:rFonts w:ascii="Times New Roman" w:hAnsi="Times New Roman" w:cs="Times New Roman"/>
          <w:color w:val="000000"/>
          <w:shd w:val="clear" w:color="auto" w:fill="FFFFFF"/>
        </w:rPr>
        <w:t>was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standardized across patients and </w:t>
      </w:r>
      <w:r>
        <w:rPr>
          <w:rFonts w:ascii="Times New Roman" w:hAnsi="Times New Roman" w:cs="Times New Roman"/>
          <w:color w:val="000000"/>
          <w:shd w:val="clear" w:color="auto" w:fill="FFFFFF"/>
        </w:rPr>
        <w:t>was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described in some detail. Specifically, stimulation coil type, position, frequency, and general regime 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was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generally consistent. The same TMS operator was used and method for identifying seizure focus was kept consistent between participants.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Probably no: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Some patients received different treatments and treatments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inadequately described. Specifically, stimulation coil type, position, frequency, and general regime might 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change</w:t>
      </w:r>
      <w:r>
        <w:rPr>
          <w:rFonts w:ascii="Times New Roman" w:hAnsi="Times New Roman" w:cs="Times New Roman"/>
          <w:color w:val="000000"/>
          <w:shd w:val="clear" w:color="auto" w:fill="FFFFFF"/>
        </w:rPr>
        <w:t>d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for some patients. Different TMS operators were used and methods for identifying seizure focus might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have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be</w:t>
      </w:r>
      <w:r>
        <w:rPr>
          <w:rFonts w:ascii="Times New Roman" w:hAnsi="Times New Roman" w:cs="Times New Roman"/>
          <w:color w:val="000000"/>
          <w:shd w:val="clear" w:color="auto" w:fill="FFFFFF"/>
        </w:rPr>
        <w:t>en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inconsistent. 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Definitely no: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Treatment was not standardized across patients and was poorly described. Stimulation coil type, position, frequency, and general regime might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have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varied significantly between patients. Different TMS operators were used, and method</w:t>
      </w:r>
      <w:r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for identifying seizure focus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not described or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were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inconsistent.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proofErr w:type="gramStart"/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Appendix 3.</w:t>
      </w:r>
      <w:proofErr w:type="gramEnd"/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Excluded articles and justifications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Patients overlap with another article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Tergau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F,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Naumann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U,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Paulus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W, et al. Low-frequency repetitive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magnetic stimulation improves intractable epilepsy. 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Lancet.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1999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;353:2209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2.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Sun W, Fu W, Mao W, et al. Low-Frequency Repetitive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Magnetic Stimulation for the Treatment of Refractory Partial Epilepsy.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Clin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EEG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Neurosci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. 2011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;42:40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hd w:val="clear" w:color="auto" w:fill="FFFFFF"/>
        </w:rPr>
        <w:t>4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4.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Summary article of another study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3.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Steinhoff BJ. </w:t>
      </w:r>
      <w:proofErr w:type="spellStart"/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magnetic stimulation for therapy of refractory seizures.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Epilepsia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.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2002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;43</w:t>
      </w:r>
      <w:r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8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-12.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Treatment was not for drug-resistant epilepsy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4.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Rotenberg A,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Bae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EH,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Takeoka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M, et al. Repetitive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magnetic stimulation in the treatment of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epilepsia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partialis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continua. 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Epilepsy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Behav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.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2009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;14:253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hd w:val="clear" w:color="auto" w:fill="FFFFFF"/>
        </w:rPr>
        <w:t>257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5.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Wang X, Yang D, Wang S, et al. Effects of low-frequency repetitive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magnetic stimulation on electroencephalogram and seizure frequency in 15 patients with temporal lobe epilepsy following dipole source localization. Neural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Regen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Res. 2008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;3:1257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hd w:val="clear" w:color="auto" w:fill="FFFFFF"/>
        </w:rPr>
        <w:t>12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Case Report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6.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Morales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OG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, Henry ME, Nobler MS, et al. Electroconvulsive therapy and repetitive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magnetic stimulation in children and adolescents: a review and report of two cases of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epilepsia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partialis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continua. Child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Adolesc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Psychiatr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Clin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N Am. 2005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;14</w:t>
      </w:r>
      <w:r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193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-210, viii-ix.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7.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Civardi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C,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Boccagni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C,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Vicentini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R, et al. Low-frequency repetitive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magnetic stimulation as a treatment of drug-resistant epilepsy in two patients. </w:t>
      </w:r>
      <w:proofErr w:type="spellStart"/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Bollettino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Lega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Italiana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contro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l'Epilessia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.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2001; (113-114):149-</w:t>
      </w:r>
      <w:r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51.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8.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Rotenberg A,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Bae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EH, Muller PA, et al. In-session seizures during low-frequency repetitive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magnetic stimulation in patients with epilepsy. 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Epilepsy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Behav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.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2009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;16:353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hd w:val="clear" w:color="auto" w:fill="FFFFFF"/>
        </w:rPr>
        <w:t>35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5.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9.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Brighina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F,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Fierro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B, Piazza A, et al. Slow-frequency repetitive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magnetic stimulation in patients with cortical dysplasia: Preliminary results. </w:t>
      </w:r>
      <w:proofErr w:type="spellStart"/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Bollettino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Lega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Italiana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contro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l'Epilessia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.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2001;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(113-114):121-</w:t>
      </w:r>
      <w:r>
        <w:rPr>
          <w:rFonts w:ascii="Times New Roman" w:hAnsi="Times New Roman" w:cs="Times New Roman"/>
          <w:color w:val="000000"/>
          <w:shd w:val="clear" w:color="auto" w:fill="FFFFFF"/>
        </w:rPr>
        <w:t>12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3.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Seizure frequency was not primary outcome measure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10.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Kimiskidis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VK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Kugiumtzis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D,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Papagiannopoulos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S, et al.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magnetic stimulation (TMS) modulates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epileptiform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discharges in patients with frontal lobe epilepsy: a preliminary EEG-TMS study.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J Neural Syst. 2013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;23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11.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Wu X, Chen Q, Zhou B, et al. Repetitive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magnetic stimulation of language function in patients with refractory epilepsy: A preliminary functional magnetic resonance imaging study. Neural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Regen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Res. 2009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;4:896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-900.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12.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Zhang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LN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, Wu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SJ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, Tao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HY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, et al.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The clinical exploration of low-frequency repetitive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transcranial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magnetic stimulation in refractory epilepsy.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Chinese Journal of Contemporary Neurology and Neurosurgery.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2010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;10:230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hd w:val="clear" w:color="auto" w:fill="FFFFFF"/>
        </w:rPr>
        <w:t>23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4.</w:t>
      </w:r>
    </w:p>
    <w:p w:rsidR="005D5F1E" w:rsidRPr="00BE58F9" w:rsidRDefault="005D5F1E" w:rsidP="005D5F1E">
      <w:pPr>
        <w:spacing w:line="480" w:lineRule="auto"/>
        <w:rPr>
          <w:rFonts w:ascii="Times New Roman" w:eastAsia="Times New Roman" w:hAnsi="Times New Roman" w:cs="Times New Roman"/>
        </w:rPr>
      </w:pP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Low-frequency </w:t>
      </w:r>
      <w:proofErr w:type="spellStart"/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rTMS</w:t>
      </w:r>
      <w:proofErr w:type="spellEnd"/>
      <w:r w:rsidRPr="00BE58F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was not treatment modality</w:t>
      </w:r>
    </w:p>
    <w:p w:rsidR="005D5F1E" w:rsidRPr="00BE58F9" w:rsidRDefault="005D5F1E" w:rsidP="005D5F1E">
      <w:pPr>
        <w:spacing w:line="480" w:lineRule="auto"/>
        <w:ind w:right="40"/>
        <w:rPr>
          <w:rFonts w:ascii="Times New Roman" w:hAnsi="Times New Roman" w:cs="Times New Roman"/>
        </w:rPr>
      </w:pPr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13. 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Brighina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F, Daniele O, Piazza A, et al. Hemispheric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cerebellar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rTMS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to treat drug-resistant epilepsy: case reports.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Neurosci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Lett</w:t>
      </w:r>
      <w:proofErr w:type="spell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. 2006</w:t>
      </w:r>
      <w:proofErr w:type="gramStart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;397:229</w:t>
      </w:r>
      <w:proofErr w:type="gramEnd"/>
      <w:r w:rsidRPr="00BE58F9">
        <w:rPr>
          <w:rFonts w:ascii="Times New Roman" w:hAnsi="Times New Roman" w:cs="Times New Roman"/>
          <w:color w:val="000000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Pr="00BE58F9">
        <w:rPr>
          <w:rFonts w:ascii="Times New Roman" w:hAnsi="Times New Roman" w:cs="Times New Roman"/>
          <w:color w:val="000000"/>
          <w:shd w:val="clear" w:color="auto" w:fill="FFFFFF"/>
        </w:rPr>
        <w:t>33.</w:t>
      </w:r>
    </w:p>
    <w:p w:rsidR="004B244C" w:rsidRDefault="005D5F1E" w:rsidP="005D5F1E">
      <w:r w:rsidRPr="00BE58F9">
        <w:rPr>
          <w:rFonts w:ascii="Times New Roman" w:eastAsia="Times New Roman" w:hAnsi="Times New Roman" w:cs="Times New Roman"/>
        </w:rPr>
        <w:br/>
      </w:r>
      <w:r w:rsidRPr="00BE58F9">
        <w:rPr>
          <w:rFonts w:ascii="Times New Roman" w:eastAsia="Times New Roman" w:hAnsi="Times New Roman" w:cs="Times New Roman"/>
        </w:rPr>
        <w:br/>
      </w:r>
    </w:p>
    <w:sectPr w:rsidR="004B244C" w:rsidSect="004B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5F1E"/>
    <w:rsid w:val="004B244C"/>
    <w:rsid w:val="005D5F1E"/>
    <w:rsid w:val="00EF4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1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1444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loginwb6</dc:creator>
  <cp:keywords/>
  <dc:description/>
  <cp:lastModifiedBy>loginwb6</cp:lastModifiedBy>
  <cp:revision>2</cp:revision>
  <dcterms:created xsi:type="dcterms:W3CDTF">2017-11-23T09:20:00Z</dcterms:created>
  <dcterms:modified xsi:type="dcterms:W3CDTF">2017-11-23T09:20:00Z</dcterms:modified>
</cp:coreProperties>
</file>