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43DB3" w14:textId="7D566401" w:rsidR="00B563DF" w:rsidRPr="005524F3" w:rsidRDefault="008549FF" w:rsidP="00B563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Additional file 2</w:t>
      </w:r>
      <w:r>
        <w:rPr>
          <w:rFonts w:ascii="Times New Roman" w:hAnsi="Times New Roman" w:cs="Times New Roman"/>
          <w:b/>
        </w:rPr>
        <w:t xml:space="preserve">: </w:t>
      </w:r>
      <w:r w:rsidR="00B563DF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S2</w:t>
      </w:r>
      <w:bookmarkStart w:id="0" w:name="_GoBack"/>
      <w:bookmarkEnd w:id="0"/>
      <w:r w:rsidR="00B563DF">
        <w:rPr>
          <w:rFonts w:ascii="Times New Roman" w:hAnsi="Times New Roman" w:cs="Times New Roman"/>
          <w:b/>
        </w:rPr>
        <w:t xml:space="preserve"> </w:t>
      </w:r>
      <w:r w:rsidR="00B563DF" w:rsidRPr="005524F3">
        <w:rPr>
          <w:rFonts w:ascii="Times New Roman" w:hAnsi="Times New Roman" w:cs="Times New Roman"/>
        </w:rPr>
        <w:t>Key outcomes of responders and nonresponders to insulin glargine 100 units/ml at 24 weeks by study</w:t>
      </w:r>
    </w:p>
    <w:tbl>
      <w:tblPr>
        <w:tblStyle w:val="TableGrid"/>
        <w:tblW w:w="12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4"/>
        <w:gridCol w:w="3167"/>
        <w:gridCol w:w="3224"/>
        <w:gridCol w:w="1350"/>
      </w:tblGrid>
      <w:tr w:rsidR="00B563DF" w:rsidRPr="00116573" w14:paraId="451E9185" w14:textId="77777777" w:rsidTr="0084545D">
        <w:trPr>
          <w:trHeight w:val="576"/>
        </w:trPr>
        <w:tc>
          <w:tcPr>
            <w:tcW w:w="4844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5F7FCE7A" w14:textId="77777777" w:rsidR="00B563DF" w:rsidRPr="00116573" w:rsidRDefault="00B563DF" w:rsidP="0084545D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210220" w14:textId="77777777" w:rsidR="00B563DF" w:rsidRPr="00533501" w:rsidRDefault="00B563DF" w:rsidP="0084545D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501">
              <w:rPr>
                <w:rFonts w:ascii="Times New Roman" w:hAnsi="Times New Roman" w:cs="Times New Roman"/>
                <w:b/>
                <w:sz w:val="20"/>
                <w:szCs w:val="20"/>
              </w:rPr>
              <w:t>Responders</w:t>
            </w:r>
          </w:p>
          <w:p w14:paraId="1E5B5D5E" w14:textId="77777777" w:rsidR="00B563DF" w:rsidRPr="009C38BF" w:rsidRDefault="00B563DF" w:rsidP="0084545D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3501">
              <w:rPr>
                <w:rFonts w:ascii="Times New Roman" w:hAnsi="Times New Roman" w:cs="Times New Roman"/>
                <w:b/>
                <w:sz w:val="20"/>
                <w:szCs w:val="20"/>
              </w:rPr>
              <w:t>(HbA1c &lt;7% or ≥1% Reduction)</w:t>
            </w:r>
          </w:p>
        </w:tc>
        <w:tc>
          <w:tcPr>
            <w:tcW w:w="322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19AD86" w14:textId="77777777" w:rsidR="00B563DF" w:rsidRPr="00533501" w:rsidRDefault="00B563DF" w:rsidP="0084545D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501">
              <w:rPr>
                <w:rFonts w:ascii="Times New Roman" w:hAnsi="Times New Roman" w:cs="Times New Roman"/>
                <w:b/>
                <w:sz w:val="20"/>
                <w:szCs w:val="20"/>
              </w:rPr>
              <w:t>Nonresponders</w:t>
            </w:r>
          </w:p>
          <w:p w14:paraId="1E22C75F" w14:textId="77777777" w:rsidR="00B563DF" w:rsidRPr="009C38BF" w:rsidRDefault="00B563DF" w:rsidP="0084545D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3501">
              <w:rPr>
                <w:rFonts w:ascii="Times New Roman" w:hAnsi="Times New Roman" w:cs="Times New Roman"/>
                <w:b/>
                <w:sz w:val="20"/>
                <w:szCs w:val="20"/>
              </w:rPr>
              <w:t>(HbA1c ≥7% and &lt;1% Reduction)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474B3F" w14:textId="77777777" w:rsidR="00B563DF" w:rsidRPr="00F83EA9" w:rsidRDefault="00B563DF" w:rsidP="0084545D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83EA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 </w:t>
            </w:r>
            <w:r w:rsidRPr="00F83EA9"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</w:tr>
      <w:tr w:rsidR="00B563DF" w:rsidRPr="00116573" w14:paraId="1EADD153" w14:textId="77777777" w:rsidTr="0084545D">
        <w:tc>
          <w:tcPr>
            <w:tcW w:w="11235" w:type="dxa"/>
            <w:gridSpan w:val="3"/>
            <w:tcBorders>
              <w:top w:val="single" w:sz="4" w:space="0" w:color="auto"/>
            </w:tcBorders>
          </w:tcPr>
          <w:p w14:paraId="40C168CB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b/>
                <w:sz w:val="20"/>
                <w:szCs w:val="20"/>
              </w:rPr>
              <w:t>HbA1c (mmol/mol), n; LS mean CFB (SE) at 24 weeks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56DE068A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563DF" w:rsidRPr="00116573" w14:paraId="77DBAD60" w14:textId="77777777" w:rsidTr="0084545D">
        <w:tc>
          <w:tcPr>
            <w:tcW w:w="4844" w:type="dxa"/>
            <w:vAlign w:val="center"/>
          </w:tcPr>
          <w:p w14:paraId="0D4413EE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Buse 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07BD3C79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677; -24 (0.55)</w:t>
            </w:r>
          </w:p>
        </w:tc>
        <w:tc>
          <w:tcPr>
            <w:tcW w:w="3224" w:type="dxa"/>
            <w:vAlign w:val="center"/>
          </w:tcPr>
          <w:p w14:paraId="01C5AB7A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193; -7 (0.77)</w:t>
            </w:r>
          </w:p>
        </w:tc>
        <w:tc>
          <w:tcPr>
            <w:tcW w:w="1350" w:type="dxa"/>
            <w:vAlign w:val="center"/>
          </w:tcPr>
          <w:p w14:paraId="17501FAB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</w:tr>
      <w:tr w:rsidR="00B563DF" w:rsidRPr="00116573" w14:paraId="3ADAC6B1" w14:textId="77777777" w:rsidTr="0084545D">
        <w:tc>
          <w:tcPr>
            <w:tcW w:w="4844" w:type="dxa"/>
            <w:vAlign w:val="center"/>
          </w:tcPr>
          <w:p w14:paraId="41972CF1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Jain 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5FA3F722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184; </w:t>
            </w:r>
            <w:r w:rsidRPr="004F2126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4F212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  <w:r w:rsidRPr="004F21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24" w:type="dxa"/>
            <w:vAlign w:val="center"/>
          </w:tcPr>
          <w:p w14:paraId="304CCE89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33; -13 </w:t>
            </w:r>
            <w:r w:rsidRPr="004F21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1.42</w:t>
            </w:r>
            <w:r w:rsidRPr="004F21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14:paraId="0D9C28ED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</w:tr>
      <w:tr w:rsidR="00B563DF" w:rsidRPr="00116573" w14:paraId="656C1834" w14:textId="77777777" w:rsidTr="0084545D">
        <w:tc>
          <w:tcPr>
            <w:tcW w:w="4844" w:type="dxa"/>
            <w:vAlign w:val="center"/>
          </w:tcPr>
          <w:p w14:paraId="76054FC9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Rosenstock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44D2C9E8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327;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-21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(0.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</w:p>
        </w:tc>
        <w:tc>
          <w:tcPr>
            <w:tcW w:w="3224" w:type="dxa"/>
            <w:vAlign w:val="center"/>
          </w:tcPr>
          <w:p w14:paraId="659894BB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71;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-7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14:paraId="298EC6C4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</w:tr>
      <w:tr w:rsidR="00B563DF" w:rsidRPr="00116573" w14:paraId="72D0D8C0" w14:textId="77777777" w:rsidTr="0084545D">
        <w:tc>
          <w:tcPr>
            <w:tcW w:w="4844" w:type="dxa"/>
            <w:vAlign w:val="center"/>
          </w:tcPr>
          <w:p w14:paraId="7EE97C45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Integrated analysis</w:t>
            </w:r>
          </w:p>
        </w:tc>
        <w:tc>
          <w:tcPr>
            <w:tcW w:w="3167" w:type="dxa"/>
            <w:vAlign w:val="center"/>
          </w:tcPr>
          <w:p w14:paraId="5E516D28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1188; -24 (0.44)</w:t>
            </w:r>
          </w:p>
        </w:tc>
        <w:tc>
          <w:tcPr>
            <w:tcW w:w="3224" w:type="dxa"/>
            <w:vAlign w:val="center"/>
          </w:tcPr>
          <w:p w14:paraId="74D58EBD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297; -9 (0.66)</w:t>
            </w:r>
          </w:p>
        </w:tc>
        <w:tc>
          <w:tcPr>
            <w:tcW w:w="1350" w:type="dxa"/>
            <w:vAlign w:val="center"/>
          </w:tcPr>
          <w:p w14:paraId="3FD1E87D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</w:tr>
      <w:tr w:rsidR="00B563DF" w:rsidRPr="00116573" w14:paraId="56FE816D" w14:textId="77777777" w:rsidTr="0084545D">
        <w:tc>
          <w:tcPr>
            <w:tcW w:w="11235" w:type="dxa"/>
            <w:gridSpan w:val="3"/>
          </w:tcPr>
          <w:p w14:paraId="511839AE" w14:textId="77777777" w:rsidR="00B563DF" w:rsidRPr="00116573" w:rsidRDefault="00B563DF" w:rsidP="0084545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b/>
                <w:sz w:val="20"/>
                <w:szCs w:val="20"/>
              </w:rPr>
              <w:t>HbA1c (%), n; LS mean CFB (SE) at 24 weeks</w:t>
            </w:r>
          </w:p>
        </w:tc>
        <w:tc>
          <w:tcPr>
            <w:tcW w:w="1350" w:type="dxa"/>
            <w:vAlign w:val="center"/>
          </w:tcPr>
          <w:p w14:paraId="2969B2D6" w14:textId="77777777" w:rsidR="00B563DF" w:rsidRPr="00682501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63DF" w:rsidRPr="00116573" w14:paraId="49B78E1D" w14:textId="77777777" w:rsidTr="0084545D">
        <w:tc>
          <w:tcPr>
            <w:tcW w:w="4844" w:type="dxa"/>
            <w:vAlign w:val="center"/>
          </w:tcPr>
          <w:p w14:paraId="7CB80996" w14:textId="77777777" w:rsidR="00B563DF" w:rsidRPr="00116573" w:rsidRDefault="00B563DF" w:rsidP="008454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Buse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et al.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3B54BB46" w14:textId="77777777" w:rsidR="00B563DF" w:rsidRPr="00E34777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677; </w:t>
            </w:r>
            <w:r w:rsidRPr="00E34777">
              <w:rPr>
                <w:rFonts w:ascii="Times New Roman" w:hAnsi="Times New Roman" w:cs="Times New Roman"/>
                <w:sz w:val="20"/>
                <w:szCs w:val="20"/>
              </w:rPr>
              <w:t>-2.16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77">
              <w:rPr>
                <w:rFonts w:ascii="Times New Roman" w:hAnsi="Times New Roman" w:cs="Times New Roman"/>
                <w:sz w:val="20"/>
                <w:szCs w:val="20"/>
              </w:rPr>
              <w:t>(0.05)</w:t>
            </w:r>
          </w:p>
        </w:tc>
        <w:tc>
          <w:tcPr>
            <w:tcW w:w="3224" w:type="dxa"/>
            <w:vAlign w:val="center"/>
          </w:tcPr>
          <w:p w14:paraId="3CA148F7" w14:textId="77777777" w:rsidR="00B563DF" w:rsidRPr="00E34777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193; </w:t>
            </w:r>
            <w:r w:rsidRPr="00E34777">
              <w:rPr>
                <w:rFonts w:ascii="Times New Roman" w:hAnsi="Times New Roman" w:cs="Times New Roman"/>
                <w:sz w:val="20"/>
                <w:szCs w:val="20"/>
              </w:rPr>
              <w:t>-0.64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777">
              <w:rPr>
                <w:rFonts w:ascii="Times New Roman" w:hAnsi="Times New Roman" w:cs="Times New Roman"/>
                <w:sz w:val="20"/>
                <w:szCs w:val="20"/>
              </w:rPr>
              <w:t>(0.07)</w:t>
            </w:r>
          </w:p>
        </w:tc>
        <w:tc>
          <w:tcPr>
            <w:tcW w:w="1350" w:type="dxa"/>
            <w:vAlign w:val="center"/>
          </w:tcPr>
          <w:p w14:paraId="12791216" w14:textId="77777777" w:rsidR="00B563DF" w:rsidRPr="00682501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</w:tr>
      <w:tr w:rsidR="00B563DF" w:rsidRPr="00116573" w14:paraId="558E8D4C" w14:textId="77777777" w:rsidTr="0084545D">
        <w:tc>
          <w:tcPr>
            <w:tcW w:w="4844" w:type="dxa"/>
            <w:vAlign w:val="center"/>
          </w:tcPr>
          <w:p w14:paraId="21D3CA40" w14:textId="77777777" w:rsidR="00B563DF" w:rsidRPr="00116573" w:rsidRDefault="00B563DF" w:rsidP="008454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Jain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et al.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5502B950" w14:textId="77777777" w:rsidR="00B563DF" w:rsidRPr="004F2126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184; </w:t>
            </w:r>
            <w:r w:rsidRPr="004F2126">
              <w:rPr>
                <w:rFonts w:ascii="Times New Roman" w:hAnsi="Times New Roman" w:cs="Times New Roman"/>
                <w:sz w:val="20"/>
                <w:szCs w:val="20"/>
              </w:rPr>
              <w:t>-2.33 (0.05)</w:t>
            </w:r>
          </w:p>
        </w:tc>
        <w:tc>
          <w:tcPr>
            <w:tcW w:w="3224" w:type="dxa"/>
            <w:vAlign w:val="center"/>
          </w:tcPr>
          <w:p w14:paraId="648C1783" w14:textId="77777777" w:rsidR="00B563DF" w:rsidRPr="004F2126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33; </w:t>
            </w:r>
            <w:r w:rsidRPr="004F2126">
              <w:rPr>
                <w:rFonts w:ascii="Times New Roman" w:hAnsi="Times New Roman" w:cs="Times New Roman"/>
                <w:sz w:val="20"/>
                <w:szCs w:val="20"/>
              </w:rPr>
              <w:t>-1.15 (0.13)</w:t>
            </w:r>
          </w:p>
        </w:tc>
        <w:tc>
          <w:tcPr>
            <w:tcW w:w="1350" w:type="dxa"/>
            <w:vAlign w:val="center"/>
          </w:tcPr>
          <w:p w14:paraId="6D6EFA8B" w14:textId="77777777" w:rsidR="00B563DF" w:rsidRPr="00682501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</w:tr>
      <w:tr w:rsidR="00B563DF" w:rsidRPr="00116573" w14:paraId="36172370" w14:textId="77777777" w:rsidTr="0084545D">
        <w:tc>
          <w:tcPr>
            <w:tcW w:w="4844" w:type="dxa"/>
            <w:vAlign w:val="center"/>
          </w:tcPr>
          <w:p w14:paraId="58CF7E8A" w14:textId="77777777" w:rsidR="00B563DF" w:rsidRPr="00116573" w:rsidRDefault="00B563DF" w:rsidP="008454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Rosenstock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et al.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2B365D7C" w14:textId="77777777" w:rsidR="00B563DF" w:rsidRPr="00116573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327; -1.90 (0.04)</w:t>
            </w:r>
          </w:p>
        </w:tc>
        <w:tc>
          <w:tcPr>
            <w:tcW w:w="3224" w:type="dxa"/>
            <w:vAlign w:val="center"/>
          </w:tcPr>
          <w:p w14:paraId="5FAD205B" w14:textId="77777777" w:rsidR="00B563DF" w:rsidRPr="00116573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71; -0.64 (0.08)</w:t>
            </w:r>
          </w:p>
        </w:tc>
        <w:tc>
          <w:tcPr>
            <w:tcW w:w="1350" w:type="dxa"/>
            <w:vAlign w:val="center"/>
          </w:tcPr>
          <w:p w14:paraId="0FBF39C0" w14:textId="77777777" w:rsidR="00B563DF" w:rsidRPr="00682501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</w:tr>
      <w:tr w:rsidR="00B563DF" w:rsidRPr="00116573" w14:paraId="62AACD2C" w14:textId="77777777" w:rsidTr="0084545D">
        <w:tc>
          <w:tcPr>
            <w:tcW w:w="4844" w:type="dxa"/>
            <w:vAlign w:val="center"/>
          </w:tcPr>
          <w:p w14:paraId="30B74B5E" w14:textId="77777777" w:rsidR="00B563DF" w:rsidRPr="00116573" w:rsidRDefault="00B563DF" w:rsidP="008454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Integrated analysis</w:t>
            </w:r>
          </w:p>
        </w:tc>
        <w:tc>
          <w:tcPr>
            <w:tcW w:w="3167" w:type="dxa"/>
            <w:vAlign w:val="center"/>
          </w:tcPr>
          <w:p w14:paraId="02D31A29" w14:textId="77777777" w:rsidR="00B563DF" w:rsidRPr="00116573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1188; -2.16 (0.04)</w:t>
            </w:r>
          </w:p>
        </w:tc>
        <w:tc>
          <w:tcPr>
            <w:tcW w:w="3224" w:type="dxa"/>
            <w:vAlign w:val="center"/>
          </w:tcPr>
          <w:p w14:paraId="779F5588" w14:textId="77777777" w:rsidR="00B563DF" w:rsidRPr="00116573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297; -0.78 (0.06)</w:t>
            </w:r>
          </w:p>
        </w:tc>
        <w:tc>
          <w:tcPr>
            <w:tcW w:w="1350" w:type="dxa"/>
            <w:vAlign w:val="center"/>
          </w:tcPr>
          <w:p w14:paraId="36A13CEB" w14:textId="77777777" w:rsidR="00B563DF" w:rsidRPr="00682501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</w:tr>
      <w:tr w:rsidR="00B563DF" w:rsidRPr="00116573" w14:paraId="5A0CB243" w14:textId="77777777" w:rsidTr="0084545D">
        <w:tc>
          <w:tcPr>
            <w:tcW w:w="11235" w:type="dxa"/>
            <w:gridSpan w:val="3"/>
          </w:tcPr>
          <w:p w14:paraId="4D8E0DF7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b/>
                <w:sz w:val="20"/>
                <w:szCs w:val="20"/>
              </w:rPr>
              <w:t>Dose (units/kg/day), n; LS mean (SE) at 24 weeks</w:t>
            </w:r>
          </w:p>
        </w:tc>
        <w:tc>
          <w:tcPr>
            <w:tcW w:w="1350" w:type="dxa"/>
            <w:vAlign w:val="center"/>
          </w:tcPr>
          <w:p w14:paraId="5DBA95AB" w14:textId="77777777" w:rsidR="00B563DF" w:rsidRPr="00682501" w:rsidRDefault="00B563DF" w:rsidP="00845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63DF" w:rsidRPr="00116573" w14:paraId="3A435AA7" w14:textId="77777777" w:rsidTr="0084545D">
        <w:tc>
          <w:tcPr>
            <w:tcW w:w="4844" w:type="dxa"/>
            <w:vAlign w:val="center"/>
          </w:tcPr>
          <w:p w14:paraId="341F98D2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Buse 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3B367A05" w14:textId="77777777" w:rsidR="00B563DF" w:rsidRPr="00C6226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263">
              <w:rPr>
                <w:rFonts w:ascii="Times New Roman" w:hAnsi="Times New Roman" w:cs="Times New Roman"/>
                <w:sz w:val="20"/>
                <w:szCs w:val="20"/>
              </w:rPr>
              <w:t>676; 0.43 (0.01)</w:t>
            </w:r>
          </w:p>
        </w:tc>
        <w:tc>
          <w:tcPr>
            <w:tcW w:w="3224" w:type="dxa"/>
            <w:vAlign w:val="center"/>
          </w:tcPr>
          <w:p w14:paraId="33F3E177" w14:textId="77777777" w:rsidR="00B563DF" w:rsidRPr="00C6226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2263">
              <w:rPr>
                <w:rFonts w:ascii="Times New Roman" w:hAnsi="Times New Roman" w:cs="Times New Roman"/>
                <w:sz w:val="20"/>
                <w:szCs w:val="20"/>
              </w:rPr>
              <w:t>193; 0.46 (0.02)</w:t>
            </w:r>
          </w:p>
        </w:tc>
        <w:tc>
          <w:tcPr>
            <w:tcW w:w="1350" w:type="dxa"/>
            <w:vAlign w:val="center"/>
          </w:tcPr>
          <w:p w14:paraId="2E1D6F4B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.100</w:t>
            </w:r>
          </w:p>
        </w:tc>
      </w:tr>
      <w:tr w:rsidR="00B563DF" w:rsidRPr="00116573" w14:paraId="3E577CB8" w14:textId="77777777" w:rsidTr="0084545D">
        <w:tc>
          <w:tcPr>
            <w:tcW w:w="4844" w:type="dxa"/>
            <w:vAlign w:val="center"/>
          </w:tcPr>
          <w:p w14:paraId="44F97A4E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Jain 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31D5E0AC" w14:textId="77777777" w:rsidR="00B563DF" w:rsidRPr="00350127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0127">
              <w:rPr>
                <w:rFonts w:ascii="Times New Roman" w:hAnsi="Times New Roman" w:cs="Times New Roman"/>
                <w:sz w:val="20"/>
                <w:szCs w:val="20"/>
              </w:rPr>
              <w:t>184; 0.45 (0.02)</w:t>
            </w:r>
          </w:p>
        </w:tc>
        <w:tc>
          <w:tcPr>
            <w:tcW w:w="3224" w:type="dxa"/>
            <w:vAlign w:val="center"/>
          </w:tcPr>
          <w:p w14:paraId="7518F442" w14:textId="77777777" w:rsidR="00B563DF" w:rsidRPr="00350127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0127">
              <w:rPr>
                <w:rFonts w:ascii="Times New Roman" w:hAnsi="Times New Roman" w:cs="Times New Roman"/>
                <w:sz w:val="20"/>
                <w:szCs w:val="20"/>
              </w:rPr>
              <w:t>33; 0.37 (0.05)</w:t>
            </w:r>
          </w:p>
        </w:tc>
        <w:tc>
          <w:tcPr>
            <w:tcW w:w="1350" w:type="dxa"/>
            <w:vAlign w:val="center"/>
          </w:tcPr>
          <w:p w14:paraId="595F76A5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.105</w:t>
            </w:r>
          </w:p>
        </w:tc>
      </w:tr>
      <w:tr w:rsidR="00B563DF" w:rsidRPr="00116573" w14:paraId="34215381" w14:textId="77777777" w:rsidTr="0084545D">
        <w:tc>
          <w:tcPr>
            <w:tcW w:w="4844" w:type="dxa"/>
            <w:vAlign w:val="center"/>
          </w:tcPr>
          <w:p w14:paraId="3D588472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Rosenstock 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07DDEEF2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327; 0.57 (0.03)</w:t>
            </w:r>
          </w:p>
        </w:tc>
        <w:tc>
          <w:tcPr>
            <w:tcW w:w="3224" w:type="dxa"/>
            <w:vAlign w:val="center"/>
          </w:tcPr>
          <w:p w14:paraId="6824721C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71; 0.55 (0.05)</w:t>
            </w:r>
          </w:p>
        </w:tc>
        <w:tc>
          <w:tcPr>
            <w:tcW w:w="1350" w:type="dxa"/>
            <w:vAlign w:val="center"/>
          </w:tcPr>
          <w:p w14:paraId="593A7EDA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.659</w:t>
            </w:r>
          </w:p>
        </w:tc>
      </w:tr>
      <w:tr w:rsidR="00B563DF" w:rsidRPr="00116573" w14:paraId="2E17648C" w14:textId="77777777" w:rsidTr="0084545D">
        <w:tc>
          <w:tcPr>
            <w:tcW w:w="4844" w:type="dxa"/>
            <w:vAlign w:val="center"/>
          </w:tcPr>
          <w:p w14:paraId="7D8D3B53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Integrated analysis</w:t>
            </w:r>
          </w:p>
        </w:tc>
        <w:tc>
          <w:tcPr>
            <w:tcW w:w="3167" w:type="dxa"/>
            <w:vAlign w:val="center"/>
          </w:tcPr>
          <w:p w14:paraId="2E29D996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1187; 0.49 (0.01)</w:t>
            </w:r>
          </w:p>
        </w:tc>
        <w:tc>
          <w:tcPr>
            <w:tcW w:w="3224" w:type="dxa"/>
            <w:vAlign w:val="center"/>
          </w:tcPr>
          <w:p w14:paraId="168D21D7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297; 0.47 (0.02)</w:t>
            </w:r>
          </w:p>
        </w:tc>
        <w:tc>
          <w:tcPr>
            <w:tcW w:w="1350" w:type="dxa"/>
            <w:vAlign w:val="center"/>
          </w:tcPr>
          <w:p w14:paraId="3F58007C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 xml:space="preserve">.679  </w:t>
            </w:r>
          </w:p>
        </w:tc>
      </w:tr>
      <w:tr w:rsidR="00B563DF" w:rsidRPr="00116573" w14:paraId="4D39820D" w14:textId="77777777" w:rsidTr="0084545D">
        <w:tc>
          <w:tcPr>
            <w:tcW w:w="11235" w:type="dxa"/>
            <w:gridSpan w:val="3"/>
          </w:tcPr>
          <w:p w14:paraId="52791DFC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116573">
              <w:rPr>
                <w:rFonts w:ascii="Times New Roman" w:hAnsi="Times New Roman" w:cs="Times New Roman"/>
                <w:b/>
                <w:sz w:val="20"/>
                <w:szCs w:val="20"/>
              </w:rPr>
              <w:t>G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mmol/L</w:t>
            </w:r>
            <w:r w:rsidRPr="00116573">
              <w:rPr>
                <w:rFonts w:ascii="Times New Roman" w:hAnsi="Times New Roman" w:cs="Times New Roman"/>
                <w:b/>
                <w:sz w:val="20"/>
                <w:szCs w:val="20"/>
              </w:rPr>
              <w:t>), n; LS mean CFB (SE) at 24 weeks</w:t>
            </w:r>
          </w:p>
        </w:tc>
        <w:tc>
          <w:tcPr>
            <w:tcW w:w="1350" w:type="dxa"/>
            <w:vAlign w:val="center"/>
          </w:tcPr>
          <w:p w14:paraId="0B801F32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63DF" w:rsidRPr="00116573" w14:paraId="182E2917" w14:textId="77777777" w:rsidTr="0084545D">
        <w:tc>
          <w:tcPr>
            <w:tcW w:w="4844" w:type="dxa"/>
          </w:tcPr>
          <w:p w14:paraId="323F121A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Buse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</w:tcPr>
          <w:p w14:paraId="38A64012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190; -4.55 (0.18)</w:t>
            </w:r>
          </w:p>
        </w:tc>
        <w:tc>
          <w:tcPr>
            <w:tcW w:w="3224" w:type="dxa"/>
          </w:tcPr>
          <w:p w14:paraId="5CF4B719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43; -3.69 (0.31)</w:t>
            </w:r>
          </w:p>
        </w:tc>
        <w:tc>
          <w:tcPr>
            <w:tcW w:w="1350" w:type="dxa"/>
            <w:vAlign w:val="center"/>
          </w:tcPr>
          <w:p w14:paraId="33211BA4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.004</w:t>
            </w:r>
          </w:p>
        </w:tc>
      </w:tr>
      <w:tr w:rsidR="00B563DF" w:rsidRPr="00116573" w14:paraId="7938CA04" w14:textId="77777777" w:rsidTr="0084545D">
        <w:tc>
          <w:tcPr>
            <w:tcW w:w="4844" w:type="dxa"/>
          </w:tcPr>
          <w:p w14:paraId="3DEB07E9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Jain 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</w:tcPr>
          <w:p w14:paraId="7C9B4417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21B7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-3.86 (0.12)</w:t>
            </w:r>
          </w:p>
        </w:tc>
        <w:tc>
          <w:tcPr>
            <w:tcW w:w="3224" w:type="dxa"/>
          </w:tcPr>
          <w:p w14:paraId="6B902D60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21B7">
              <w:rPr>
                <w:rFonts w:ascii="Times New Roman" w:hAnsi="Times New Roman" w:cs="Times New Roman"/>
                <w:sz w:val="20"/>
                <w:szCs w:val="20"/>
              </w:rPr>
              <w:t>30;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-3.73 (0.29)</w:t>
            </w:r>
          </w:p>
        </w:tc>
        <w:tc>
          <w:tcPr>
            <w:tcW w:w="1350" w:type="dxa"/>
            <w:vAlign w:val="center"/>
          </w:tcPr>
          <w:p w14:paraId="1529A201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.679</w:t>
            </w:r>
          </w:p>
        </w:tc>
      </w:tr>
      <w:tr w:rsidR="00B563DF" w:rsidRPr="00116573" w14:paraId="4AE453C2" w14:textId="77777777" w:rsidTr="0084545D">
        <w:tc>
          <w:tcPr>
            <w:tcW w:w="4844" w:type="dxa"/>
          </w:tcPr>
          <w:p w14:paraId="12AAEA80" w14:textId="77777777" w:rsidR="00B563DF" w:rsidRPr="000D001E" w:rsidRDefault="00B563DF" w:rsidP="0084545D">
            <w:pPr>
              <w:spacing w:after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Rosenstock 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[22]</w:t>
            </w:r>
          </w:p>
        </w:tc>
        <w:tc>
          <w:tcPr>
            <w:tcW w:w="3167" w:type="dxa"/>
          </w:tcPr>
          <w:p w14:paraId="41F2EB78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320;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-3.72 (0.10)</w:t>
            </w:r>
          </w:p>
        </w:tc>
        <w:tc>
          <w:tcPr>
            <w:tcW w:w="3224" w:type="dxa"/>
          </w:tcPr>
          <w:p w14:paraId="1F403290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70;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-2.56 (0.18)</w:t>
            </w:r>
          </w:p>
        </w:tc>
        <w:tc>
          <w:tcPr>
            <w:tcW w:w="1350" w:type="dxa"/>
            <w:vAlign w:val="center"/>
          </w:tcPr>
          <w:p w14:paraId="7CE07B3A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</w:tr>
      <w:tr w:rsidR="00B563DF" w:rsidRPr="00116573" w14:paraId="645AE3EF" w14:textId="77777777" w:rsidTr="0084545D">
        <w:tc>
          <w:tcPr>
            <w:tcW w:w="4844" w:type="dxa"/>
          </w:tcPr>
          <w:p w14:paraId="346E24B3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Integrated analysis</w:t>
            </w:r>
          </w:p>
        </w:tc>
        <w:tc>
          <w:tcPr>
            <w:tcW w:w="3167" w:type="dxa"/>
          </w:tcPr>
          <w:p w14:paraId="0082BE19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692;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-3.97 (0.09)</w:t>
            </w:r>
          </w:p>
        </w:tc>
        <w:tc>
          <w:tcPr>
            <w:tcW w:w="3224" w:type="dxa"/>
          </w:tcPr>
          <w:p w14:paraId="32C37B1B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143;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-3.26 (0.16)</w:t>
            </w:r>
          </w:p>
        </w:tc>
        <w:tc>
          <w:tcPr>
            <w:tcW w:w="1350" w:type="dxa"/>
            <w:vAlign w:val="center"/>
          </w:tcPr>
          <w:p w14:paraId="1056933A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  <w:r w:rsidRPr="0038082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</w:tr>
      <w:tr w:rsidR="00B563DF" w:rsidRPr="00116573" w14:paraId="00E31F67" w14:textId="77777777" w:rsidTr="0084545D">
        <w:tc>
          <w:tcPr>
            <w:tcW w:w="11235" w:type="dxa"/>
            <w:gridSpan w:val="3"/>
          </w:tcPr>
          <w:p w14:paraId="0DE73170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116573">
              <w:rPr>
                <w:rFonts w:ascii="Times New Roman" w:hAnsi="Times New Roman" w:cs="Times New Roman"/>
                <w:b/>
                <w:sz w:val="20"/>
                <w:szCs w:val="20"/>
              </w:rPr>
              <w:t>G (mg/dL), n; LS mean CFB (SE) at 24 weeks</w:t>
            </w:r>
          </w:p>
        </w:tc>
        <w:tc>
          <w:tcPr>
            <w:tcW w:w="1350" w:type="dxa"/>
            <w:vAlign w:val="center"/>
          </w:tcPr>
          <w:p w14:paraId="79605D2A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63DF" w:rsidRPr="00116573" w14:paraId="40FC0C36" w14:textId="77777777" w:rsidTr="0084545D">
        <w:tc>
          <w:tcPr>
            <w:tcW w:w="4844" w:type="dxa"/>
            <w:vAlign w:val="center"/>
          </w:tcPr>
          <w:p w14:paraId="243871BC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Buse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246FFF6F" w14:textId="77777777" w:rsidR="00B563DF" w:rsidRPr="004F2126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190; </w:t>
            </w:r>
            <w:r w:rsidRPr="004F2126">
              <w:rPr>
                <w:rFonts w:ascii="Times New Roman" w:hAnsi="Times New Roman" w:cs="Times New Roman"/>
                <w:sz w:val="20"/>
                <w:szCs w:val="20"/>
              </w:rPr>
              <w:t>-81.98 (3.24)</w:t>
            </w:r>
          </w:p>
        </w:tc>
        <w:tc>
          <w:tcPr>
            <w:tcW w:w="3224" w:type="dxa"/>
            <w:vAlign w:val="center"/>
          </w:tcPr>
          <w:p w14:paraId="77A704E6" w14:textId="77777777" w:rsidR="00B563DF" w:rsidRPr="004F2126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43; </w:t>
            </w:r>
            <w:r w:rsidRPr="004F2126">
              <w:rPr>
                <w:rFonts w:ascii="Times New Roman" w:hAnsi="Times New Roman" w:cs="Times New Roman"/>
                <w:sz w:val="20"/>
                <w:szCs w:val="20"/>
              </w:rPr>
              <w:t>-66.56 (5.58)</w:t>
            </w:r>
          </w:p>
        </w:tc>
        <w:tc>
          <w:tcPr>
            <w:tcW w:w="1350" w:type="dxa"/>
            <w:vAlign w:val="center"/>
          </w:tcPr>
          <w:p w14:paraId="5D73DD42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.004</w:t>
            </w:r>
          </w:p>
        </w:tc>
      </w:tr>
      <w:tr w:rsidR="00B563DF" w:rsidRPr="00116573" w14:paraId="2B8091C2" w14:textId="77777777" w:rsidTr="0084545D">
        <w:tc>
          <w:tcPr>
            <w:tcW w:w="4844" w:type="dxa"/>
            <w:vAlign w:val="center"/>
          </w:tcPr>
          <w:p w14:paraId="206D484A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Jain 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1B7AFC1A" w14:textId="77777777" w:rsidR="00B563DF" w:rsidRPr="005621B7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1B7">
              <w:rPr>
                <w:rFonts w:ascii="Times New Roman" w:hAnsi="Times New Roman" w:cs="Times New Roman"/>
                <w:sz w:val="20"/>
                <w:szCs w:val="20"/>
              </w:rPr>
              <w:t>182; -69.50 (2.12)</w:t>
            </w:r>
          </w:p>
        </w:tc>
        <w:tc>
          <w:tcPr>
            <w:tcW w:w="3224" w:type="dxa"/>
            <w:vAlign w:val="center"/>
          </w:tcPr>
          <w:p w14:paraId="58263448" w14:textId="77777777" w:rsidR="00B563DF" w:rsidRPr="005621B7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21B7">
              <w:rPr>
                <w:rFonts w:ascii="Times New Roman" w:hAnsi="Times New Roman" w:cs="Times New Roman"/>
                <w:sz w:val="20"/>
                <w:szCs w:val="20"/>
              </w:rPr>
              <w:t xml:space="preserve">30; -67.13 (5.28)  </w:t>
            </w:r>
          </w:p>
        </w:tc>
        <w:tc>
          <w:tcPr>
            <w:tcW w:w="1350" w:type="dxa"/>
            <w:vAlign w:val="center"/>
          </w:tcPr>
          <w:p w14:paraId="4CB088E5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 xml:space="preserve">.679  </w:t>
            </w:r>
          </w:p>
        </w:tc>
      </w:tr>
      <w:tr w:rsidR="00B563DF" w:rsidRPr="00116573" w14:paraId="380661F3" w14:textId="77777777" w:rsidTr="0084545D">
        <w:tc>
          <w:tcPr>
            <w:tcW w:w="4844" w:type="dxa"/>
            <w:vAlign w:val="center"/>
          </w:tcPr>
          <w:p w14:paraId="7E648DC6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Rosenstock </w:t>
            </w:r>
            <w:r w:rsidRPr="00445617">
              <w:rPr>
                <w:rFonts w:ascii="Times New Roman" w:hAnsi="Times New Roman" w:cs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67" w:type="dxa"/>
            <w:vAlign w:val="center"/>
          </w:tcPr>
          <w:p w14:paraId="729FDE03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320; -67.01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(1.72)</w:t>
            </w:r>
          </w:p>
        </w:tc>
        <w:tc>
          <w:tcPr>
            <w:tcW w:w="3224" w:type="dxa"/>
            <w:vAlign w:val="center"/>
          </w:tcPr>
          <w:p w14:paraId="7A15074E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70; -46.16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(3.19)</w:t>
            </w:r>
          </w:p>
        </w:tc>
        <w:tc>
          <w:tcPr>
            <w:tcW w:w="1350" w:type="dxa"/>
            <w:vAlign w:val="center"/>
          </w:tcPr>
          <w:p w14:paraId="13C64309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</w:tr>
      <w:tr w:rsidR="00B563DF" w:rsidRPr="00116573" w14:paraId="6DC24B12" w14:textId="77777777" w:rsidTr="0084545D">
        <w:tc>
          <w:tcPr>
            <w:tcW w:w="4844" w:type="dxa"/>
            <w:tcBorders>
              <w:bottom w:val="single" w:sz="12" w:space="0" w:color="auto"/>
            </w:tcBorders>
            <w:vAlign w:val="center"/>
          </w:tcPr>
          <w:p w14:paraId="67E86B29" w14:textId="77777777" w:rsidR="00B563DF" w:rsidRPr="00116573" w:rsidRDefault="00B563DF" w:rsidP="0084545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 xml:space="preserve">     Integrated analysis</w:t>
            </w:r>
          </w:p>
        </w:tc>
        <w:tc>
          <w:tcPr>
            <w:tcW w:w="3167" w:type="dxa"/>
            <w:tcBorders>
              <w:bottom w:val="single" w:sz="12" w:space="0" w:color="auto"/>
            </w:tcBorders>
            <w:vAlign w:val="center"/>
          </w:tcPr>
          <w:p w14:paraId="5A63F376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692; -71.48 (1.63)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24" w:type="dxa"/>
            <w:tcBorders>
              <w:bottom w:val="single" w:sz="12" w:space="0" w:color="auto"/>
            </w:tcBorders>
            <w:vAlign w:val="center"/>
          </w:tcPr>
          <w:p w14:paraId="477FE177" w14:textId="77777777" w:rsidR="00B563DF" w:rsidRPr="00116573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6573">
              <w:rPr>
                <w:rFonts w:ascii="Times New Roman" w:hAnsi="Times New Roman" w:cs="Times New Roman"/>
                <w:sz w:val="20"/>
                <w:szCs w:val="20"/>
              </w:rPr>
              <w:t>143; -58.77 (2.81)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center"/>
          </w:tcPr>
          <w:p w14:paraId="0FF965C7" w14:textId="77777777" w:rsidR="00B563DF" w:rsidRPr="00682501" w:rsidRDefault="00B563DF" w:rsidP="0084545D">
            <w:pPr>
              <w:spacing w:after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82501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  <w:r w:rsidRPr="0038082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</w:tr>
      <w:tr w:rsidR="00B563DF" w:rsidRPr="00116573" w14:paraId="584616FE" w14:textId="77777777" w:rsidTr="0084545D">
        <w:tc>
          <w:tcPr>
            <w:tcW w:w="12585" w:type="dxa"/>
            <w:gridSpan w:val="4"/>
            <w:tcBorders>
              <w:top w:val="single" w:sz="12" w:space="0" w:color="auto"/>
            </w:tcBorders>
          </w:tcPr>
          <w:p w14:paraId="51C6F231" w14:textId="77777777" w:rsidR="00B563DF" w:rsidRPr="00380824" w:rsidRDefault="00B563DF" w:rsidP="0084545D">
            <w:pPr>
              <w:pStyle w:val="CommentText"/>
              <w:spacing w:before="60"/>
              <w:rPr>
                <w:rFonts w:ascii="Times New Roman" w:hAnsi="Times New Roman" w:cs="Times New Roman"/>
              </w:rPr>
            </w:pPr>
            <w:r w:rsidRPr="00380824">
              <w:rPr>
                <w:rFonts w:ascii="Times New Roman" w:hAnsi="Times New Roman" w:cs="Times New Roman"/>
              </w:rPr>
              <w:t>Results of the integrated analysis were calculated by ANCOVA model (response = baseline of the response variable + responder + study + study-by-responder i</w:t>
            </w:r>
            <w:r>
              <w:rPr>
                <w:rFonts w:ascii="Times New Roman" w:hAnsi="Times New Roman" w:cs="Times New Roman"/>
              </w:rPr>
              <w:t xml:space="preserve">nteraction + sulphonylurea use [yes/no]). </w:t>
            </w:r>
            <w:r w:rsidRPr="00380824">
              <w:rPr>
                <w:rFonts w:ascii="Times New Roman" w:hAnsi="Times New Roman" w:cs="Times New Roman"/>
                <w:i/>
              </w:rPr>
              <w:t>P</w:t>
            </w:r>
            <w:r w:rsidRPr="00380824">
              <w:rPr>
                <w:rFonts w:ascii="Times New Roman" w:hAnsi="Times New Roman" w:cs="Times New Roman"/>
              </w:rPr>
              <w:t xml:space="preserve"> values presented for the integrated analysis are the difference between responders and nonresponders and </w:t>
            </w:r>
            <w:r>
              <w:rPr>
                <w:rFonts w:ascii="Times New Roman" w:hAnsi="Times New Roman" w:cs="Times New Roman"/>
              </w:rPr>
              <w:t xml:space="preserve">are </w:t>
            </w:r>
            <w:r w:rsidRPr="00380824">
              <w:rPr>
                <w:rFonts w:ascii="Times New Roman" w:hAnsi="Times New Roman" w:cs="Times New Roman"/>
              </w:rPr>
              <w:t>based on fixed effects meta-regression</w:t>
            </w:r>
            <w:r>
              <w:rPr>
                <w:rFonts w:ascii="Times New Roman" w:hAnsi="Times New Roman" w:cs="Times New Roman"/>
              </w:rPr>
              <w:t xml:space="preserve"> with a 2-sided α-level &lt;0.05</w:t>
            </w:r>
            <w:r w:rsidRPr="00380824">
              <w:rPr>
                <w:rFonts w:ascii="Times New Roman" w:hAnsi="Times New Roman" w:cs="Times New Roman"/>
              </w:rPr>
              <w:t>. Heterogeneity for the integrated analysis was assessed by study-by-</w:t>
            </w:r>
            <w:r>
              <w:rPr>
                <w:rFonts w:ascii="Times New Roman" w:hAnsi="Times New Roman" w:cs="Times New Roman"/>
              </w:rPr>
              <w:t>r</w:t>
            </w:r>
            <w:r w:rsidRPr="00380824">
              <w:rPr>
                <w:rFonts w:ascii="Times New Roman" w:hAnsi="Times New Roman" w:cs="Times New Roman"/>
              </w:rPr>
              <w:t xml:space="preserve">esponder interaction. </w:t>
            </w:r>
            <w:r w:rsidRPr="00380824">
              <w:rPr>
                <w:rFonts w:ascii="Times New Roman" w:hAnsi="Times New Roman" w:cs="Times New Roman"/>
                <w:i/>
              </w:rPr>
              <w:t xml:space="preserve">P </w:t>
            </w:r>
            <w:r w:rsidRPr="00380824">
              <w:rPr>
                <w:rFonts w:ascii="Times New Roman" w:hAnsi="Times New Roman" w:cs="Times New Roman"/>
              </w:rPr>
              <w:t>values for interaction were nonsignif</w:t>
            </w:r>
            <w:r>
              <w:rPr>
                <w:rFonts w:ascii="Times New Roman" w:hAnsi="Times New Roman" w:cs="Times New Roman"/>
              </w:rPr>
              <w:t>ic</w:t>
            </w:r>
            <w:r w:rsidRPr="00380824">
              <w:rPr>
                <w:rFonts w:ascii="Times New Roman" w:hAnsi="Times New Roman" w:cs="Times New Roman"/>
              </w:rPr>
              <w:t xml:space="preserve">ant </w:t>
            </w:r>
            <w:r>
              <w:rPr>
                <w:rFonts w:ascii="Times New Roman" w:hAnsi="Times New Roman" w:cs="Times New Roman"/>
              </w:rPr>
              <w:t xml:space="preserve">(≥0.05) </w:t>
            </w:r>
            <w:r w:rsidRPr="00380824">
              <w:rPr>
                <w:rFonts w:ascii="Times New Roman" w:hAnsi="Times New Roman" w:cs="Times New Roman"/>
              </w:rPr>
              <w:t xml:space="preserve">for the majority of outcomes measured indicating results </w:t>
            </w:r>
            <w:r>
              <w:rPr>
                <w:rFonts w:ascii="Times New Roman" w:hAnsi="Times New Roman" w:cs="Times New Roman"/>
              </w:rPr>
              <w:t xml:space="preserve">in these trials </w:t>
            </w:r>
            <w:r w:rsidRPr="00380824">
              <w:rPr>
                <w:rFonts w:ascii="Times New Roman" w:hAnsi="Times New Roman" w:cs="Times New Roman"/>
              </w:rPr>
              <w:t>were relatively homogeneous. All participants had type 2 diabetes mellitus and were insulin naïve prior to study drug treatment, received insulin glargine as the only insulin therapy, and had no missing HbA1c values at 24 weeks. Abbreviations: CFB, change from baseline; FBG, fasting blood glucose; HbA1c, glycated h</w:t>
            </w:r>
            <w:r>
              <w:rPr>
                <w:rFonts w:ascii="Times New Roman" w:hAnsi="Times New Roman" w:cs="Times New Roman"/>
              </w:rPr>
              <w:t>a</w:t>
            </w:r>
            <w:r w:rsidRPr="00380824">
              <w:rPr>
                <w:rFonts w:ascii="Times New Roman" w:hAnsi="Times New Roman" w:cs="Times New Roman"/>
              </w:rPr>
              <w:t>emoglobin; LS, least squares</w:t>
            </w:r>
            <w:r>
              <w:rPr>
                <w:rFonts w:ascii="Times New Roman" w:hAnsi="Times New Roman" w:cs="Times New Roman"/>
              </w:rPr>
              <w:t>; SE, standard error</w:t>
            </w:r>
            <w:r w:rsidRPr="0038082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0824">
              <w:rPr>
                <w:rFonts w:ascii="Times New Roman" w:hAnsi="Times New Roman" w:cs="Times New Roman"/>
                <w:vertAlign w:val="superscript"/>
              </w:rPr>
              <w:t>a</w:t>
            </w:r>
            <w:r w:rsidRPr="00380824">
              <w:rPr>
                <w:rFonts w:ascii="Times New Roman" w:hAnsi="Times New Roman" w:cs="Times New Roman"/>
              </w:rPr>
              <w:t xml:space="preserve">FBG </w:t>
            </w:r>
            <w:r w:rsidRPr="00380824">
              <w:rPr>
                <w:rFonts w:ascii="Times New Roman" w:hAnsi="Times New Roman" w:cs="Times New Roman"/>
                <w:i/>
              </w:rPr>
              <w:t xml:space="preserve">P </w:t>
            </w:r>
            <w:r w:rsidRPr="00380824">
              <w:rPr>
                <w:rFonts w:ascii="Times New Roman" w:hAnsi="Times New Roman" w:cs="Times New Roman"/>
              </w:rPr>
              <w:t>value for heterogeneity =</w:t>
            </w:r>
            <w:r>
              <w:rPr>
                <w:rFonts w:ascii="Times New Roman" w:hAnsi="Times New Roman" w:cs="Times New Roman"/>
              </w:rPr>
              <w:t>0</w:t>
            </w:r>
            <w:r w:rsidRPr="00380824">
              <w:rPr>
                <w:rFonts w:ascii="Times New Roman" w:hAnsi="Times New Roman" w:cs="Times New Roman"/>
              </w:rPr>
              <w:t>.012.</w:t>
            </w:r>
          </w:p>
        </w:tc>
      </w:tr>
    </w:tbl>
    <w:p w14:paraId="15AB0489" w14:textId="77777777" w:rsidR="00A83995" w:rsidRDefault="00A83995" w:rsidP="00EA0E9A"/>
    <w:sectPr w:rsidR="00A83995" w:rsidSect="006A50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8C630" w14:textId="77777777" w:rsidR="001E4A97" w:rsidRDefault="001E4A97" w:rsidP="002F73F5">
      <w:r>
        <w:separator/>
      </w:r>
    </w:p>
  </w:endnote>
  <w:endnote w:type="continuationSeparator" w:id="0">
    <w:p w14:paraId="56F6E89A" w14:textId="77777777" w:rsidR="001E4A97" w:rsidRDefault="001E4A97" w:rsidP="002F7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352F8" w14:textId="77777777" w:rsidR="001E4A97" w:rsidRDefault="001E4A97" w:rsidP="002F73F5">
      <w:r>
        <w:separator/>
      </w:r>
    </w:p>
  </w:footnote>
  <w:footnote w:type="continuationSeparator" w:id="0">
    <w:p w14:paraId="2721D1DF" w14:textId="77777777" w:rsidR="001E4A97" w:rsidRDefault="001E4A97" w:rsidP="002F7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B01"/>
    <w:multiLevelType w:val="hybridMultilevel"/>
    <w:tmpl w:val="2812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16E70"/>
    <w:multiLevelType w:val="hybridMultilevel"/>
    <w:tmpl w:val="0744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B7C36"/>
    <w:multiLevelType w:val="hybridMultilevel"/>
    <w:tmpl w:val="F6AE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46427"/>
    <w:multiLevelType w:val="hybridMultilevel"/>
    <w:tmpl w:val="FB2451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4714ED"/>
    <w:multiLevelType w:val="hybridMultilevel"/>
    <w:tmpl w:val="914CA346"/>
    <w:lvl w:ilvl="0" w:tplc="0D56DB1E">
      <w:start w:val="1"/>
      <w:numFmt w:val="decimal"/>
      <w:lvlText w:val="%1"/>
      <w:lvlJc w:val="left"/>
      <w:pPr>
        <w:ind w:left="20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2562407"/>
    <w:multiLevelType w:val="hybridMultilevel"/>
    <w:tmpl w:val="93023A04"/>
    <w:lvl w:ilvl="0" w:tplc="F7C4D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DC2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785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0A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F27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22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C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CA3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E48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2563099"/>
    <w:multiLevelType w:val="hybridMultilevel"/>
    <w:tmpl w:val="59269970"/>
    <w:lvl w:ilvl="0" w:tplc="FB160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A12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8E4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A9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A5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05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547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CE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40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D00F50"/>
    <w:multiLevelType w:val="hybridMultilevel"/>
    <w:tmpl w:val="20F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725DD"/>
    <w:multiLevelType w:val="hybridMultilevel"/>
    <w:tmpl w:val="8172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9763C"/>
    <w:multiLevelType w:val="hybridMultilevel"/>
    <w:tmpl w:val="6DDAC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301E52"/>
    <w:multiLevelType w:val="hybridMultilevel"/>
    <w:tmpl w:val="EE364AB0"/>
    <w:lvl w:ilvl="0" w:tplc="D5D6F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444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4D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ED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88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AE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EA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09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38D1B92"/>
    <w:multiLevelType w:val="hybridMultilevel"/>
    <w:tmpl w:val="9AD8D2A0"/>
    <w:lvl w:ilvl="0" w:tplc="0D56DB1E">
      <w:start w:val="1"/>
      <w:numFmt w:val="decimal"/>
      <w:lvlText w:val="%1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24D40AAC"/>
    <w:multiLevelType w:val="hybridMultilevel"/>
    <w:tmpl w:val="14D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A144D"/>
    <w:multiLevelType w:val="hybridMultilevel"/>
    <w:tmpl w:val="03E2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022C07"/>
    <w:multiLevelType w:val="hybridMultilevel"/>
    <w:tmpl w:val="93AA8E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7E5A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90686C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D28C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1E659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509B1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F50CDB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3CCA63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940CC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2CF16539"/>
    <w:multiLevelType w:val="hybridMultilevel"/>
    <w:tmpl w:val="344C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D47FAB"/>
    <w:multiLevelType w:val="hybridMultilevel"/>
    <w:tmpl w:val="482A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C1703"/>
    <w:multiLevelType w:val="hybridMultilevel"/>
    <w:tmpl w:val="1CD22D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C64EEA"/>
    <w:multiLevelType w:val="hybridMultilevel"/>
    <w:tmpl w:val="952A1934"/>
    <w:lvl w:ilvl="0" w:tplc="F7842B6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D13B96"/>
    <w:multiLevelType w:val="hybridMultilevel"/>
    <w:tmpl w:val="4C666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6E7BAE"/>
    <w:multiLevelType w:val="hybridMultilevel"/>
    <w:tmpl w:val="2252FF14"/>
    <w:lvl w:ilvl="0" w:tplc="47D08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12E7F66">
      <w:start w:val="18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B12E5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4A6C7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6A2676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F4AE46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132BFE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F1805A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A1A9A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>
    <w:nsid w:val="41441D91"/>
    <w:multiLevelType w:val="hybridMultilevel"/>
    <w:tmpl w:val="07C8DEE4"/>
    <w:lvl w:ilvl="0" w:tplc="695C4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101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47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F86FC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0237BA">
      <w:start w:val="1934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AE3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681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640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F63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27F4FF2"/>
    <w:multiLevelType w:val="hybridMultilevel"/>
    <w:tmpl w:val="922898C6"/>
    <w:lvl w:ilvl="0" w:tplc="7B3C4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0A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2F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41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83F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B68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48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EE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C6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60B4C7F"/>
    <w:multiLevelType w:val="hybridMultilevel"/>
    <w:tmpl w:val="EDA8C574"/>
    <w:lvl w:ilvl="0" w:tplc="806650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EF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8263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C7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E42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26D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DA7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381B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AACF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54079E"/>
    <w:multiLevelType w:val="hybridMultilevel"/>
    <w:tmpl w:val="E0ACD3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C8F499B"/>
    <w:multiLevelType w:val="hybridMultilevel"/>
    <w:tmpl w:val="16EA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34053"/>
    <w:multiLevelType w:val="hybridMultilevel"/>
    <w:tmpl w:val="CDEA2170"/>
    <w:lvl w:ilvl="0" w:tplc="29F28E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17E5A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90686C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D28C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1E659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509B1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F50CDB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3CCA63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940CC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52B95689"/>
    <w:multiLevelType w:val="hybridMultilevel"/>
    <w:tmpl w:val="F790D0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BA48CF"/>
    <w:multiLevelType w:val="hybridMultilevel"/>
    <w:tmpl w:val="B6DEF94A"/>
    <w:lvl w:ilvl="0" w:tplc="5586725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20718B"/>
    <w:multiLevelType w:val="hybridMultilevel"/>
    <w:tmpl w:val="73142E4E"/>
    <w:lvl w:ilvl="0" w:tplc="BCEE7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AC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F03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FAA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EE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8AF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48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01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25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8F415F"/>
    <w:multiLevelType w:val="hybridMultilevel"/>
    <w:tmpl w:val="49BE6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033A17"/>
    <w:multiLevelType w:val="hybridMultilevel"/>
    <w:tmpl w:val="81C86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C2408DD"/>
    <w:multiLevelType w:val="hybridMultilevel"/>
    <w:tmpl w:val="57B63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D4A2B15"/>
    <w:multiLevelType w:val="hybridMultilevel"/>
    <w:tmpl w:val="0940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B1A0D"/>
    <w:multiLevelType w:val="hybridMultilevel"/>
    <w:tmpl w:val="393AF31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62A47779"/>
    <w:multiLevelType w:val="hybridMultilevel"/>
    <w:tmpl w:val="49607B02"/>
    <w:lvl w:ilvl="0" w:tplc="82A807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A14F27"/>
    <w:multiLevelType w:val="hybridMultilevel"/>
    <w:tmpl w:val="57E45676"/>
    <w:lvl w:ilvl="0" w:tplc="25F23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4065F2"/>
    <w:multiLevelType w:val="hybridMultilevel"/>
    <w:tmpl w:val="8F5064B6"/>
    <w:lvl w:ilvl="0" w:tplc="18607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70E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063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781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A4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41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C5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442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46D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4F1F2B"/>
    <w:multiLevelType w:val="hybridMultilevel"/>
    <w:tmpl w:val="BE5ED750"/>
    <w:lvl w:ilvl="0" w:tplc="B334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8B256">
      <w:start w:val="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4F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C21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C7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C5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A6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C5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09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8FF4A41"/>
    <w:multiLevelType w:val="hybridMultilevel"/>
    <w:tmpl w:val="E89AF9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A05421"/>
    <w:multiLevelType w:val="hybridMultilevel"/>
    <w:tmpl w:val="94F4D8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EFF6D3E"/>
    <w:multiLevelType w:val="hybridMultilevel"/>
    <w:tmpl w:val="F014F664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2">
    <w:nsid w:val="707A52D2"/>
    <w:multiLevelType w:val="hybridMultilevel"/>
    <w:tmpl w:val="A098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71B93"/>
    <w:multiLevelType w:val="hybridMultilevel"/>
    <w:tmpl w:val="1858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3B58E6"/>
    <w:multiLevelType w:val="hybridMultilevel"/>
    <w:tmpl w:val="A526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022E2A"/>
    <w:multiLevelType w:val="hybridMultilevel"/>
    <w:tmpl w:val="9F680762"/>
    <w:lvl w:ilvl="0" w:tplc="827A1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46E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22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4F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B20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07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4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22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66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8D67133"/>
    <w:multiLevelType w:val="hybridMultilevel"/>
    <w:tmpl w:val="15B2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EA7B06"/>
    <w:multiLevelType w:val="hybridMultilevel"/>
    <w:tmpl w:val="34FABE7C"/>
    <w:lvl w:ilvl="0" w:tplc="4FB8C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31"/>
  </w:num>
  <w:num w:numId="4">
    <w:abstractNumId w:val="17"/>
  </w:num>
  <w:num w:numId="5">
    <w:abstractNumId w:val="7"/>
  </w:num>
  <w:num w:numId="6">
    <w:abstractNumId w:val="0"/>
  </w:num>
  <w:num w:numId="7">
    <w:abstractNumId w:val="12"/>
  </w:num>
  <w:num w:numId="8">
    <w:abstractNumId w:val="33"/>
  </w:num>
  <w:num w:numId="9">
    <w:abstractNumId w:val="24"/>
  </w:num>
  <w:num w:numId="10">
    <w:abstractNumId w:val="44"/>
  </w:num>
  <w:num w:numId="11">
    <w:abstractNumId w:val="43"/>
  </w:num>
  <w:num w:numId="12">
    <w:abstractNumId w:val="2"/>
  </w:num>
  <w:num w:numId="13">
    <w:abstractNumId w:val="8"/>
  </w:num>
  <w:num w:numId="14">
    <w:abstractNumId w:val="46"/>
  </w:num>
  <w:num w:numId="15">
    <w:abstractNumId w:val="35"/>
  </w:num>
  <w:num w:numId="16">
    <w:abstractNumId w:val="13"/>
  </w:num>
  <w:num w:numId="17">
    <w:abstractNumId w:val="27"/>
  </w:num>
  <w:num w:numId="18">
    <w:abstractNumId w:val="39"/>
  </w:num>
  <w:num w:numId="19">
    <w:abstractNumId w:val="5"/>
  </w:num>
  <w:num w:numId="20">
    <w:abstractNumId w:val="1"/>
  </w:num>
  <w:num w:numId="21">
    <w:abstractNumId w:val="25"/>
  </w:num>
  <w:num w:numId="22">
    <w:abstractNumId w:val="40"/>
  </w:num>
  <w:num w:numId="23">
    <w:abstractNumId w:val="3"/>
  </w:num>
  <w:num w:numId="24">
    <w:abstractNumId w:val="30"/>
  </w:num>
  <w:num w:numId="25">
    <w:abstractNumId w:val="15"/>
  </w:num>
  <w:num w:numId="26">
    <w:abstractNumId w:val="41"/>
  </w:num>
  <w:num w:numId="27">
    <w:abstractNumId w:val="18"/>
  </w:num>
  <w:num w:numId="28">
    <w:abstractNumId w:val="34"/>
  </w:num>
  <w:num w:numId="29">
    <w:abstractNumId w:val="21"/>
  </w:num>
  <w:num w:numId="30">
    <w:abstractNumId w:val="22"/>
  </w:num>
  <w:num w:numId="31">
    <w:abstractNumId w:val="38"/>
  </w:num>
  <w:num w:numId="32">
    <w:abstractNumId w:val="36"/>
  </w:num>
  <w:num w:numId="33">
    <w:abstractNumId w:val="42"/>
  </w:num>
  <w:num w:numId="34">
    <w:abstractNumId w:val="16"/>
  </w:num>
  <w:num w:numId="35">
    <w:abstractNumId w:val="20"/>
  </w:num>
  <w:num w:numId="36">
    <w:abstractNumId w:val="23"/>
  </w:num>
  <w:num w:numId="37">
    <w:abstractNumId w:val="26"/>
  </w:num>
  <w:num w:numId="38">
    <w:abstractNumId w:val="37"/>
  </w:num>
  <w:num w:numId="39">
    <w:abstractNumId w:val="29"/>
  </w:num>
  <w:num w:numId="40">
    <w:abstractNumId w:val="14"/>
  </w:num>
  <w:num w:numId="41">
    <w:abstractNumId w:val="45"/>
  </w:num>
  <w:num w:numId="42">
    <w:abstractNumId w:val="10"/>
  </w:num>
  <w:num w:numId="43">
    <w:abstractNumId w:val="6"/>
  </w:num>
  <w:num w:numId="44">
    <w:abstractNumId w:val="19"/>
  </w:num>
  <w:num w:numId="45">
    <w:abstractNumId w:val="28"/>
  </w:num>
  <w:num w:numId="46">
    <w:abstractNumId w:val="11"/>
  </w:num>
  <w:num w:numId="47">
    <w:abstractNumId w:val="4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Total_Editing_Time" w:val="116"/>
  </w:docVars>
  <w:rsids>
    <w:rsidRoot w:val="008D5A22"/>
    <w:rsid w:val="000008AC"/>
    <w:rsid w:val="000033F5"/>
    <w:rsid w:val="00004437"/>
    <w:rsid w:val="000074F5"/>
    <w:rsid w:val="00020C59"/>
    <w:rsid w:val="000435CE"/>
    <w:rsid w:val="00046ACF"/>
    <w:rsid w:val="000632CB"/>
    <w:rsid w:val="00067C00"/>
    <w:rsid w:val="000709B0"/>
    <w:rsid w:val="00090120"/>
    <w:rsid w:val="00091723"/>
    <w:rsid w:val="00094DE9"/>
    <w:rsid w:val="000A40E4"/>
    <w:rsid w:val="000A4D2B"/>
    <w:rsid w:val="000B1F3F"/>
    <w:rsid w:val="000C518D"/>
    <w:rsid w:val="000D001E"/>
    <w:rsid w:val="000D4C37"/>
    <w:rsid w:val="000D7983"/>
    <w:rsid w:val="000E0AC0"/>
    <w:rsid w:val="000E640A"/>
    <w:rsid w:val="000F02BE"/>
    <w:rsid w:val="00103104"/>
    <w:rsid w:val="001053A4"/>
    <w:rsid w:val="0010634E"/>
    <w:rsid w:val="00110F3B"/>
    <w:rsid w:val="001129A3"/>
    <w:rsid w:val="00114A89"/>
    <w:rsid w:val="00130BB7"/>
    <w:rsid w:val="001333C9"/>
    <w:rsid w:val="00136326"/>
    <w:rsid w:val="00137ABF"/>
    <w:rsid w:val="00142B3B"/>
    <w:rsid w:val="001435D4"/>
    <w:rsid w:val="001611BF"/>
    <w:rsid w:val="00162393"/>
    <w:rsid w:val="00170669"/>
    <w:rsid w:val="00173E4D"/>
    <w:rsid w:val="00173E84"/>
    <w:rsid w:val="00187A13"/>
    <w:rsid w:val="00193F3F"/>
    <w:rsid w:val="001A0FEE"/>
    <w:rsid w:val="001A24CA"/>
    <w:rsid w:val="001D10F4"/>
    <w:rsid w:val="001D6BD1"/>
    <w:rsid w:val="001E4A97"/>
    <w:rsid w:val="0020058A"/>
    <w:rsid w:val="00202094"/>
    <w:rsid w:val="002049E1"/>
    <w:rsid w:val="00207E1C"/>
    <w:rsid w:val="00217E92"/>
    <w:rsid w:val="00227104"/>
    <w:rsid w:val="00231CB3"/>
    <w:rsid w:val="00233B30"/>
    <w:rsid w:val="00242532"/>
    <w:rsid w:val="00251C5E"/>
    <w:rsid w:val="0026528B"/>
    <w:rsid w:val="002669FB"/>
    <w:rsid w:val="00282364"/>
    <w:rsid w:val="00283444"/>
    <w:rsid w:val="00295510"/>
    <w:rsid w:val="002A076A"/>
    <w:rsid w:val="002A2656"/>
    <w:rsid w:val="002A2C13"/>
    <w:rsid w:val="002B08F1"/>
    <w:rsid w:val="002C6224"/>
    <w:rsid w:val="002D0018"/>
    <w:rsid w:val="002D1BE9"/>
    <w:rsid w:val="002E1E6A"/>
    <w:rsid w:val="002E20B6"/>
    <w:rsid w:val="002E4766"/>
    <w:rsid w:val="002E562D"/>
    <w:rsid w:val="002F0FC0"/>
    <w:rsid w:val="002F73F5"/>
    <w:rsid w:val="003021EA"/>
    <w:rsid w:val="00304530"/>
    <w:rsid w:val="00311830"/>
    <w:rsid w:val="0031237A"/>
    <w:rsid w:val="0035135A"/>
    <w:rsid w:val="0035745F"/>
    <w:rsid w:val="00357471"/>
    <w:rsid w:val="00370B99"/>
    <w:rsid w:val="003778A7"/>
    <w:rsid w:val="00385221"/>
    <w:rsid w:val="00397E10"/>
    <w:rsid w:val="003A2B36"/>
    <w:rsid w:val="003A62F7"/>
    <w:rsid w:val="003B4FD0"/>
    <w:rsid w:val="003B5203"/>
    <w:rsid w:val="003B6D45"/>
    <w:rsid w:val="003D5650"/>
    <w:rsid w:val="003F161C"/>
    <w:rsid w:val="00410523"/>
    <w:rsid w:val="004132DE"/>
    <w:rsid w:val="00414320"/>
    <w:rsid w:val="0042222C"/>
    <w:rsid w:val="004275D0"/>
    <w:rsid w:val="00430322"/>
    <w:rsid w:val="00453FF5"/>
    <w:rsid w:val="0047611E"/>
    <w:rsid w:val="00480270"/>
    <w:rsid w:val="00486B93"/>
    <w:rsid w:val="004A6EB6"/>
    <w:rsid w:val="004A70EA"/>
    <w:rsid w:val="004A7A4F"/>
    <w:rsid w:val="004C220E"/>
    <w:rsid w:val="004D0429"/>
    <w:rsid w:val="004E33C8"/>
    <w:rsid w:val="004E6E3C"/>
    <w:rsid w:val="00506F64"/>
    <w:rsid w:val="0051614A"/>
    <w:rsid w:val="00516CA2"/>
    <w:rsid w:val="005209E5"/>
    <w:rsid w:val="00520E99"/>
    <w:rsid w:val="00526800"/>
    <w:rsid w:val="0053189D"/>
    <w:rsid w:val="00533501"/>
    <w:rsid w:val="005350DD"/>
    <w:rsid w:val="005427C9"/>
    <w:rsid w:val="005524F3"/>
    <w:rsid w:val="00557559"/>
    <w:rsid w:val="00570161"/>
    <w:rsid w:val="00576110"/>
    <w:rsid w:val="00595AA0"/>
    <w:rsid w:val="005A4B9F"/>
    <w:rsid w:val="005A6E7A"/>
    <w:rsid w:val="005B2E14"/>
    <w:rsid w:val="005B3FE4"/>
    <w:rsid w:val="005B4593"/>
    <w:rsid w:val="005B5E50"/>
    <w:rsid w:val="005C5A09"/>
    <w:rsid w:val="005C7FE7"/>
    <w:rsid w:val="005D1968"/>
    <w:rsid w:val="005D3178"/>
    <w:rsid w:val="005D6B85"/>
    <w:rsid w:val="005E778B"/>
    <w:rsid w:val="006012C9"/>
    <w:rsid w:val="00611393"/>
    <w:rsid w:val="00612A3E"/>
    <w:rsid w:val="0061355C"/>
    <w:rsid w:val="006170CA"/>
    <w:rsid w:val="0061767D"/>
    <w:rsid w:val="006200EB"/>
    <w:rsid w:val="006504D1"/>
    <w:rsid w:val="00657A35"/>
    <w:rsid w:val="00661B41"/>
    <w:rsid w:val="00671F3D"/>
    <w:rsid w:val="00685A03"/>
    <w:rsid w:val="006A5040"/>
    <w:rsid w:val="006A5B63"/>
    <w:rsid w:val="006E56A7"/>
    <w:rsid w:val="006E784A"/>
    <w:rsid w:val="0070596B"/>
    <w:rsid w:val="007231EA"/>
    <w:rsid w:val="007238A9"/>
    <w:rsid w:val="00723CE0"/>
    <w:rsid w:val="00725F38"/>
    <w:rsid w:val="00755DF5"/>
    <w:rsid w:val="007709B4"/>
    <w:rsid w:val="00774E42"/>
    <w:rsid w:val="007812B2"/>
    <w:rsid w:val="00792676"/>
    <w:rsid w:val="00795B51"/>
    <w:rsid w:val="007A31AE"/>
    <w:rsid w:val="007B0C6A"/>
    <w:rsid w:val="007C2D68"/>
    <w:rsid w:val="007C4624"/>
    <w:rsid w:val="007D2C37"/>
    <w:rsid w:val="007E7A2A"/>
    <w:rsid w:val="007F01AD"/>
    <w:rsid w:val="007F366F"/>
    <w:rsid w:val="007F4429"/>
    <w:rsid w:val="00802F01"/>
    <w:rsid w:val="00803D84"/>
    <w:rsid w:val="00804A60"/>
    <w:rsid w:val="00817EB9"/>
    <w:rsid w:val="008208A3"/>
    <w:rsid w:val="008333BB"/>
    <w:rsid w:val="0083557B"/>
    <w:rsid w:val="008430E7"/>
    <w:rsid w:val="008549FF"/>
    <w:rsid w:val="00864D41"/>
    <w:rsid w:val="00864EEB"/>
    <w:rsid w:val="00873E41"/>
    <w:rsid w:val="00877DB3"/>
    <w:rsid w:val="00882925"/>
    <w:rsid w:val="008A20DB"/>
    <w:rsid w:val="008A2645"/>
    <w:rsid w:val="008B0C02"/>
    <w:rsid w:val="008D0704"/>
    <w:rsid w:val="008D54A4"/>
    <w:rsid w:val="008D5A22"/>
    <w:rsid w:val="008E1B0E"/>
    <w:rsid w:val="008E2AD5"/>
    <w:rsid w:val="008F4152"/>
    <w:rsid w:val="00907EA9"/>
    <w:rsid w:val="0091496F"/>
    <w:rsid w:val="0093635F"/>
    <w:rsid w:val="009371D4"/>
    <w:rsid w:val="00937EF9"/>
    <w:rsid w:val="009425AD"/>
    <w:rsid w:val="00944338"/>
    <w:rsid w:val="009451E9"/>
    <w:rsid w:val="00953F2C"/>
    <w:rsid w:val="00961424"/>
    <w:rsid w:val="0096330D"/>
    <w:rsid w:val="00987DA9"/>
    <w:rsid w:val="00997E4C"/>
    <w:rsid w:val="009A4B74"/>
    <w:rsid w:val="009C428A"/>
    <w:rsid w:val="009D2569"/>
    <w:rsid w:val="009D5A90"/>
    <w:rsid w:val="009E01C1"/>
    <w:rsid w:val="009E4430"/>
    <w:rsid w:val="009F717B"/>
    <w:rsid w:val="00A27A2D"/>
    <w:rsid w:val="00A32D9A"/>
    <w:rsid w:val="00A341CA"/>
    <w:rsid w:val="00A373ED"/>
    <w:rsid w:val="00A4197B"/>
    <w:rsid w:val="00A51B3D"/>
    <w:rsid w:val="00A527BE"/>
    <w:rsid w:val="00A53AAC"/>
    <w:rsid w:val="00A57C04"/>
    <w:rsid w:val="00A83995"/>
    <w:rsid w:val="00AD2018"/>
    <w:rsid w:val="00AE10FE"/>
    <w:rsid w:val="00AE789D"/>
    <w:rsid w:val="00AF60BA"/>
    <w:rsid w:val="00B02C70"/>
    <w:rsid w:val="00B15FD3"/>
    <w:rsid w:val="00B24B51"/>
    <w:rsid w:val="00B42AA8"/>
    <w:rsid w:val="00B42FF4"/>
    <w:rsid w:val="00B43BCB"/>
    <w:rsid w:val="00B563DF"/>
    <w:rsid w:val="00B77377"/>
    <w:rsid w:val="00B82E67"/>
    <w:rsid w:val="00BB2669"/>
    <w:rsid w:val="00BC0AD3"/>
    <w:rsid w:val="00BE6DC2"/>
    <w:rsid w:val="00BE7C61"/>
    <w:rsid w:val="00C05704"/>
    <w:rsid w:val="00C06F96"/>
    <w:rsid w:val="00C13125"/>
    <w:rsid w:val="00C220BF"/>
    <w:rsid w:val="00C22BA7"/>
    <w:rsid w:val="00C41D5A"/>
    <w:rsid w:val="00C47D66"/>
    <w:rsid w:val="00C6058D"/>
    <w:rsid w:val="00C61370"/>
    <w:rsid w:val="00C643D4"/>
    <w:rsid w:val="00C64A1F"/>
    <w:rsid w:val="00C654A7"/>
    <w:rsid w:val="00C66F4F"/>
    <w:rsid w:val="00C91135"/>
    <w:rsid w:val="00C92E94"/>
    <w:rsid w:val="00C93E42"/>
    <w:rsid w:val="00C94B01"/>
    <w:rsid w:val="00CA067F"/>
    <w:rsid w:val="00CA53FF"/>
    <w:rsid w:val="00CB4285"/>
    <w:rsid w:val="00CB4343"/>
    <w:rsid w:val="00CC0F37"/>
    <w:rsid w:val="00CE0124"/>
    <w:rsid w:val="00CE6DE8"/>
    <w:rsid w:val="00CF7F13"/>
    <w:rsid w:val="00D02951"/>
    <w:rsid w:val="00D072F2"/>
    <w:rsid w:val="00D10B5D"/>
    <w:rsid w:val="00D11357"/>
    <w:rsid w:val="00D17911"/>
    <w:rsid w:val="00D40472"/>
    <w:rsid w:val="00D46F67"/>
    <w:rsid w:val="00D606B2"/>
    <w:rsid w:val="00D64E2C"/>
    <w:rsid w:val="00D66338"/>
    <w:rsid w:val="00D7474C"/>
    <w:rsid w:val="00D960DF"/>
    <w:rsid w:val="00DA337F"/>
    <w:rsid w:val="00DA591D"/>
    <w:rsid w:val="00DA7097"/>
    <w:rsid w:val="00DC441B"/>
    <w:rsid w:val="00DC44B2"/>
    <w:rsid w:val="00DC715B"/>
    <w:rsid w:val="00DE2CBA"/>
    <w:rsid w:val="00DE49E7"/>
    <w:rsid w:val="00DE6710"/>
    <w:rsid w:val="00DF5943"/>
    <w:rsid w:val="00E00548"/>
    <w:rsid w:val="00E15319"/>
    <w:rsid w:val="00E161B7"/>
    <w:rsid w:val="00E2135B"/>
    <w:rsid w:val="00E224C9"/>
    <w:rsid w:val="00E32CF5"/>
    <w:rsid w:val="00E407DC"/>
    <w:rsid w:val="00E40D38"/>
    <w:rsid w:val="00E43ADC"/>
    <w:rsid w:val="00E522B2"/>
    <w:rsid w:val="00E57FC4"/>
    <w:rsid w:val="00E6260F"/>
    <w:rsid w:val="00E70484"/>
    <w:rsid w:val="00E7367B"/>
    <w:rsid w:val="00E7432D"/>
    <w:rsid w:val="00E74840"/>
    <w:rsid w:val="00E81511"/>
    <w:rsid w:val="00E940AB"/>
    <w:rsid w:val="00EA0E9A"/>
    <w:rsid w:val="00EA595E"/>
    <w:rsid w:val="00EB7B0C"/>
    <w:rsid w:val="00EC321D"/>
    <w:rsid w:val="00EE5C01"/>
    <w:rsid w:val="00EE6D66"/>
    <w:rsid w:val="00EF565A"/>
    <w:rsid w:val="00F0181E"/>
    <w:rsid w:val="00F01B16"/>
    <w:rsid w:val="00F10C00"/>
    <w:rsid w:val="00F22070"/>
    <w:rsid w:val="00F35F19"/>
    <w:rsid w:val="00F42AF1"/>
    <w:rsid w:val="00F51FCA"/>
    <w:rsid w:val="00F53A70"/>
    <w:rsid w:val="00F6440E"/>
    <w:rsid w:val="00F66FA1"/>
    <w:rsid w:val="00F75F0D"/>
    <w:rsid w:val="00F81ADE"/>
    <w:rsid w:val="00F9557A"/>
    <w:rsid w:val="00F96648"/>
    <w:rsid w:val="00F97CE8"/>
    <w:rsid w:val="00FA2859"/>
    <w:rsid w:val="00FA56DC"/>
    <w:rsid w:val="00FA7198"/>
    <w:rsid w:val="00FB0A7A"/>
    <w:rsid w:val="00FD10FF"/>
    <w:rsid w:val="00FE29D1"/>
    <w:rsid w:val="00FE4446"/>
    <w:rsid w:val="00FE5774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D9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A2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5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5A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5A2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A22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22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8D5A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8D5A22"/>
  </w:style>
  <w:style w:type="character" w:customStyle="1" w:styleId="apple-converted-space">
    <w:name w:val="apple-converted-space"/>
    <w:basedOn w:val="DefaultParagraphFont"/>
    <w:rsid w:val="008D5A22"/>
  </w:style>
  <w:style w:type="paragraph" w:styleId="NormalWeb">
    <w:name w:val="Normal (Web)"/>
    <w:basedOn w:val="Normal"/>
    <w:uiPriority w:val="99"/>
    <w:semiHidden/>
    <w:unhideWhenUsed/>
    <w:rsid w:val="008D5A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8D5A2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5A22"/>
    <w:rPr>
      <w:rFonts w:ascii="Calibri" w:hAnsi="Calibri" w:cs="Calibri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8D5A2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5A22"/>
    <w:rPr>
      <w:rFonts w:ascii="Calibri" w:hAnsi="Calibri" w:cs="Calibri"/>
      <w:noProof/>
      <w:lang w:val="en-GB"/>
    </w:rPr>
  </w:style>
  <w:style w:type="paragraph" w:customStyle="1" w:styleId="Body">
    <w:name w:val="Body"/>
    <w:rsid w:val="008D5A22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8D5A22"/>
    <w:rPr>
      <w:i/>
      <w:iCs/>
    </w:rPr>
  </w:style>
  <w:style w:type="table" w:styleId="TableGrid">
    <w:name w:val="Table Grid"/>
    <w:basedOn w:val="TableNormal"/>
    <w:uiPriority w:val="59"/>
    <w:rsid w:val="008D5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SASTblEntry">
    <w:name w:val="md_SAS Tbl Entry"/>
    <w:basedOn w:val="Normal"/>
    <w:uiPriority w:val="99"/>
    <w:rsid w:val="008D5A22"/>
    <w:pPr>
      <w:widowControl w:val="0"/>
      <w:autoSpaceDE w:val="0"/>
      <w:autoSpaceDN w:val="0"/>
      <w:adjustRightInd w:val="0"/>
      <w:spacing w:line="179" w:lineRule="exact"/>
    </w:pPr>
    <w:rPr>
      <w:rFonts w:ascii="Courier New" w:eastAsiaTheme="minorEastAsia" w:hAnsi="Courier New" w:cs="Courier New"/>
      <w:b/>
      <w:bCs/>
      <w:sz w:val="16"/>
      <w:szCs w:val="16"/>
    </w:rPr>
  </w:style>
  <w:style w:type="character" w:customStyle="1" w:styleId="current-selection">
    <w:name w:val="current-selection"/>
    <w:basedOn w:val="DefaultParagraphFont"/>
    <w:rsid w:val="001333C9"/>
  </w:style>
  <w:style w:type="character" w:customStyle="1" w:styleId="a">
    <w:name w:val="_"/>
    <w:basedOn w:val="DefaultParagraphFont"/>
    <w:rsid w:val="001333C9"/>
  </w:style>
  <w:style w:type="paragraph" w:styleId="Header">
    <w:name w:val="header"/>
    <w:basedOn w:val="Normal"/>
    <w:link w:val="HeaderChar"/>
    <w:uiPriority w:val="99"/>
    <w:unhideWhenUsed/>
    <w:rsid w:val="002F7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3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7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3F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A2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5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5A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5A2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A22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22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8D5A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8D5A22"/>
  </w:style>
  <w:style w:type="character" w:customStyle="1" w:styleId="apple-converted-space">
    <w:name w:val="apple-converted-space"/>
    <w:basedOn w:val="DefaultParagraphFont"/>
    <w:rsid w:val="008D5A22"/>
  </w:style>
  <w:style w:type="paragraph" w:styleId="NormalWeb">
    <w:name w:val="Normal (Web)"/>
    <w:basedOn w:val="Normal"/>
    <w:uiPriority w:val="99"/>
    <w:semiHidden/>
    <w:unhideWhenUsed/>
    <w:rsid w:val="008D5A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8D5A2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5A22"/>
    <w:rPr>
      <w:rFonts w:ascii="Calibri" w:hAnsi="Calibri" w:cs="Calibri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8D5A2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5A22"/>
    <w:rPr>
      <w:rFonts w:ascii="Calibri" w:hAnsi="Calibri" w:cs="Calibri"/>
      <w:noProof/>
      <w:lang w:val="en-GB"/>
    </w:rPr>
  </w:style>
  <w:style w:type="paragraph" w:customStyle="1" w:styleId="Body">
    <w:name w:val="Body"/>
    <w:rsid w:val="008D5A22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8D5A22"/>
    <w:rPr>
      <w:i/>
      <w:iCs/>
    </w:rPr>
  </w:style>
  <w:style w:type="table" w:styleId="TableGrid">
    <w:name w:val="Table Grid"/>
    <w:basedOn w:val="TableNormal"/>
    <w:uiPriority w:val="59"/>
    <w:rsid w:val="008D5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SASTblEntry">
    <w:name w:val="md_SAS Tbl Entry"/>
    <w:basedOn w:val="Normal"/>
    <w:uiPriority w:val="99"/>
    <w:rsid w:val="008D5A22"/>
    <w:pPr>
      <w:widowControl w:val="0"/>
      <w:autoSpaceDE w:val="0"/>
      <w:autoSpaceDN w:val="0"/>
      <w:adjustRightInd w:val="0"/>
      <w:spacing w:line="179" w:lineRule="exact"/>
    </w:pPr>
    <w:rPr>
      <w:rFonts w:ascii="Courier New" w:eastAsiaTheme="minorEastAsia" w:hAnsi="Courier New" w:cs="Courier New"/>
      <w:b/>
      <w:bCs/>
      <w:sz w:val="16"/>
      <w:szCs w:val="16"/>
    </w:rPr>
  </w:style>
  <w:style w:type="character" w:customStyle="1" w:styleId="current-selection">
    <w:name w:val="current-selection"/>
    <w:basedOn w:val="DefaultParagraphFont"/>
    <w:rsid w:val="001333C9"/>
  </w:style>
  <w:style w:type="character" w:customStyle="1" w:styleId="a">
    <w:name w:val="_"/>
    <w:basedOn w:val="DefaultParagraphFont"/>
    <w:rsid w:val="001333C9"/>
  </w:style>
  <w:style w:type="paragraph" w:styleId="Header">
    <w:name w:val="header"/>
    <w:basedOn w:val="Normal"/>
    <w:link w:val="HeaderChar"/>
    <w:uiPriority w:val="99"/>
    <w:unhideWhenUsed/>
    <w:rsid w:val="002F7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3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7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3F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0079E-4890-4B29-8040-598681F1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458</Words>
  <Characters>2345</Characters>
  <Application>Microsoft Office Word</Application>
  <DocSecurity>0</DocSecurity>
  <Lines>111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 Paulsrud</dc:creator>
  <cp:keywords/>
  <dc:description/>
  <cp:lastModifiedBy>S3G_Apply_Fixed_Case</cp:lastModifiedBy>
  <cp:revision>34</cp:revision>
  <dcterms:created xsi:type="dcterms:W3CDTF">2017-06-27T21:09:00Z</dcterms:created>
  <dcterms:modified xsi:type="dcterms:W3CDTF">2018-04-12T05:39:00Z</dcterms:modified>
</cp:coreProperties>
</file>