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Heterogeneity-</w:t>
      </w:r>
      <w:r>
        <w:t xml:space="preserve"> </w:t>
      </w:r>
      <w:r>
        <w:t xml:space="preserve">Subgroup</w:t>
      </w:r>
      <w:r>
        <w:t xml:space="preserve"> </w:t>
      </w:r>
      <w:r>
        <w:t xml:space="preserve">Analysis</w:t>
      </w:r>
      <w:r>
        <w:t xml:space="preserve"> </w:t>
      </w:r>
      <w:r>
        <w:t xml:space="preserve">and</w:t>
      </w:r>
      <w:r>
        <w:t xml:space="preserve"> </w:t>
      </w:r>
      <w:r>
        <w:t xml:space="preserve">Meta-Regression</w:t>
      </w:r>
    </w:p>
    <w:p>
      <w:pPr>
        <w:pStyle w:val="Author"/>
      </w:pPr>
      <w:r>
        <w:t xml:space="preserve">Michail</w:t>
      </w:r>
      <w:r>
        <w:t xml:space="preserve"> </w:t>
      </w:r>
      <w:r>
        <w:t xml:space="preserve">Belias</w:t>
      </w:r>
    </w:p>
    <w:p>
      <w:pPr>
        <w:pStyle w:val="Date"/>
      </w:pPr>
      <w:r>
        <w:t xml:space="preserve">12</w:t>
      </w:r>
      <w:r>
        <w:t xml:space="preserve"> </w:t>
      </w:r>
      <w:r>
        <w:t xml:space="preserve">February</w:t>
      </w:r>
      <w:r>
        <w:t xml:space="preserve"> </w:t>
      </w:r>
      <w:r>
        <w:t xml:space="preserve">2019</w:t>
      </w:r>
    </w:p>
    <w:p>
      <w:pPr>
        <w:pStyle w:val="Heading1"/>
      </w:pPr>
      <w:bookmarkStart w:id="20" w:name="introduction"/>
      <w:r>
        <w:t xml:space="preserve">Introduction</w:t>
      </w:r>
      <w:bookmarkEnd w:id="20"/>
    </w:p>
    <w:p>
      <w:pPr>
        <w:pStyle w:val="FirstParagraph"/>
      </w:pPr>
      <w:r>
        <w:t xml:space="preserve">Bassler et.al</w:t>
      </w:r>
      <w:r>
        <w:t xml:space="preserve"> </w:t>
      </w:r>
      <w:r>
        <w:t xml:space="preserve">(Bassler et al. 2004)</w:t>
      </w:r>
      <w:r>
        <w:t xml:space="preserve"> </w:t>
      </w:r>
      <w:r>
        <w:t xml:space="preserve">conducted a Cochrane Review to evaluate the effects of Ketotifen alone or in combination with other co-interventions in children with asthma and/or wheezing. The primary outcome was the use of rescue bronchodilators.</w:t>
      </w:r>
      <w:r>
        <w:t xml:space="preserve"> </w:t>
      </w:r>
      <w:r>
        <w:t xml:space="preserve">In the systematic review, a random effects model with the risk ratio as measure of treatment effect was used throughout. The meta-analysis of the clinical judgement data contains 10 trials.</w:t>
      </w:r>
    </w:p>
    <w:p>
      <w:pPr>
        <w:pStyle w:val="BodyText"/>
      </w:pPr>
      <w:r>
        <w:t xml:space="preserve">Let’s import the data in to start our analysis. In order to do that we have to call the</w:t>
      </w:r>
      <w:r>
        <w:t xml:space="preserve"> </w:t>
      </w:r>
      <w:r>
        <w:rPr>
          <w:i/>
        </w:rPr>
        <w:t xml:space="preserve">readxl</w:t>
      </w:r>
      <w:r>
        <w:t xml:space="preserve"> </w:t>
      </w:r>
      <w:r>
        <w:t xml:space="preserve">package using the library(</w:t>
      </w:r>
      <w:r>
        <w:t xml:space="preserve">“</w:t>
      </w:r>
      <w:r>
        <w:t xml:space="preserve">readxl</w:t>
      </w:r>
      <w:r>
        <w:t xml:space="preserve">”</w:t>
      </w:r>
      <w:r>
        <w:t xml:space="preserve">) command. If a package is not installed in your computer you can install by using the</w:t>
      </w:r>
      <w:r>
        <w:t xml:space="preserve"> </w:t>
      </w:r>
      <w:r>
        <w:rPr>
          <w:i/>
        </w:rPr>
        <w:t xml:space="preserve">install.packages(</w:t>
      </w:r>
      <w:r>
        <w:rPr>
          <w:i/>
        </w:rPr>
        <w:t xml:space="preserve">‘</w:t>
      </w:r>
      <w:r>
        <w:rPr>
          <w:i/>
        </w:rPr>
        <w:t xml:space="preserve">name of the package</w:t>
      </w:r>
      <w:r>
        <w:rPr>
          <w:i/>
        </w:rPr>
        <w:t xml:space="preserve">’</w:t>
      </w:r>
      <w:r>
        <w:rPr>
          <w:i/>
        </w:rPr>
        <w:t xml:space="preserve">)</w:t>
      </w:r>
      <w:r>
        <w:t xml:space="preserve"> </w:t>
      </w:r>
      <w:r>
        <w:t xml:space="preserve">command</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r>
        <w:br w:type="textWrapping"/>
      </w:r>
      <w:r>
        <w:rPr>
          <w:rStyle w:val="NormalTok"/>
        </w:rPr>
        <w:t xml:space="preserve">Ketotifen =</w:t>
      </w:r>
      <w:r>
        <w:rPr>
          <w:rStyle w:val="StringTok"/>
        </w:rPr>
        <w:t xml:space="preserve">  </w:t>
      </w:r>
      <w:r>
        <w:rPr>
          <w:rStyle w:val="KeywordTok"/>
        </w:rPr>
        <w:t xml:space="preserve">read_xlsx</w:t>
      </w:r>
      <w:r>
        <w:rPr>
          <w:rStyle w:val="NormalTok"/>
        </w:rPr>
        <w:t xml:space="preserve">(</w:t>
      </w:r>
      <w:r>
        <w:rPr>
          <w:rStyle w:val="StringTok"/>
        </w:rPr>
        <w:t xml:space="preserve">"Data/Ketotifen.xlsx"</w:t>
      </w:r>
      <w:r>
        <w:rPr>
          <w:rStyle w:val="NormalTok"/>
        </w:rPr>
        <w:t xml:space="preserve">)</w:t>
      </w:r>
    </w:p>
    <w:p>
      <w:pPr>
        <w:pStyle w:val="FirstParagraph"/>
      </w:pPr>
      <w:r>
        <w:t xml:space="preserve">We can see the first rows of our data with the</w:t>
      </w:r>
      <w:r>
        <w:t xml:space="preserve"> </w:t>
      </w:r>
      <w:r>
        <w:rPr>
          <w:i/>
        </w:rPr>
        <w:t xml:space="preserve">head()</w:t>
      </w:r>
      <w:r>
        <w:t xml:space="preserve"> </w:t>
      </w:r>
      <w:r>
        <w:t xml:space="preserve">command.</w:t>
      </w:r>
    </w:p>
    <w:p>
      <w:pPr>
        <w:pStyle w:val="SourceCode"/>
      </w:pPr>
      <w:r>
        <w:rPr>
          <w:rStyle w:val="KeywordTok"/>
        </w:rPr>
        <w:t xml:space="preserve">head</w:t>
      </w:r>
      <w:r>
        <w:rPr>
          <w:rStyle w:val="NormalTok"/>
        </w:rPr>
        <w:t xml:space="preserve">(Ketotifen, </w:t>
      </w:r>
      <w:r>
        <w:br w:type="textWrapping"/>
      </w:r>
      <w:r>
        <w:rPr>
          <w:rStyle w:val="NormalTok"/>
        </w:rPr>
        <w:t xml:space="preserve">     </w:t>
      </w:r>
      <w:r>
        <w:rPr>
          <w:rStyle w:val="DataTypeTok"/>
        </w:rPr>
        <w:t xml:space="preserve">n =</w:t>
      </w:r>
      <w:r>
        <w:rPr>
          <w:rStyle w:val="DecValTok"/>
        </w:rPr>
        <w:t xml:space="preserve">10</w:t>
      </w:r>
      <w:r>
        <w:rPr>
          <w:rStyle w:val="NormalTok"/>
        </w:rPr>
        <w:t xml:space="preserve"> </w:t>
      </w:r>
      <w:r>
        <w:rPr>
          <w:rStyle w:val="CommentTok"/>
        </w:rPr>
        <w:t xml:space="preserve"># number of row we want to print</w:t>
      </w:r>
      <w:r>
        <w:br w:type="textWrapping"/>
      </w:r>
      <w:r>
        <w:rPr>
          <w:rStyle w:val="NormalTok"/>
        </w:rPr>
        <w:t xml:space="preserve">     )</w:t>
      </w:r>
    </w:p>
    <w:p>
      <w:pPr>
        <w:pStyle w:val="SourceCode"/>
      </w:pPr>
      <w:r>
        <w:rPr>
          <w:rStyle w:val="VerbatimChar"/>
        </w:rPr>
        <w:t xml:space="preserve"># A tibble: 10 x 6</w:t>
      </w:r>
      <w:r>
        <w:br w:type="textWrapping"/>
      </w:r>
      <w:r>
        <w:rPr>
          <w:rStyle w:val="VerbatimChar"/>
        </w:rPr>
        <w:t xml:space="preserve">   study            Ee    Ne    Ec    Nc blind  </w:t>
      </w:r>
      <w:r>
        <w:br w:type="textWrapping"/>
      </w:r>
      <w:r>
        <w:rPr>
          <w:rStyle w:val="VerbatimChar"/>
        </w:rPr>
        <w:t xml:space="preserve">   &lt;chr&gt;         &lt;dbl&gt; &lt;dbl&gt; &lt;dbl&gt; &lt;dbl&gt; &lt;chr&gt;  </w:t>
      </w:r>
      <w:r>
        <w:br w:type="textWrapping"/>
      </w:r>
      <w:r>
        <w:rPr>
          <w:rStyle w:val="VerbatimChar"/>
        </w:rPr>
        <w:t xml:space="preserve"> 1 Chay              1    10     6    10 Blinded</w:t>
      </w:r>
      <w:r>
        <w:br w:type="textWrapping"/>
      </w:r>
      <w:r>
        <w:rPr>
          <w:rStyle w:val="VerbatimChar"/>
        </w:rPr>
        <w:t xml:space="preserve"> 2 Rackam           31    68    38    65 Blinded</w:t>
      </w:r>
      <w:r>
        <w:br w:type="textWrapping"/>
      </w:r>
      <w:r>
        <w:rPr>
          <w:rStyle w:val="VerbatimChar"/>
        </w:rPr>
        <w:t xml:space="preserve"> 3 Van Asperen      16    52    19    51 Blinded</w:t>
      </w:r>
      <w:r>
        <w:br w:type="textWrapping"/>
      </w:r>
      <w:r>
        <w:rPr>
          <w:rStyle w:val="VerbatimChar"/>
        </w:rPr>
        <w:t xml:space="preserve"> 4 Croce            19    39    17    36 unclear</w:t>
      </w:r>
      <w:r>
        <w:br w:type="textWrapping"/>
      </w:r>
      <w:r>
        <w:rPr>
          <w:rStyle w:val="VerbatimChar"/>
        </w:rPr>
        <w:t xml:space="preserve"> 5 de Benedictis     7    34    35    41 unclear</w:t>
      </w:r>
      <w:r>
        <w:br w:type="textWrapping"/>
      </w:r>
      <w:r>
        <w:rPr>
          <w:rStyle w:val="VerbatimChar"/>
        </w:rPr>
        <w:t xml:space="preserve"> 6 Longo            10    18    15    18 unclear</w:t>
      </w:r>
      <w:r>
        <w:br w:type="textWrapping"/>
      </w:r>
      <w:r>
        <w:rPr>
          <w:rStyle w:val="VerbatimChar"/>
        </w:rPr>
        <w:t xml:space="preserve"> 7 Montoya           6    20    14    20 unclear</w:t>
      </w:r>
      <w:r>
        <w:br w:type="textWrapping"/>
      </w:r>
      <w:r>
        <w:rPr>
          <w:rStyle w:val="VerbatimChar"/>
        </w:rPr>
        <w:t xml:space="preserve"> 8 Mulhern           6    16     8    15 unclear</w:t>
      </w:r>
      <w:r>
        <w:br w:type="textWrapping"/>
      </w:r>
      <w:r>
        <w:rPr>
          <w:rStyle w:val="VerbatimChar"/>
        </w:rPr>
        <w:t xml:space="preserve"> 9 Salmon            8    28    16    34 unclear</w:t>
      </w:r>
      <w:r>
        <w:br w:type="textWrapping"/>
      </w:r>
      <w:r>
        <w:rPr>
          <w:rStyle w:val="VerbatimChar"/>
        </w:rPr>
        <w:t xml:space="preserve">10 Spicak            9    25    20    25 unclear</w:t>
      </w:r>
    </w:p>
    <w:p>
      <w:pPr>
        <w:pStyle w:val="FirstParagraph"/>
      </w:pPr>
      <w:r>
        <w:t xml:space="preserve">Our assumption is that the treatment effects come from a distribution rather than from a common effect. We want to generalise our conclusions to broader populations, therefore we will perform a random-effect model. We will use the</w:t>
      </w:r>
      <w:r>
        <w:t xml:space="preserve"> </w:t>
      </w:r>
      <w:r>
        <w:rPr>
          <w:i/>
        </w:rPr>
        <w:t xml:space="preserve">meta</w:t>
      </w:r>
      <w:r>
        <w:t xml:space="preserve"> </w:t>
      </w:r>
      <w:r>
        <w:t xml:space="preserve">package. The primary function for dichotomous outcomes is</w:t>
      </w:r>
      <w:r>
        <w:t xml:space="preserve"> </w:t>
      </w:r>
      <w:r>
        <w:rPr>
          <w:i/>
        </w:rPr>
        <w:t xml:space="preserve">metabin()</w:t>
      </w:r>
    </w:p>
    <w:p>
      <w:pPr>
        <w:pStyle w:val="SourceCode"/>
      </w:pPr>
      <w:r>
        <w:rPr>
          <w:rStyle w:val="KeywordTok"/>
        </w:rPr>
        <w:t xml:space="preserve">library</w:t>
      </w:r>
      <w:r>
        <w:rPr>
          <w:rStyle w:val="NormalTok"/>
        </w:rPr>
        <w:t xml:space="preserve">(</w:t>
      </w:r>
      <w:r>
        <w:rPr>
          <w:rStyle w:val="StringTok"/>
        </w:rPr>
        <w:t xml:space="preserve">"meta"</w:t>
      </w:r>
      <w:r>
        <w:rPr>
          <w:rStyle w:val="NormalTok"/>
        </w:rPr>
        <w:t xml:space="preserve">)</w:t>
      </w:r>
    </w:p>
    <w:p>
      <w:pPr>
        <w:pStyle w:val="FirstParagraph"/>
      </w:pPr>
      <w:r>
        <w:rPr>
          <w:b/>
        </w:rPr>
        <w:t xml:space="preserve">Reminder: An easy way to check the help file of any package and/or functions is to use the</w:t>
      </w:r>
      <w:r>
        <w:rPr>
          <w:b/>
        </w:rPr>
        <w:t xml:space="preserve"> </w:t>
      </w:r>
      <w:r>
        <w:rPr>
          <w:i/>
          <w:b/>
        </w:rPr>
        <w:t xml:space="preserve">?</w:t>
      </w:r>
      <w:r>
        <w:rPr>
          <w:b/>
        </w:rPr>
        <w:t xml:space="preserve"> </w:t>
      </w:r>
      <w:r>
        <w:rPr>
          <w:b/>
        </w:rPr>
        <w:t xml:space="preserve">or</w:t>
      </w:r>
      <w:r>
        <w:rPr>
          <w:b/>
        </w:rPr>
        <w:t xml:space="preserve"> </w:t>
      </w:r>
      <w:r>
        <w:rPr>
          <w:i/>
          <w:b/>
        </w:rPr>
        <w:t xml:space="preserve">??</w:t>
      </w:r>
      <w:r>
        <w:rPr>
          <w:b/>
        </w:rPr>
        <w:t xml:space="preserve"> </w:t>
      </w:r>
      <w:r>
        <w:rPr>
          <w:b/>
        </w:rPr>
        <w:t xml:space="preserve">and then the name of the function or package, for instance</w:t>
      </w:r>
      <w:r>
        <w:rPr>
          <w:b/>
        </w:rPr>
        <w:t xml:space="preserve"> </w:t>
      </w:r>
      <w:r>
        <w:rPr>
          <w:i/>
          <w:b/>
        </w:rPr>
        <w:t xml:space="preserve">??metabin</w:t>
      </w:r>
      <w:r>
        <w:rPr>
          <w:b/>
        </w:rPr>
        <w:t xml:space="preserve">.</w:t>
      </w:r>
      <w:r>
        <w:t xml:space="preserve"> </w:t>
      </w:r>
      <w:r>
        <w:rPr>
          <w:i/>
        </w:rPr>
        <w:t xml:space="preserve">meta</w:t>
      </w:r>
      <w:r>
        <w:t xml:space="preserve"> </w:t>
      </w:r>
      <w:r>
        <w:t xml:space="preserve">package has an excellent help file, take advantage of it.</w:t>
      </w:r>
    </w:p>
    <w:p>
      <w:pPr>
        <w:pStyle w:val="BodyText"/>
      </w:pPr>
    </w:p>
    <w:p>
      <w:pPr>
        <w:pStyle w:val="BodyText"/>
      </w:pPr>
      <w:r>
        <w:t xml:space="preserve"> </w:t>
      </w:r>
    </w:p>
    <w:p>
      <w:pPr>
        <w:pStyle w:val="BodyText"/>
      </w:pPr>
    </w:p>
    <w:p>
      <w:pPr>
        <w:pStyle w:val="BodyText"/>
      </w:pPr>
      <w:r>
        <w:t xml:space="preserve">In your computer please fill the … , in the metabin command with the appropriate variables from the data. We want to perform a random-effects meta-analysis with risk ratio as an effect size measure, using the empirical Bayes (EB) as a</w:t>
      </w:r>
      <w:r>
        <w:t xml:space="preserve"> </w:t>
      </w:r>
      <m:oMath>
        <m:sSup>
          <m:e>
            <m:r>
              <m:t>τ</m:t>
            </m:r>
          </m:e>
          <m:sup>
            <m:r>
              <m:t>2</m:t>
            </m:r>
          </m:sup>
        </m:sSup>
      </m:oMath>
      <w:r>
        <w:t xml:space="preserve"> </w:t>
      </w:r>
      <w:r>
        <w:t xml:space="preserve">estimator.</w:t>
      </w:r>
    </w:p>
    <w:p>
      <w:pPr>
        <w:pStyle w:val="SourceCode"/>
      </w:pPr>
      <w:r>
        <w:rPr>
          <w:rStyle w:val="NormalTok"/>
        </w:rPr>
        <w:t xml:space="preserve">res.RE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       </w:t>
      </w:r>
      <w:r>
        <w:rPr>
          <w:rStyle w:val="CommentTok"/>
        </w:rPr>
        <w:t xml:space="preserve">## The trial names</w:t>
      </w:r>
      <w:r>
        <w:br w:type="textWrapping"/>
      </w:r>
      <w:r>
        <w:rPr>
          <w:rStyle w:val="NormalTok"/>
        </w:rPr>
        <w:t xml:space="preserve">                 </w:t>
      </w:r>
      <w:r>
        <w:rPr>
          <w:rStyle w:val="DataTypeTok"/>
        </w:rPr>
        <w:t xml:space="preserve">method.tau=</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comb.fixed =</w:t>
      </w:r>
      <w:r>
        <w:rPr>
          <w:rStyle w:val="NormalTok"/>
        </w:rPr>
        <w:t xml:space="preserve">...,    </w:t>
      </w:r>
      <w:r>
        <w:rPr>
          <w:rStyle w:val="CommentTok"/>
        </w:rPr>
        <w:t xml:space="preserve">## A logical (TRUE/FALSE) indicating whether a fixed or random  </w:t>
      </w:r>
      <w:r>
        <w:br w:type="textWrapping"/>
      </w:r>
      <w:r>
        <w:rPr>
          <w:rStyle w:val="NormalTok"/>
        </w:rPr>
        <w:t xml:space="preserve">                 </w:t>
      </w:r>
      <w:r>
        <w:rPr>
          <w:rStyle w:val="DataTypeTok"/>
        </w:rPr>
        <w:t xml:space="preserve">comb.random=</w:t>
      </w:r>
      <w:r>
        <w:rPr>
          <w:rStyle w:val="NormalTok"/>
        </w:rPr>
        <w:t xml:space="preserve">...     </w:t>
      </w:r>
      <w:r>
        <w:rPr>
          <w:rStyle w:val="CommentTok"/>
        </w:rPr>
        <w:t xml:space="preserve">## effect meta-analysis should be conducted.</w:t>
      </w:r>
      <w:r>
        <w:br w:type="textWrapping"/>
      </w:r>
      <w:r>
        <w:rPr>
          <w:rStyle w:val="NormalTok"/>
        </w:rPr>
        <w:t xml:space="preserve">                 )</w:t>
      </w:r>
    </w:p>
    <w:p>
      <w:pPr>
        <w:pStyle w:val="FirstParagraph"/>
      </w:pPr>
      <w:r>
        <w:t xml:space="preserve">Print the output and make a forest plot out of them. Also show the p-value of the overall treatment effect (</w:t>
      </w:r>
      <w:r>
        <w:rPr>
          <w:b/>
        </w:rPr>
        <w:t xml:space="preserve">Hint: test.overall.random = TRUE</w:t>
      </w:r>
      <w:r>
        <w:t xml:space="preserve">)</w:t>
      </w:r>
    </w:p>
    <w:p>
      <w:pPr>
        <w:pStyle w:val="BodyText"/>
      </w:pPr>
      <w:r>
        <w:rPr>
          <w:b/>
        </w:rPr>
        <w:t xml:space="preserve">What is the Inverse-Variance method? Are there any other choices? If yes which?</w:t>
      </w:r>
    </w:p>
    <w:p>
      <w:pPr>
        <w:pStyle w:val="BodyText"/>
      </w:pPr>
    </w:p>
    <w:p>
      <w:pPr>
        <w:pStyle w:val="BodyText"/>
      </w:pPr>
    </w:p>
    <w:p>
      <w:pPr>
        <w:pStyle w:val="BodyText"/>
      </w:pPr>
    </w:p>
    <w:p>
      <w:pPr>
        <w:pStyle w:val="BodyText"/>
      </w:pPr>
      <w:r>
        <w:rPr>
          <w:b/>
        </w:rPr>
        <w:t xml:space="preserve">Interpret the results</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Does the Ketotifen help the patients?</w:t>
      </w:r>
      <w:r>
        <w:t xml:space="preserve"> </w:t>
      </w:r>
      <w:r>
        <w:rPr>
          <w:b/>
        </w:rPr>
        <w:t xml:space="preserve">How much is the increase/decrease of the use of rescue bronchodilators ?</w:t>
      </w:r>
      <w:r>
        <w:t xml:space="preserve"> </w:t>
      </w:r>
    </w:p>
    <w:p>
      <w:pPr>
        <w:pStyle w:val="BodyText"/>
      </w:pPr>
    </w:p>
    <w:p>
      <w:pPr>
        <w:pStyle w:val="BodyText"/>
      </w:pPr>
    </w:p>
    <w:p>
      <w:pPr>
        <w:pStyle w:val="BodyText"/>
      </w:pPr>
    </w:p>
    <w:p>
      <w:pPr>
        <w:pStyle w:val="BodyText"/>
      </w:pPr>
    </w:p>
    <w:p>
      <w:pPr>
        <w:pStyle w:val="BodyText"/>
      </w:pPr>
    </w:p>
    <w:p>
      <w:pPr>
        <w:pStyle w:val="BodyText"/>
      </w:pPr>
      <w:r>
        <w:rPr>
          <w:b/>
        </w:rPr>
        <w:t xml:space="preserve">Describe what Q ,</w:t>
      </w:r>
      <w:r>
        <w:rPr>
          <w:b/>
        </w:rPr>
        <w:t xml:space="preserve"> </w:t>
      </w:r>
      <m:oMath>
        <m:sSup>
          <m:e>
            <m:r>
              <m:t>I</m:t>
            </m:r>
          </m:e>
          <m:sup>
            <m:r>
              <m:t>2</m:t>
            </m:r>
          </m:sup>
        </m:sSup>
      </m:oMath>
      <w:r>
        <w:rPr>
          <w:b/>
        </w:rPr>
        <w:t xml:space="preserve"> </w:t>
      </w:r>
      <w:r>
        <w:rPr>
          <w:b/>
        </w:rPr>
        <w:t xml:space="preserve">,</w:t>
      </w:r>
      <w:r>
        <w:rPr>
          <w:b/>
        </w:rPr>
        <w:t xml:space="preserve"> </w:t>
      </w:r>
      <m:oMath>
        <m:r>
          <m:t>t</m:t>
        </m:r>
        <m:r>
          <m:t>a</m:t>
        </m:r>
        <m:sSup>
          <m:e>
            <m:r>
              <m:t>u</m:t>
            </m:r>
          </m:e>
          <m:sup>
            <m:r>
              <m:t>2</m:t>
            </m:r>
          </m:sup>
        </m:sSup>
      </m:oMath>
      <w:r>
        <w:rPr>
          <w:b/>
        </w:rPr>
        <w:t xml:space="preserve"> </w:t>
      </w:r>
      <w:r>
        <w:rPr>
          <w:b/>
        </w:rPr>
        <w:t xml:space="preserve">and H are and then report their estimated values</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Do our data agree with the random-effects model assumption?</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Is the heterogeneity large?</w:t>
      </w:r>
    </w:p>
    <w:p>
      <w:pPr>
        <w:pStyle w:val="BodyText"/>
      </w:pPr>
    </w:p>
    <w:p>
      <w:pPr>
        <w:pStyle w:val="BodyText"/>
      </w:pPr>
    </w:p>
    <w:p>
      <w:pPr>
        <w:pStyle w:val="BodyText"/>
      </w:pPr>
    </w:p>
    <w:p>
      <w:pPr>
        <w:pStyle w:val="BodyText"/>
      </w:pPr>
    </w:p>
    <w:p>
      <w:pPr>
        <w:pStyle w:val="BodyText"/>
      </w:pPr>
    </w:p>
    <w:p>
      <w:pPr>
        <w:pStyle w:val="BodyText"/>
      </w:pPr>
    </w:p>
    <w:p>
      <w:pPr>
        <w:pStyle w:val="Heading2"/>
      </w:pPr>
      <w:bookmarkStart w:id="21" w:name="subgroup-analysis"/>
      <w:r>
        <w:t xml:space="preserve">Subgroup analysis</w:t>
      </w:r>
      <w:bookmarkEnd w:id="21"/>
    </w:p>
    <w:p>
      <w:pPr>
        <w:pStyle w:val="FirstParagraph"/>
      </w:pPr>
      <w:r>
        <w:rPr>
          <w:i/>
        </w:rPr>
        <w:t xml:space="preserve">Until now we 1) did a systematic review, 2) gathered the Ketotifen data, 3) conducted a meta-analysis, in order to find out whether the use of Ketotifen is beneficial or not and 4) we pooled our treatment effects using a random-effects model, because we assumed that the treatment effects of the trials come from a distribution.</w:t>
      </w:r>
    </w:p>
    <w:p>
      <w:pPr>
        <w:pStyle w:val="BodyText"/>
      </w:pPr>
      <w:r>
        <w:t xml:space="preserve">This is one aim of meta-analysis. Another is to investigate our data in order to understand where do these between-study differences come from. We observed, that some trials had a common design. Particularly Chay et al., Rackham et al., and Van Asperen et al. used blinding. We wonder if we can explain some heterogeneity, by splitting the trials into two meta-analyses. One for the blinded and one for not-blinded trials.</w:t>
      </w:r>
    </w:p>
    <w:p>
      <w:pPr>
        <w:pStyle w:val="BodyText"/>
      </w:pPr>
      <w:r>
        <w:rPr>
          <w:b/>
        </w:rPr>
        <w:t xml:space="preserve">Blinding is a trial characteristic, not a patient characteristic, therefore we can perform subgroup analysis. If the categorical variable was a patient characteristic, for instance gender then we should NOT split the trial and then perform a subgroup analysis. We will discuss this case later on</w:t>
      </w:r>
    </w:p>
    <w:p>
      <w:pPr>
        <w:pStyle w:val="BodyText"/>
      </w:pPr>
      <w:r>
        <w:t xml:space="preserve">TIn order to perform a subgroup analysis we use again the function</w:t>
      </w:r>
      <w:r>
        <w:t xml:space="preserve"> </w:t>
      </w:r>
      <w:r>
        <w:rPr>
          <w:b/>
        </w:rPr>
        <w:t xml:space="preserve">metabin()</w:t>
      </w:r>
      <w:r>
        <w:t xml:space="preserve">, but adding also the option</w:t>
      </w:r>
      <w:r>
        <w:t xml:space="preserve"> </w:t>
      </w:r>
      <w:r>
        <w:rPr>
          <w:b/>
        </w:rPr>
        <w:t xml:space="preserve">byvar =</w:t>
      </w:r>
      <w:r>
        <w:rPr>
          <w:b/>
        </w:rPr>
        <w:t xml:space="preserve"> </w:t>
      </w:r>
      <w:r>
        <w:rPr>
          <w:b/>
        </w:rPr>
        <w:t xml:space="preserve">“</w:t>
      </w:r>
      <w:r>
        <w:rPr>
          <w:b/>
        </w:rPr>
        <w:t xml:space="preserve">name of the subgrouping variable</w:t>
      </w:r>
      <w:r>
        <w:rPr>
          <w:b/>
        </w:rPr>
        <w:t xml:space="preserve">”</w:t>
      </w:r>
      <w:r>
        <w:t xml:space="preserve">.</w:t>
      </w:r>
    </w:p>
    <w:p>
      <w:pPr>
        <w:pStyle w:val="SourceCode"/>
      </w:pPr>
      <w:r>
        <w:rPr>
          <w:rStyle w:val="NormalTok"/>
        </w:rPr>
        <w:t xml:space="preserve">res.SA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       </w:t>
      </w:r>
      <w:r>
        <w:rPr>
          <w:rStyle w:val="CommentTok"/>
        </w:rPr>
        <w:t xml:space="preserve">## The trial names</w:t>
      </w:r>
      <w:r>
        <w:br w:type="textWrapping"/>
      </w:r>
      <w:r>
        <w:rPr>
          <w:rStyle w:val="NormalTok"/>
        </w:rPr>
        <w:t xml:space="preserve">                 </w:t>
      </w:r>
      <w:r>
        <w:rPr>
          <w:rStyle w:val="DataTypeTok"/>
        </w:rPr>
        <w:t xml:space="preserve">method.tau=</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comb.fixed =</w:t>
      </w:r>
      <w:r>
        <w:rPr>
          <w:rStyle w:val="NormalTok"/>
        </w:rPr>
        <w:t xml:space="preserve">...,    </w:t>
      </w:r>
      <w:r>
        <w:rPr>
          <w:rStyle w:val="CommentTok"/>
        </w:rPr>
        <w:t xml:space="preserve">## A logical (TRUE/FALSE) indicating whether a fixed or random  </w:t>
      </w:r>
      <w:r>
        <w:br w:type="textWrapping"/>
      </w:r>
      <w:r>
        <w:rPr>
          <w:rStyle w:val="NormalTok"/>
        </w:rPr>
        <w:t xml:space="preserve">                 </w:t>
      </w:r>
      <w:r>
        <w:rPr>
          <w:rStyle w:val="DataTypeTok"/>
        </w:rPr>
        <w:t xml:space="preserve">comb.random=</w:t>
      </w:r>
      <w:r>
        <w:rPr>
          <w:rStyle w:val="NormalTok"/>
        </w:rPr>
        <w:t xml:space="preserve">...,    </w:t>
      </w:r>
      <w:r>
        <w:rPr>
          <w:rStyle w:val="CommentTok"/>
        </w:rPr>
        <w:t xml:space="preserve">## effect meta-analysis should be conducted.</w:t>
      </w:r>
      <w:r>
        <w:br w:type="textWrapping"/>
      </w:r>
      <w:r>
        <w:rPr>
          <w:rStyle w:val="NormalTok"/>
        </w:rPr>
        <w:t xml:space="preserve">                 </w:t>
      </w:r>
      <w:r>
        <w:rPr>
          <w:rStyle w:val="DataTypeTok"/>
        </w:rPr>
        <w:t xml:space="preserve">byvar =</w:t>
      </w:r>
      <w:r>
        <w:rPr>
          <w:rStyle w:val="NormalTok"/>
        </w:rPr>
        <w:t xml:space="preserve"> ...         </w:t>
      </w:r>
      <w:r>
        <w:rPr>
          <w:rStyle w:val="CommentTok"/>
        </w:rPr>
        <w:t xml:space="preserve">## The splitting variable  </w:t>
      </w:r>
      <w:r>
        <w:br w:type="textWrapping"/>
      </w:r>
      <w:r>
        <w:rPr>
          <w:rStyle w:val="NormalTok"/>
        </w:rPr>
        <w:t xml:space="preserve">                 )</w:t>
      </w:r>
    </w:p>
    <w:p>
      <w:pPr>
        <w:pStyle w:val="FirstParagraph"/>
      </w:pPr>
      <w:r>
        <w:t xml:space="preserve">Print the output and make a forest plot out of them. Also show the p-value of the overall treatment effect (</w:t>
      </w:r>
      <w:r>
        <w:rPr>
          <w:b/>
        </w:rPr>
        <w:t xml:space="preserve">Hint: test.overall.random = TRUE</w:t>
      </w:r>
      <w:r>
        <w:t xml:space="preserve">)</w:t>
      </w:r>
    </w:p>
    <w:p>
      <w:pPr>
        <w:pStyle w:val="BodyText"/>
      </w:pPr>
      <w:r>
        <w:rPr>
          <w:b/>
        </w:rPr>
        <w:t xml:space="preserve">Note: for better looking forest-plots see the help file ( ??forest.meta )</w:t>
      </w:r>
    </w:p>
    <w:p>
      <w:pPr>
        <w:pStyle w:val="BodyText"/>
      </w:pPr>
      <w:r>
        <w:t xml:space="preserve">The subgroup analysis shows that method of blinding does not explain adequately the statistical heterogeneity between trials.</w:t>
      </w:r>
      <w:r>
        <w:t xml:space="preserve"> </w:t>
      </w:r>
      <w:r>
        <w:rPr>
          <w:i/>
        </w:rPr>
        <w:t xml:space="preserve">Why?</w:t>
      </w:r>
    </w:p>
    <w:p>
      <w:pPr>
        <w:pStyle w:val="BodyText"/>
      </w:pPr>
      <w:r>
        <w:rPr>
          <w:b/>
        </w:rPr>
        <w:t xml:space="preserve">Report the results for subgroups (random effects model) table (copy-paste)</w:t>
      </w:r>
    </w:p>
    <w:p>
      <w:pPr>
        <w:pStyle w:val="BodyText"/>
      </w:pPr>
    </w:p>
    <w:p>
      <w:pPr>
        <w:pStyle w:val="BodyText"/>
      </w:pPr>
    </w:p>
    <w:p>
      <w:pPr>
        <w:pStyle w:val="BodyText"/>
      </w:pPr>
      <w:r>
        <w:rPr>
          <w:b/>
        </w:rPr>
        <w:t xml:space="preserve">What are the values of</w:t>
      </w:r>
      <w:r>
        <w:rPr>
          <w:b/>
        </w:rPr>
        <w:t xml:space="preserve"> </w:t>
      </w:r>
      <m:oMath>
        <m:sSub>
          <m:e>
            <m:r>
              <m:t>Q</m:t>
            </m:r>
          </m:e>
          <m:sub>
            <m:r>
              <m:t>p</m:t>
            </m:r>
            <m:r>
              <m:t>e</m:t>
            </m:r>
            <m:r>
              <m:t>r</m:t>
            </m:r>
            <m:r>
              <m:t>s</m:t>
            </m:r>
            <m:r>
              <m:t>u</m:t>
            </m:r>
            <m:r>
              <m:t>b</m:t>
            </m:r>
            <m:r>
              <m:t>g</m:t>
            </m:r>
            <m:r>
              <m:t>r</m:t>
            </m:r>
            <m:r>
              <m:t>o</m:t>
            </m:r>
            <m:r>
              <m:t>u</m:t>
            </m:r>
            <m:r>
              <m:t>p</m:t>
            </m:r>
          </m:sub>
        </m:sSub>
      </m:oMath>
      <w:r>
        <w:rPr>
          <w:b/>
        </w:rPr>
        <w:t xml:space="preserve">,</w:t>
      </w:r>
      <w:r>
        <w:rPr>
          <w:b/>
        </w:rPr>
        <w:t xml:space="preserve"> </w:t>
      </w:r>
      <m:oMath>
        <m:sSup>
          <m:e>
            <m:r>
              <m:t>I</m:t>
            </m:r>
          </m:e>
          <m:sup>
            <m:r>
              <m:t>2</m:t>
            </m:r>
          </m:sup>
        </m:sSup>
      </m:oMath>
      <w:r>
        <w:rPr>
          <w:b/>
        </w:rPr>
        <w:t xml:space="preserve"> </w:t>
      </w:r>
      <w:r>
        <w:rPr>
          <w:b/>
        </w:rPr>
        <w:t xml:space="preserve">, H and</w:t>
      </w:r>
      <w:r>
        <w:rPr>
          <w:b/>
        </w:rPr>
        <w:t xml:space="preserve"> </w:t>
      </w:r>
      <m:oMath>
        <m:r>
          <m:t>t</m:t>
        </m:r>
        <m:r>
          <m:t>a</m:t>
        </m:r>
        <m:sSup>
          <m:e>
            <m:r>
              <m:t>u</m:t>
            </m:r>
          </m:e>
          <m:sup>
            <m:r>
              <m:t>2</m:t>
            </m:r>
          </m:sup>
        </m:sSup>
      </m:oMath>
      <w:r>
        <w:rPr>
          <w:b/>
        </w:rPr>
        <w:t xml:space="preserve"> </w:t>
      </w:r>
      <w:r>
        <w:rPr>
          <w:b/>
        </w:rPr>
        <w:t xml:space="preserve">now? What do they represent?</w:t>
      </w:r>
    </w:p>
    <w:p>
      <w:pPr>
        <w:pStyle w:val="BodyText"/>
      </w:pPr>
    </w:p>
    <w:p>
      <w:pPr>
        <w:pStyle w:val="BodyText"/>
      </w:pPr>
    </w:p>
    <w:p>
      <w:pPr>
        <w:pStyle w:val="BodyText"/>
      </w:pPr>
    </w:p>
    <w:p>
      <w:pPr>
        <w:pStyle w:val="BodyText"/>
      </w:pPr>
    </w:p>
    <w:p>
      <w:pPr>
        <w:pStyle w:val="BodyText"/>
      </w:pPr>
    </w:p>
    <w:p>
      <w:pPr>
        <w:pStyle w:val="BodyText"/>
      </w:pPr>
      <w:r>
        <w:rPr>
          <w:b/>
        </w:rPr>
        <w:t xml:space="preserve">Report the Test for subgroup differences (copy-paste). How should you interpret it? Discuss Q, d.f. and p-value.</w:t>
      </w:r>
    </w:p>
    <w:p>
      <w:pPr>
        <w:pStyle w:val="BodyText"/>
      </w:pPr>
    </w:p>
    <w:p>
      <w:pPr>
        <w:pStyle w:val="BodyText"/>
      </w:pPr>
    </w:p>
    <w:p>
      <w:pPr>
        <w:pStyle w:val="BodyText"/>
      </w:pPr>
    </w:p>
    <w:p>
      <w:pPr>
        <w:pStyle w:val="BodyText"/>
      </w:pPr>
    </w:p>
    <w:p>
      <w:pPr>
        <w:pStyle w:val="BodyText"/>
      </w:pPr>
    </w:p>
    <w:p>
      <w:pPr>
        <w:pStyle w:val="BodyText"/>
      </w:pPr>
      <w:r>
        <w:t xml:space="preserve">Subgroup analysis has a lot in common with a meta-regression with a categorical independent variable. We can also perform a subgroup analysis in a</w:t>
      </w:r>
      <w:r>
        <w:t xml:space="preserve"> </w:t>
      </w:r>
      <w:r>
        <w:t xml:space="preserve">“</w:t>
      </w:r>
      <w:r>
        <w:t xml:space="preserve">linear</w:t>
      </w:r>
      <w:r>
        <w:t xml:space="preserve">”</w:t>
      </w:r>
      <w:r>
        <w:t xml:space="preserve"> </w:t>
      </w:r>
      <w:r>
        <w:t xml:space="preserve">meta-regression framework. Particularly, we can use the</w:t>
      </w:r>
      <w:r>
        <w:t xml:space="preserve"> </w:t>
      </w:r>
      <w:r>
        <w:rPr>
          <w:i/>
        </w:rPr>
        <w:t xml:space="preserve">metareg()</w:t>
      </w:r>
      <w:r>
        <w:t xml:space="preserve"> </w:t>
      </w:r>
      <w:r>
        <w:t xml:space="preserve">function to fit a meta-regression, using the log risk ratios as a dependent variable and the blinding as an independent one. The options need a</w:t>
      </w:r>
      <w:r>
        <w:t xml:space="preserve"> </w:t>
      </w:r>
      <w:r>
        <w:rPr>
          <w:i/>
        </w:rPr>
        <w:t xml:space="preserve">meta</w:t>
      </w:r>
      <w:r>
        <w:t xml:space="preserve"> </w:t>
      </w:r>
      <w:r>
        <w:t xml:space="preserve">object (the random effects meta-analysis we performed earlier is one) and the categorical variable we wish to use (in our case blinding).</w:t>
      </w:r>
    </w:p>
    <w:p>
      <w:pPr>
        <w:pStyle w:val="BodyText"/>
      </w:pPr>
      <w:r>
        <w:rPr>
          <w:b/>
        </w:rPr>
        <w:t xml:space="preserve">Fill the ….</w:t>
      </w:r>
    </w:p>
    <w:p>
      <w:pPr>
        <w:pStyle w:val="SourceCode"/>
      </w:pPr>
      <w:r>
        <w:rPr>
          <w:rStyle w:val="NormalTok"/>
        </w:rPr>
        <w:t xml:space="preserve">res.MR.SA =</w:t>
      </w:r>
      <w:r>
        <w:rPr>
          <w:rStyle w:val="KeywordTok"/>
        </w:rPr>
        <w:t xml:space="preserve">metareg</w:t>
      </w:r>
      <w:r>
        <w:rPr>
          <w:rStyle w:val="NormalTok"/>
        </w:rPr>
        <w:t xml:space="preserve">(</w:t>
      </w:r>
      <w:r>
        <w:rPr>
          <w:rStyle w:val="DataTypeTok"/>
        </w:rPr>
        <w:t xml:space="preserve">x =</w:t>
      </w:r>
      <w:r>
        <w:rPr>
          <w:rStyle w:val="NormalTok"/>
        </w:rPr>
        <w:t xml:space="preserve"> .... , </w:t>
      </w:r>
      <w:r>
        <w:rPr>
          <w:rStyle w:val="CommentTok"/>
        </w:rPr>
        <w:t xml:space="preserve">## an object of class meta</w:t>
      </w:r>
      <w:r>
        <w:br w:type="textWrapping"/>
      </w:r>
      <w:r>
        <w:rPr>
          <w:rStyle w:val="NormalTok"/>
        </w:rPr>
        <w:t xml:space="preserve">                  </w:t>
      </w:r>
      <w:r>
        <w:rPr>
          <w:rStyle w:val="DataTypeTok"/>
        </w:rPr>
        <w:t xml:space="preserve">formula =</w:t>
      </w:r>
      <w:r>
        <w:rPr>
          <w:rStyle w:val="NormalTok"/>
        </w:rPr>
        <w:t xml:space="preserve"> ....,</w:t>
      </w:r>
      <w:r>
        <w:br w:type="textWrapping"/>
      </w:r>
      <w:r>
        <w:rPr>
          <w:rStyle w:val="NormalTok"/>
        </w:rPr>
        <w:t xml:space="preserve">                  </w:t>
      </w:r>
      <w:r>
        <w:rPr>
          <w:rStyle w:val="DataTypeTok"/>
        </w:rPr>
        <w:t xml:space="preserve">hakn =</w:t>
      </w:r>
      <w:r>
        <w:rPr>
          <w:rStyle w:val="NormalTok"/>
        </w:rPr>
        <w:t xml:space="preserve"> T)</w:t>
      </w:r>
    </w:p>
    <w:p>
      <w:pPr>
        <w:pStyle w:val="FirstParagraph"/>
      </w:pPr>
      <w:r>
        <w:t xml:space="preserve">Compare the subgroup analysis with the meta-regression output. There some minor differences, but this is due the fact that the</w:t>
      </w:r>
      <w:r>
        <w:t xml:space="preserve"> </w:t>
      </w:r>
      <m:oMath>
        <m:sSup>
          <m:e>
            <m:r>
              <m:t>τ</m:t>
            </m:r>
          </m:e>
          <m:sup>
            <m:r>
              <m:t>2</m:t>
            </m:r>
          </m:sup>
        </m:sSup>
      </m:oMath>
      <w:r>
        <w:t xml:space="preserve"> </w:t>
      </w:r>
      <w:r>
        <w:t xml:space="preserve">within the blinded and unclear groups are different in subgroup analysis, while in meta-regression they are the same. If in the subgroup analysis we</w:t>
      </w:r>
      <w:r>
        <w:t xml:space="preserve"> </w:t>
      </w:r>
      <w:r>
        <w:t xml:space="preserve">“</w:t>
      </w:r>
      <w:r>
        <w:t xml:space="preserve">force</w:t>
      </w:r>
      <w:r>
        <w:t xml:space="preserve">”</w:t>
      </w:r>
      <w:r>
        <w:t xml:space="preserve"> </w:t>
      </w:r>
      <w:r>
        <w:t xml:space="preserve">the</w:t>
      </w:r>
      <w:r>
        <w:t xml:space="preserve"> </w:t>
      </w:r>
      <m:oMath>
        <m:sSup>
          <m:e>
            <m:r>
              <m:t>τ</m:t>
            </m:r>
          </m:e>
          <m:sup>
            <m:r>
              <m:t>2</m:t>
            </m:r>
          </m:sup>
        </m:sSup>
      </m:oMath>
      <w:r>
        <w:t xml:space="preserve">s for both subgroups to be equal, then the results of the meta-regression are exactly the same as Subgroup analysis.</w:t>
      </w:r>
    </w:p>
    <w:p>
      <w:pPr>
        <w:pStyle w:val="SourceCode"/>
      </w:pPr>
      <w:r>
        <w:rPr>
          <w:rStyle w:val="NormalTok"/>
        </w:rPr>
        <w:t xml:space="preserve">res.SA</w:t>
      </w:r>
      <w:r>
        <w:rPr>
          <w:rStyle w:val="FloatTok"/>
        </w:rPr>
        <w:t xml:space="preserve">.2</w:t>
      </w:r>
      <w:r>
        <w:rPr>
          <w:rStyle w:val="NormalTok"/>
        </w:rPr>
        <w:t xml:space="preserv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Ee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Ne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Ec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Nc,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w:t>
      </w:r>
      <w:r>
        <w:rPr>
          <w:rStyle w:val="StringTok"/>
        </w:rPr>
        <w:t xml:space="preserve">"RR"</w:t>
      </w:r>
      <w:r>
        <w:rPr>
          <w:rStyle w:val="NormalTok"/>
        </w:rPr>
        <w:t xml:space="preserve">,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"Inverse"</w:t>
      </w:r>
      <w:r>
        <w:rPr>
          <w:rStyle w:val="NormalTok"/>
        </w:rPr>
        <w:t xml:space="preserve">,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Ketotifen,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study,    </w:t>
      </w:r>
      <w:r>
        <w:rPr>
          <w:rStyle w:val="CommentTok"/>
        </w:rPr>
        <w:t xml:space="preserve">## The trial names</w:t>
      </w:r>
      <w:r>
        <w:br w:type="textWrapping"/>
      </w:r>
      <w:r>
        <w:rPr>
          <w:rStyle w:val="NormalTok"/>
        </w:rPr>
        <w:t xml:space="preserve">                 </w:t>
      </w:r>
      <w:r>
        <w:rPr>
          <w:rStyle w:val="DataTypeTok"/>
        </w:rPr>
        <w:t xml:space="preserve">method.tau=</w:t>
      </w:r>
      <w:r>
        <w:rPr>
          <w:rStyle w:val="StringTok"/>
        </w:rPr>
        <w:t xml:space="preserve">"EB"</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byvar =</w:t>
      </w:r>
      <w:r>
        <w:rPr>
          <w:rStyle w:val="NormalTok"/>
        </w:rPr>
        <w:t xml:space="preserve">  blind,     </w:t>
      </w:r>
      <w:r>
        <w:rPr>
          <w:rStyle w:val="CommentTok"/>
        </w:rPr>
        <w:t xml:space="preserve">## The splitting variable  </w:t>
      </w:r>
      <w:r>
        <w:br w:type="textWrapping"/>
      </w:r>
      <w:r>
        <w:rPr>
          <w:rStyle w:val="NormalTok"/>
        </w:rPr>
        <w:t xml:space="preserve">                 </w:t>
      </w:r>
      <w:r>
        <w:rPr>
          <w:rStyle w:val="DataTypeTok"/>
        </w:rPr>
        <w:t xml:space="preserve">comb.fixed =</w:t>
      </w:r>
      <w:r>
        <w:rPr>
          <w:rStyle w:val="NormalTok"/>
        </w:rPr>
        <w:t xml:space="preserve"> F,    </w:t>
      </w:r>
      <w:r>
        <w:rPr>
          <w:rStyle w:val="CommentTok"/>
        </w:rPr>
        <w:t xml:space="preserve">## A logical variable (True/False) indicating </w:t>
      </w:r>
      <w:r>
        <w:br w:type="textWrapping"/>
      </w:r>
      <w:r>
        <w:rPr>
          <w:rStyle w:val="NormalTok"/>
        </w:rPr>
        <w:t xml:space="preserve">                                     </w:t>
      </w:r>
      <w:r>
        <w:rPr>
          <w:rStyle w:val="CommentTok"/>
        </w:rPr>
        <w:t xml:space="preserve">## whether a fixed effect meta-analysis should be conducted.</w:t>
      </w:r>
      <w:r>
        <w:br w:type="textWrapping"/>
      </w:r>
      <w:r>
        <w:rPr>
          <w:rStyle w:val="NormalTok"/>
        </w:rPr>
        <w:t xml:space="preserve">                 </w:t>
      </w:r>
      <w:r>
        <w:rPr>
          <w:rStyle w:val="DataTypeTok"/>
        </w:rPr>
        <w:t xml:space="preserve">tau.common =</w:t>
      </w:r>
      <w:r>
        <w:rPr>
          <w:rStyle w:val="NormalTok"/>
        </w:rPr>
        <w:t xml:space="preserve"> T</w:t>
      </w:r>
      <w:r>
        <w:br w:type="textWrapping"/>
      </w:r>
      <w:r>
        <w:rPr>
          <w:rStyle w:val="NormalTok"/>
        </w:rPr>
        <w:t xml:space="preserve">                 )</w:t>
      </w:r>
      <w:r>
        <w:br w:type="textWrapping"/>
      </w:r>
      <w:r>
        <w:br w:type="textWrapping"/>
      </w:r>
      <w:r>
        <w:rPr>
          <w:rStyle w:val="CommentTok"/>
        </w:rPr>
        <w:t xml:space="preserve"># forest(res.SA)</w:t>
      </w:r>
    </w:p>
    <w:p>
      <w:pPr>
        <w:pStyle w:val="Heading2"/>
      </w:pPr>
      <w:bookmarkStart w:id="22" w:name="X0ebfd913db14f8a846a1153e7365cc6a62789cb"/>
      <w:r>
        <w:t xml:space="preserve">Meta-regression with a continuous covariate</w:t>
      </w:r>
      <w:bookmarkEnd w:id="22"/>
    </w:p>
    <w:p>
      <w:pPr>
        <w:pStyle w:val="FirstParagraph"/>
      </w:pPr>
      <w:r>
        <w:t xml:space="preserve">In this section we will try to explain again part of the heterogeneity, but instead of using a categorical variable we will use a continuous.</w:t>
      </w:r>
    </w:p>
    <w:p>
      <w:pPr>
        <w:pStyle w:val="BodyText"/>
      </w:pPr>
      <w:r>
        <w:t xml:space="preserve">We will use the meta-analysis of Colditz et al. </w:t>
      </w:r>
      <w:r>
        <w:t xml:space="preserve">(Colditz 1994)</w:t>
      </w:r>
      <w:r>
        <w:t xml:space="preserve">, where he evaluated the overall effectiveness of the Bacillus Calmette-Guerin vaccine against tuberculosis. In addition, covariates that may potentially influence the effect of vaccination were examined.</w:t>
      </w:r>
    </w:p>
    <w:p>
      <w:pPr>
        <w:pStyle w:val="BodyText"/>
      </w:pPr>
      <w:r>
        <w:rPr>
          <w:b/>
        </w:rPr>
        <w:t xml:space="preserve">Note: we using AGAIN a variable that is a trial characteristic, not a patient characteristic</w:t>
      </w:r>
    </w:p>
    <w:p>
      <w:pPr>
        <w:pStyle w:val="SourceCode"/>
      </w:pPr>
      <w:r>
        <w:rPr>
          <w:rStyle w:val="KeywordTok"/>
        </w:rPr>
        <w:t xml:space="preserve">library</w:t>
      </w:r>
      <w:r>
        <w:rPr>
          <w:rStyle w:val="NormalTok"/>
        </w:rPr>
        <w:t xml:space="preserve">(metafor)</w:t>
      </w:r>
      <w:r>
        <w:br w:type="textWrapping"/>
      </w:r>
      <w:r>
        <w:rPr>
          <w:rStyle w:val="NormalTok"/>
        </w:rPr>
        <w:t xml:space="preserve">dat &lt;-</w:t>
      </w:r>
      <w:r>
        <w:rPr>
          <w:rStyle w:val="StringTok"/>
        </w:rPr>
        <w:t xml:space="preserve"> </w:t>
      </w:r>
      <w:r>
        <w:rPr>
          <w:rStyle w:val="NormalTok"/>
        </w:rPr>
        <w:t xml:space="preserve">dat.colditz1994</w:t>
      </w:r>
      <w:r>
        <w:br w:type="textWrapping"/>
      </w:r>
      <w:r>
        <w:rPr>
          <w:rStyle w:val="KeywordTok"/>
        </w:rPr>
        <w:t xml:space="preserve">head</w:t>
      </w:r>
      <w:r>
        <w:rPr>
          <w:rStyle w:val="NormalTok"/>
        </w:rPr>
        <w:t xml:space="preserve">(dat)</w:t>
      </w:r>
    </w:p>
    <w:p>
      <w:pPr>
        <w:pStyle w:val="SourceCode"/>
      </w:pPr>
      <w:r>
        <w:rPr>
          <w:rStyle w:val="VerbatimChar"/>
        </w:rPr>
        <w:t xml:space="preserve">  trial               author year tpos  tneg cpos  cneg ablat     alloc</w:t>
      </w:r>
      <w:r>
        <w:br w:type="textWrapping"/>
      </w:r>
      <w:r>
        <w:rPr>
          <w:rStyle w:val="VerbatimChar"/>
        </w:rPr>
        <w:t xml:space="preserve">1     1              Aronson 1948    4   119   11   128    44    random</w:t>
      </w:r>
      <w:r>
        <w:br w:type="textWrapping"/>
      </w:r>
      <w:r>
        <w:rPr>
          <w:rStyle w:val="VerbatimChar"/>
        </w:rPr>
        <w:t xml:space="preserve">2     2     Ferguson &amp; Simes 1949    6   300   29   274    55    random</w:t>
      </w:r>
      <w:r>
        <w:br w:type="textWrapping"/>
      </w:r>
      <w:r>
        <w:rPr>
          <w:rStyle w:val="VerbatimChar"/>
        </w:rPr>
        <w:t xml:space="preserve">3     3      Rosenthal et al 1960    3   228   11   209    42    random</w:t>
      </w:r>
      <w:r>
        <w:br w:type="textWrapping"/>
      </w:r>
      <w:r>
        <w:rPr>
          <w:rStyle w:val="VerbatimChar"/>
        </w:rPr>
        <w:t xml:space="preserve">4     4    Hart &amp; Sutherland 1977   62 13536  248 12619    52    random</w:t>
      </w:r>
      <w:r>
        <w:br w:type="textWrapping"/>
      </w:r>
      <w:r>
        <w:rPr>
          <w:rStyle w:val="VerbatimChar"/>
        </w:rPr>
        <w:t xml:space="preserve">5     5 Frimodt-Moller et al 1973   33  5036   47  5761    13 alternate</w:t>
      </w:r>
      <w:r>
        <w:br w:type="textWrapping"/>
      </w:r>
      <w:r>
        <w:rPr>
          <w:rStyle w:val="VerbatimChar"/>
        </w:rPr>
        <w:t xml:space="preserve">6     6      Stein &amp; Aronson 1953  180  1361  372  1079    44 alternate</w:t>
      </w:r>
    </w:p>
    <w:p>
      <w:pPr>
        <w:pStyle w:val="FirstParagraph"/>
      </w:pPr>
      <w:r>
        <w:t xml:space="preserve">We believe that part of our data heterogeneity can be due to the country’s place on the world map. That is a resonable thing in epidemic, since the climate may affect the disease. Therefore, we will fit a meta-regression using the logRR as dependent variable and he absolute geographical latitude.</w:t>
      </w:r>
    </w:p>
    <w:p>
      <w:pPr>
        <w:pStyle w:val="BodyText"/>
      </w:pPr>
      <w:r>
        <w:t xml:space="preserve">First, perform a random-effects meta-analysis and then fit a meta-regression using the absolute geographical latitude (</w:t>
      </w:r>
      <w:r>
        <w:t xml:space="preserve">“</w:t>
      </w:r>
      <w:r>
        <w:t xml:space="preserve">ablat</w:t>
      </w:r>
      <w:r>
        <w:t xml:space="preserve">”</w:t>
      </w:r>
      <w:r>
        <w:t xml:space="preserve">) as a moderator.</w:t>
      </w:r>
    </w:p>
    <w:p>
      <w:pPr>
        <w:pStyle w:val="SourceCode"/>
      </w:pPr>
      <w:r>
        <w:rPr>
          <w:rStyle w:val="NormalTok"/>
        </w:rPr>
        <w:t xml:space="preserve">res.RE.MR =</w:t>
      </w:r>
      <w:r>
        <w:rPr>
          <w:rStyle w:val="KeywordTok"/>
        </w:rPr>
        <w:t xml:space="preserve">metareg</w:t>
      </w:r>
      <w:r>
        <w:rPr>
          <w:rStyle w:val="NormalTok"/>
        </w:rPr>
        <w:t xml:space="preserve">(</w:t>
      </w:r>
      <w:r>
        <w:rPr>
          <w:rStyle w:val="DataTypeTok"/>
        </w:rPr>
        <w:t xml:space="preserve">x =</w:t>
      </w:r>
      <w:r>
        <w:rPr>
          <w:rStyle w:val="NormalTok"/>
        </w:rPr>
        <w:t xml:space="preserve"> .... , </w:t>
      </w:r>
      <w:r>
        <w:rPr>
          <w:rStyle w:val="CommentTok"/>
        </w:rPr>
        <w:t xml:space="preserve">## an object of class meta</w:t>
      </w:r>
      <w:r>
        <w:br w:type="textWrapping"/>
      </w:r>
      <w:r>
        <w:rPr>
          <w:rStyle w:val="NormalTok"/>
        </w:rPr>
        <w:t xml:space="preserve">                  </w:t>
      </w:r>
      <w:r>
        <w:rPr>
          <w:rStyle w:val="DataTypeTok"/>
        </w:rPr>
        <w:t xml:space="preserve">formula =</w:t>
      </w:r>
      <w:r>
        <w:rPr>
          <w:rStyle w:val="NormalTok"/>
        </w:rPr>
        <w:t xml:space="preserve"> ....,</w:t>
      </w:r>
      <w:r>
        <w:br w:type="textWrapping"/>
      </w:r>
      <w:r>
        <w:rPr>
          <w:rStyle w:val="NormalTok"/>
        </w:rPr>
        <w:t xml:space="preserve">                  </w:t>
      </w:r>
      <w:r>
        <w:rPr>
          <w:rStyle w:val="DataTypeTok"/>
        </w:rPr>
        <w:t xml:space="preserve">hakn =</w:t>
      </w:r>
      <w:r>
        <w:rPr>
          <w:rStyle w:val="NormalTok"/>
        </w:rPr>
        <w:t xml:space="preserve"> T)</w:t>
      </w:r>
    </w:p>
    <w:p>
      <w:pPr>
        <w:pStyle w:val="FirstParagraph"/>
      </w:pPr>
      <w:r>
        <w:rPr>
          <w:b/>
        </w:rPr>
        <w:t xml:space="preserve">Report the Test for Residual Heterogeneity and the Test for Moderators</w:t>
      </w:r>
    </w:p>
    <w:p>
      <w:pPr>
        <w:pStyle w:val="BodyText"/>
      </w:pPr>
    </w:p>
    <w:p>
      <w:pPr>
        <w:pStyle w:val="BodyText"/>
      </w:pPr>
    </w:p>
    <w:p>
      <w:pPr>
        <w:pStyle w:val="BodyText"/>
      </w:pPr>
    </w:p>
    <w:p>
      <w:pPr>
        <w:pStyle w:val="BodyText"/>
      </w:pPr>
    </w:p>
    <w:p>
      <w:pPr>
        <w:pStyle w:val="BodyText"/>
      </w:pPr>
    </w:p>
    <w:p>
      <w:pPr>
        <w:pStyle w:val="BodyText"/>
      </w:pPr>
      <w:r>
        <w:rPr>
          <w:b/>
        </w:rPr>
        <w:t xml:space="preserve">What are our conclusions?</w:t>
      </w:r>
    </w:p>
    <w:p>
      <w:pPr>
        <w:pStyle w:val="BodyText"/>
      </w:pPr>
    </w:p>
    <w:p>
      <w:pPr>
        <w:pStyle w:val="BodyText"/>
      </w:pPr>
    </w:p>
    <w:p>
      <w:pPr>
        <w:pStyle w:val="BodyText"/>
      </w:pPr>
    </w:p>
    <w:p>
      <w:pPr>
        <w:pStyle w:val="BodyText"/>
      </w:pPr>
    </w:p>
    <w:p>
      <w:pPr>
        <w:pStyle w:val="BodyText"/>
      </w:pPr>
    </w:p>
    <w:p>
      <w:pPr>
        <w:pStyle w:val="BodyText"/>
      </w:pPr>
      <w:r>
        <w:t xml:space="preserve">We can also plot the effect estimates over the range of the absolute geographical latitude, so that we may have a visual represantion, using the</w:t>
      </w:r>
      <w:r>
        <w:t xml:space="preserve"> </w:t>
      </w:r>
      <w:r>
        <w:rPr>
          <w:i/>
        </w:rPr>
        <w:t xml:space="preserve">bubble()</w:t>
      </w:r>
      <w:r>
        <w:t xml:space="preserve"> </w:t>
      </w:r>
      <w:r>
        <w:t xml:space="preserve">command. See the help file (</w:t>
      </w:r>
      <w:r>
        <w:rPr>
          <w:i/>
        </w:rPr>
        <w:t xml:space="preserve">??bubble.metareg</w:t>
      </w:r>
      <w:r>
        <w:t xml:space="preserve">).</w:t>
      </w:r>
    </w:p>
    <w:p>
      <w:pPr>
        <w:pStyle w:val="SourceCode"/>
      </w:pPr>
      <w:r>
        <w:rPr>
          <w:rStyle w:val="KeywordTok"/>
        </w:rPr>
        <w:t xml:space="preserve">bubble</w:t>
      </w:r>
      <w:r>
        <w:rPr>
          <w:rStyle w:val="NormalTok"/>
        </w:rPr>
        <w:t xml:space="preserve">(res.RE.MR)</w:t>
      </w:r>
    </w:p>
    <w:p>
      <w:pPr>
        <w:pStyle w:val="FirstParagraph"/>
      </w:pPr>
      <w:r>
        <w:drawing>
          <wp:inline>
            <wp:extent cx="5334000" cy="3556000"/>
            <wp:effectExtent b="0" l="0" r="0" t="0"/>
            <wp:docPr descr="" title="" id="1" name="Picture"/>
            <a:graphic>
              <a:graphicData uri="http://schemas.openxmlformats.org/drawingml/2006/picture">
                <pic:pic>
                  <pic:nvPicPr>
                    <pic:cNvPr descr="Figs/unnamed-chunk-16-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rPr>
        <w:t xml:space="preserve">Based on our model calculate the predicted logRR (and then RR) for Nijmegen (or any other city you like)</w:t>
      </w:r>
    </w:p>
    <w:p>
      <w:pPr>
        <w:pStyle w:val="BodyText"/>
      </w:pPr>
    </w:p>
    <w:p>
      <w:pPr>
        <w:pStyle w:val="BodyText"/>
      </w:pPr>
    </w:p>
    <w:p>
      <w:pPr>
        <w:pStyle w:val="BodyText"/>
      </w:pPr>
    </w:p>
    <w:p>
      <w:pPr>
        <w:pStyle w:val="BodyText"/>
      </w:pPr>
    </w:p>
    <w:p>
      <w:pPr>
        <w:pStyle w:val="BodyText"/>
      </w:pPr>
    </w:p>
    <w:p>
      <w:pPr>
        <w:pStyle w:val="BodyText"/>
      </w:pPr>
      <w:r>
        <w:rPr>
          <w:b/>
        </w:rPr>
        <w:t xml:space="preserve">What are the absolute geographical latitude ranges we can safely predict?</w:t>
      </w:r>
    </w:p>
    <w:p>
      <w:pPr>
        <w:pStyle w:val="BodyText"/>
      </w:pPr>
    </w:p>
    <w:p>
      <w:pPr>
        <w:pStyle w:val="BodyText"/>
      </w:pPr>
    </w:p>
    <w:p>
      <w:pPr>
        <w:pStyle w:val="BodyText"/>
      </w:pPr>
    </w:p>
    <w:p>
      <w:pPr>
        <w:pStyle w:val="BodyText"/>
      </w:pPr>
    </w:p>
    <w:p>
      <w:pPr>
        <w:pStyle w:val="BodyText"/>
      </w:pPr>
    </w:p>
    <w:p>
      <w:pPr>
        <w:pStyle w:val="Heading1"/>
      </w:pPr>
      <w:bookmarkStart w:id="24" w:name="references"/>
      <w:r>
        <w:t xml:space="preserve">References</w:t>
      </w:r>
      <w:bookmarkEnd w:id="24"/>
    </w:p>
    <w:bookmarkStart w:id="29" w:name="refs"/>
    <w:bookmarkStart w:id="26" w:name="ref-Bassler_2004"/>
    <w:p>
      <w:pPr>
        <w:pStyle w:val="Bibliography"/>
      </w:pPr>
      <w:r>
        <w:t xml:space="preserve">Bassler, Dirk, Andrew AD Mitra, Francine M Ducharme, Johannes Forster, and Guido Schwarzer. 2004. “Ketotifen Alone or as Additional Medication for Long-Term Control of Asthma and Wheeze in Children.”</w:t>
      </w:r>
      <w:r>
        <w:t xml:space="preserve"> </w:t>
      </w:r>
      <w:r>
        <w:rPr>
          <w:i/>
        </w:rPr>
        <w:t xml:space="preserve">Cochrane Database of Systematic Reviews</w:t>
      </w:r>
      <w:r>
        <w:t xml:space="preserve">, January.</w:t>
      </w:r>
      <w:r>
        <w:t xml:space="preserve"> </w:t>
      </w:r>
      <w:hyperlink r:id="rId25">
        <w:r>
          <w:rPr>
            <w:rStyle w:val="Hyperlink"/>
          </w:rPr>
          <w:t xml:space="preserve">https://doi.org/10.1002/14651858.cd001384.pub2</w:t>
        </w:r>
      </w:hyperlink>
      <w:r>
        <w:t xml:space="preserve">.</w:t>
      </w:r>
    </w:p>
    <w:bookmarkEnd w:id="26"/>
    <w:bookmarkStart w:id="28" w:name="ref-Colditz_1994"/>
    <w:p>
      <w:pPr>
        <w:pStyle w:val="Bibliography"/>
      </w:pPr>
      <w:r>
        <w:t xml:space="preserve">Colditz, Graham A. 1994. “Efficacy of BCG Vaccine in the Prevention of Tuberculosis.”</w:t>
      </w:r>
      <w:r>
        <w:t xml:space="preserve"> </w:t>
      </w:r>
      <w:r>
        <w:rPr>
          <w:i/>
        </w:rPr>
        <w:t xml:space="preserve">JAMA</w:t>
      </w:r>
      <w:r>
        <w:t xml:space="preserve"> </w:t>
      </w:r>
      <w:r>
        <w:t xml:space="preserve">271 (9): 698.</w:t>
      </w:r>
      <w:r>
        <w:t xml:space="preserve"> </w:t>
      </w:r>
      <w:hyperlink r:id="rId27">
        <w:r>
          <w:rPr>
            <w:rStyle w:val="Hyperlink"/>
          </w:rPr>
          <w:t xml:space="preserve">https://doi.org/10.1001/jama.1994.03510330076038</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oi.org/10.1001/jama.1994.03510330076038" TargetMode="External" /><Relationship Type="http://schemas.openxmlformats.org/officeDocument/2006/relationships/hyperlink" Id="rId25" Target="https://doi.org/10.1002/14651858.cd001384.pub2"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01/jama.1994.03510330076038" TargetMode="External" /><Relationship Type="http://schemas.openxmlformats.org/officeDocument/2006/relationships/hyperlink" Id="rId25" Target="https://doi.org/10.1002/14651858.cd001384.pub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Heterogeneity- Subgroup Analysis and Meta-Regression</dc:title>
  <dc:creator>Michail Belias</dc:creator>
  <cp:keywords/>
  <dcterms:created xsi:type="dcterms:W3CDTF">2019-02-13T14:35:01Z</dcterms:created>
  <dcterms:modified xsi:type="dcterms:W3CDTF">2019-02-13T14:35:01Z</dcterms:modified>
</cp:coreProperties>
</file>

<file path=docProps/custom.xml><?xml version="1.0" encoding="utf-8"?>
<Properties xmlns="http://schemas.openxmlformats.org/officeDocument/2006/custom-properties" xmlns:vt="http://schemas.openxmlformats.org/officeDocument/2006/docPropsVTypes"/>
</file>