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pBdr>
          <w:bottom w:val="single" w:sz="8" w:space="5" w:color="4f81bd"/>
        </w:pBd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HR ANALYTICS DASHBOARD SUMMARY REPORT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Prepared by: Fidel</w:t>
      </w:r>
      <w:r>
        <w:rPr>
          <w:rFonts w:ascii="Times New Roman" w:cs="Times New Roman" w:hAnsi="Times New Roman"/>
        </w:rPr>
        <w:t xml:space="preserve"> Umukoro</w:t>
      </w:r>
      <w:r>
        <w:rPr>
          <w:rFonts w:ascii="Times New Roman" w:cs="Times New Roman" w:hAnsi="Times New Roman"/>
        </w:rPr>
        <w:t xml:space="preserve"> – Data Analyst</w:t>
      </w:r>
    </w:p>
    <w:p>
      <w:pPr>
        <w:pStyle w:val="style1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Executive Summary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 response to growing concerns around workforce dynamics, attrition, employee engagement, and grievance management, a comprehensive HR analytics dashboard was developed. This dashboard provides a bird’s-eye view of the organization’s human capital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tracking key metrics across employee status, engagement, onboarding, leave, and grievances. 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The goal is to support HR and executive stakeholders with actionable insights for strategic planning.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The report answers the key questions raised by leadership, with </w:t>
      </w:r>
      <w:r>
        <w:rPr>
          <w:rFonts w:ascii="Times New Roman" w:cs="Times New Roman" w:hAnsi="Times New Roman"/>
        </w:rPr>
        <w:t>evidence</w:t>
      </w:r>
      <w:r>
        <w:rPr>
          <w:rFonts w:ascii="Times New Roman" w:cs="Times New Roman" w:hAnsi="Times New Roman"/>
        </w:rPr>
        <w:t>-based</w:t>
      </w:r>
      <w:r>
        <w:rPr>
          <w:rFonts w:ascii="Times New Roman" w:cs="Times New Roman" w:hAnsi="Times New Roman"/>
        </w:rPr>
        <w:t xml:space="preserve"> visualizations and metrics across five thematic areas.</w:t>
      </w:r>
    </w:p>
    <w:p>
      <w:pPr>
        <w:pStyle w:val="style1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Workforce Composition &amp; Demographics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As of D</w:t>
      </w:r>
      <w:r>
        <w:rPr>
          <w:rFonts w:cs="Times New Roman" w:hAnsi="Times New Roman"/>
          <w:lang w:val="en-US"/>
        </w:rPr>
        <w:t>ecember</w:t>
      </w:r>
      <w:r>
        <w:rPr>
          <w:rFonts w:ascii="Times New Roman" w:cs="Times New Roman" w:hAnsi="Times New Roman"/>
        </w:rPr>
        <w:t xml:space="preserve"> 202</w:t>
      </w:r>
      <w:r>
        <w:rPr>
          <w:rFonts w:cs="Times New Roman" w:hAnsi="Times New Roman"/>
          <w:lang w:val="en-US"/>
        </w:rPr>
        <w:t>3</w:t>
      </w:r>
      <w:r>
        <w:rPr>
          <w:rFonts w:ascii="Times New Roman" w:cs="Times New Roman" w:hAnsi="Times New Roman"/>
        </w:rPr>
        <w:t>, the company has 1</w:t>
      </w:r>
      <w:r>
        <w:rPr>
          <w:rFonts w:ascii="Times New Roman" w:cs="Times New Roman" w:hAnsi="Times New Roman"/>
        </w:rPr>
        <w:t xml:space="preserve">50 </w:t>
      </w:r>
      <w:r>
        <w:rPr>
          <w:rFonts w:ascii="Times New Roman" w:cs="Times New Roman" w:hAnsi="Times New Roman"/>
        </w:rPr>
        <w:t>employees: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65</w:t>
      </w:r>
      <w:r>
        <w:rPr>
          <w:rFonts w:ascii="Times New Roman" w:cs="Times New Roman" w:hAnsi="Times New Roman"/>
        </w:rPr>
        <w:t xml:space="preserve"> Active, </w:t>
      </w:r>
      <w:r>
        <w:rPr>
          <w:rFonts w:ascii="Times New Roman" w:cs="Times New Roman" w:hAnsi="Times New Roman"/>
        </w:rPr>
        <w:t>22</w:t>
      </w:r>
      <w:r>
        <w:rPr>
          <w:rFonts w:ascii="Times New Roman" w:cs="Times New Roman" w:hAnsi="Times New Roman"/>
        </w:rPr>
        <w:t xml:space="preserve"> Exited, and </w:t>
      </w:r>
      <w:r>
        <w:rPr>
          <w:rFonts w:ascii="Times New Roman" w:cs="Times New Roman" w:hAnsi="Times New Roman"/>
        </w:rPr>
        <w:t>63</w:t>
      </w:r>
      <w:r>
        <w:rPr>
          <w:rFonts w:ascii="Times New Roman" w:cs="Times New Roman" w:hAnsi="Times New Roman"/>
        </w:rPr>
        <w:t xml:space="preserve"> On Leave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Gender distribution: 5</w:t>
      </w:r>
      <w:r>
        <w:rPr>
          <w:rFonts w:ascii="Times New Roman" w:cs="Times New Roman" w:hAnsi="Times New Roman"/>
        </w:rPr>
        <w:t>7</w:t>
      </w:r>
      <w:r>
        <w:rPr>
          <w:rFonts w:ascii="Times New Roman" w:cs="Times New Roman" w:hAnsi="Times New Roman"/>
        </w:rPr>
        <w:t>% Male, 4</w:t>
      </w:r>
      <w:r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>% Female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Top three departments by headcount: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1. </w:t>
      </w:r>
      <w:r>
        <w:rPr>
          <w:rFonts w:ascii="Times New Roman" w:cs="Times New Roman" w:hAnsi="Times New Roman"/>
        </w:rPr>
        <w:t>Human Resource</w:t>
      </w:r>
      <w:r>
        <w:rPr>
          <w:rFonts w:ascii="Times New Roman" w:cs="Times New Roman" w:hAnsi="Times New Roman"/>
        </w:rPr>
        <w:t xml:space="preserve"> – </w:t>
      </w:r>
      <w:r>
        <w:rPr>
          <w:rFonts w:ascii="Times New Roman" w:cs="Times New Roman" w:hAnsi="Times New Roman"/>
        </w:rPr>
        <w:t>29</w:t>
      </w:r>
      <w:r>
        <w:rPr>
          <w:rFonts w:ascii="Times New Roman" w:cs="Times New Roman" w:hAnsi="Times New Roman"/>
        </w:rPr>
        <w:t xml:space="preserve"> employees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2. </w:t>
      </w:r>
      <w:r>
        <w:rPr>
          <w:rFonts w:ascii="Times New Roman" w:cs="Times New Roman" w:hAnsi="Times New Roman"/>
        </w:rPr>
        <w:t>Information Technology</w:t>
      </w:r>
      <w:r>
        <w:rPr>
          <w:rFonts w:ascii="Times New Roman" w:cs="Times New Roman" w:hAnsi="Times New Roman"/>
        </w:rPr>
        <w:t xml:space="preserve"> – </w:t>
      </w:r>
      <w:r>
        <w:rPr>
          <w:rFonts w:ascii="Times New Roman" w:cs="Times New Roman" w:hAnsi="Times New Roman"/>
        </w:rPr>
        <w:t>29</w:t>
      </w:r>
      <w:r>
        <w:rPr>
          <w:rFonts w:ascii="Times New Roman" w:cs="Times New Roman" w:hAnsi="Times New Roman"/>
        </w:rPr>
        <w:t xml:space="preserve"> employees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3. </w:t>
      </w:r>
      <w:r>
        <w:rPr>
          <w:rFonts w:ascii="Times New Roman" w:cs="Times New Roman" w:hAnsi="Times New Roman"/>
        </w:rPr>
        <w:t>Finance</w:t>
      </w:r>
      <w:r>
        <w:rPr>
          <w:rFonts w:ascii="Times New Roman" w:cs="Times New Roman" w:hAnsi="Times New Roman"/>
        </w:rPr>
        <w:t xml:space="preserve"> – </w:t>
      </w:r>
      <w:r>
        <w:rPr>
          <w:rFonts w:ascii="Times New Roman" w:cs="Times New Roman" w:hAnsi="Times New Roman"/>
        </w:rPr>
        <w:t>27</w:t>
      </w:r>
      <w:r>
        <w:rPr>
          <w:rFonts w:ascii="Times New Roman" w:cs="Times New Roman" w:hAnsi="Times New Roman"/>
        </w:rPr>
        <w:t xml:space="preserve"> employees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The dominant age group is </w:t>
      </w:r>
      <w:r>
        <w:rPr>
          <w:rFonts w:ascii="Times New Roman" w:cs="Times New Roman" w:hAnsi="Times New Roman"/>
        </w:rPr>
        <w:t>4</w:t>
      </w:r>
      <w:r>
        <w:rPr>
          <w:rFonts w:ascii="Times New Roman" w:cs="Times New Roman" w:hAnsi="Times New Roman"/>
        </w:rPr>
        <w:t>0–</w:t>
      </w:r>
      <w:r>
        <w:rPr>
          <w:rFonts w:ascii="Times New Roman" w:cs="Times New Roman" w:hAnsi="Times New Roman"/>
        </w:rPr>
        <w:t>4</w:t>
      </w:r>
      <w:r>
        <w:rPr>
          <w:rFonts w:ascii="Times New Roman" w:cs="Times New Roman" w:hAnsi="Times New Roman"/>
        </w:rPr>
        <w:t xml:space="preserve">9 years, and most employees have a tenure of </w:t>
      </w:r>
      <w:r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–3 years, suggesting a relatively </w:t>
      </w:r>
      <w:r>
        <w:rPr>
          <w:rFonts w:ascii="Times New Roman" w:cs="Times New Roman" w:hAnsi="Times New Roman"/>
        </w:rPr>
        <w:t>mature</w:t>
      </w:r>
      <w:r>
        <w:rPr>
          <w:rFonts w:ascii="Times New Roman" w:cs="Times New Roman" w:hAnsi="Times New Roman"/>
        </w:rPr>
        <w:t xml:space="preserve"> and mid-level experienced workforce. This composition indicates a strong mid-career talent base, but also highlights potential gaps in </w:t>
      </w:r>
      <w:r>
        <w:rPr>
          <w:rFonts w:ascii="Times New Roman" w:cs="Times New Roman" w:hAnsi="Times New Roman"/>
        </w:rPr>
        <w:t>junior</w:t>
      </w:r>
      <w:r>
        <w:rPr>
          <w:rFonts w:ascii="Times New Roman" w:cs="Times New Roman" w:hAnsi="Times New Roman"/>
        </w:rPr>
        <w:t xml:space="preserve"> experience retention.</w:t>
      </w:r>
    </w:p>
    <w:p>
      <w:pPr>
        <w:pStyle w:val="style1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Employee Engagement &amp; Satisfaction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Over the past 12 months: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Average engagement score: </w:t>
      </w:r>
      <w:r>
        <w:rPr>
          <w:rFonts w:ascii="Times New Roman" w:cs="Times New Roman" w:hAnsi="Times New Roman"/>
        </w:rPr>
        <w:t>3.9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Departments with the highest engagement: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HR</w:t>
      </w:r>
      <w:r>
        <w:rPr>
          <w:rFonts w:ascii="Times New Roman" w:cs="Times New Roman" w:hAnsi="Times New Roman"/>
        </w:rPr>
        <w:t xml:space="preserve"> (</w:t>
      </w:r>
      <w:r>
        <w:rPr>
          <w:rFonts w:ascii="Times New Roman" w:cs="Times New Roman" w:hAnsi="Times New Roman"/>
        </w:rPr>
        <w:t>3.</w:t>
      </w:r>
      <w:r>
        <w:rPr>
          <w:rFonts w:ascii="Times New Roman" w:cs="Times New Roman" w:hAnsi="Times New Roman"/>
        </w:rPr>
        <w:t>6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FINANCE</w:t>
      </w:r>
      <w:r>
        <w:rPr>
          <w:rFonts w:ascii="Times New Roman" w:cs="Times New Roman" w:hAnsi="Times New Roman"/>
        </w:rPr>
        <w:t xml:space="preserve"> (</w:t>
      </w:r>
      <w:r>
        <w:rPr>
          <w:rFonts w:ascii="Times New Roman" w:cs="Times New Roman" w:hAnsi="Times New Roman"/>
        </w:rPr>
        <w:t>3.5</w:t>
      </w:r>
      <w:r>
        <w:rPr>
          <w:rFonts w:ascii="Times New Roman" w:cs="Times New Roman" w:hAnsi="Times New Roman"/>
        </w:rPr>
        <w:t>)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IT (</w:t>
      </w:r>
      <w:r>
        <w:rPr>
          <w:rFonts w:ascii="Times New Roman" w:cs="Times New Roman" w:hAnsi="Times New Roman"/>
        </w:rPr>
        <w:t>3.5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OPERATIONS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(3.5</w:t>
      </w:r>
      <w:r>
        <w:rPr>
          <w:rFonts w:ascii="Times New Roman" w:cs="Times New Roman" w:hAnsi="Times New Roman"/>
        </w:rPr>
        <w:t>)</w:t>
      </w:r>
    </w:p>
    <w:p>
      <w:pPr>
        <w:pStyle w:val="style0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Lowest engagement levels observed in </w:t>
      </w:r>
      <w:r>
        <w:rPr>
          <w:rFonts w:ascii="Times New Roman" w:cs="Times New Roman" w:hAnsi="Times New Roman"/>
        </w:rPr>
        <w:t>Partner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</w:rPr>
        <w:t>Hr. Manager</w:t>
      </w:r>
      <w:r>
        <w:rPr>
          <w:rFonts w:ascii="Times New Roman" w:cs="Times New Roman" w:hAnsi="Times New Roman"/>
        </w:rPr>
        <w:t xml:space="preserve"> (below </w:t>
      </w:r>
      <w:r>
        <w:rPr>
          <w:rFonts w:ascii="Times New Roman" w:cs="Times New Roman" w:hAnsi="Times New Roman"/>
        </w:rPr>
        <w:t>3.1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Satisfaction scores mirrored engagement trends, with </w:t>
      </w:r>
      <w:r>
        <w:rPr>
          <w:rFonts w:ascii="Times New Roman" w:cs="Times New Roman" w:hAnsi="Times New Roman"/>
        </w:rPr>
        <w:t>HR.</w:t>
      </w:r>
      <w:r>
        <w:rPr>
          <w:rFonts w:ascii="Times New Roman" w:cs="Times New Roman" w:hAnsi="Times New Roman"/>
        </w:rPr>
        <w:t xml:space="preserve"> leading in both metrics. </w:t>
      </w:r>
    </w:p>
    <w:p>
      <w:pPr>
        <w:pStyle w:val="style1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Onboarding &amp; Exit Trends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New hires this year: </w:t>
      </w:r>
      <w:r>
        <w:rPr>
          <w:rFonts w:ascii="Times New Roman" w:cs="Times New Roman" w:hAnsi="Times New Roman"/>
        </w:rPr>
        <w:t>28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Exits this year: 2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Most exits occurred in Q1 and Q</w:t>
      </w:r>
      <w:r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>, aligning with seasonal project cycles.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Average tenure of exited employees: 2.</w:t>
      </w:r>
      <w:r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 xml:space="preserve"> years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The </w:t>
      </w:r>
      <w:r>
        <w:rPr>
          <w:rFonts w:ascii="Times New Roman" w:cs="Times New Roman" w:hAnsi="Times New Roman"/>
        </w:rPr>
        <w:t>Legal</w:t>
      </w:r>
      <w:r>
        <w:rPr>
          <w:rFonts w:ascii="Times New Roman" w:cs="Times New Roman" w:hAnsi="Times New Roman"/>
        </w:rPr>
        <w:t xml:space="preserve"> department recorded the highest attrition, followed by </w:t>
      </w:r>
      <w:r>
        <w:rPr>
          <w:rFonts w:ascii="Times New Roman" w:cs="Times New Roman" w:hAnsi="Times New Roman"/>
        </w:rPr>
        <w:t>HR</w:t>
      </w:r>
      <w:r>
        <w:rPr>
          <w:rFonts w:ascii="Times New Roman" w:cs="Times New Roman" w:hAnsi="Times New Roman"/>
        </w:rPr>
        <w:t>. A closer look at exit data shows a spike among employees who were not confirmed after probation, indicating the need for a more robust onboarding and early performance management system.</w:t>
      </w:r>
    </w:p>
    <w:p>
      <w:pPr>
        <w:pStyle w:val="style1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Leave &amp; Benefits Utilization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Average leave days per employee: 14.</w:t>
      </w:r>
      <w:r>
        <w:rPr>
          <w:rFonts w:ascii="Times New Roman" w:cs="Times New Roman" w:hAnsi="Times New Roman"/>
        </w:rPr>
        <w:t>59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50</w:t>
      </w:r>
      <w:r>
        <w:rPr>
          <w:rFonts w:ascii="Times New Roman" w:cs="Times New Roman" w:hAnsi="Times New Roman"/>
        </w:rPr>
        <w:t xml:space="preserve"> employees exceeded the 20-day leave threshold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Top departments with high leave usage: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Operations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I. T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HR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A monthly heatmap of leave usage revealed </w:t>
      </w:r>
      <w:r>
        <w:rPr>
          <w:rFonts w:ascii="Times New Roman" w:cs="Times New Roman" w:hAnsi="Times New Roman"/>
        </w:rPr>
        <w:t>April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</w:rPr>
        <w:t>January</w:t>
      </w:r>
      <w:r>
        <w:rPr>
          <w:rFonts w:ascii="Times New Roman" w:cs="Times New Roman" w:hAnsi="Times New Roman"/>
        </w:rPr>
        <w:t xml:space="preserve"> as peak months, corresponding with </w:t>
      </w:r>
      <w:r>
        <w:rPr>
          <w:rFonts w:ascii="Times New Roman" w:cs="Times New Roman" w:hAnsi="Times New Roman"/>
        </w:rPr>
        <w:t>vacation period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</w:rPr>
        <w:t>Post holiday seasons</w:t>
      </w:r>
      <w:r>
        <w:rPr>
          <w:rFonts w:ascii="Times New Roman" w:cs="Times New Roman" w:hAnsi="Times New Roman"/>
        </w:rPr>
        <w:t>. Benefit utilization rates were highest among tenured employees, suggesting longer-serving staff are more familiar with the system and policies.</w:t>
      </w:r>
    </w:p>
    <w:p>
      <w:pPr>
        <w:pStyle w:val="style1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Grievance Management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- Grievances reported in the last 12 months: </w:t>
      </w:r>
      <w:r>
        <w:rPr>
          <w:rFonts w:ascii="Times New Roman" w:cs="Times New Roman" w:hAnsi="Times New Roman"/>
        </w:rPr>
        <w:t>150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- Open: </w:t>
      </w:r>
      <w:r>
        <w:rPr>
          <w:rFonts w:ascii="Times New Roman" w:cs="Times New Roman" w:hAnsi="Times New Roman"/>
        </w:rPr>
        <w:t>61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- Pending: </w:t>
      </w:r>
      <w:r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>5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- Resolved: </w:t>
      </w:r>
      <w:r>
        <w:rPr>
          <w:rFonts w:ascii="Times New Roman" w:cs="Times New Roman" w:hAnsi="Times New Roman"/>
        </w:rPr>
        <w:t>54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Most grievances originated from the </w:t>
      </w:r>
      <w:r>
        <w:rPr>
          <w:rFonts w:ascii="Times New Roman" w:cs="Times New Roman" w:hAnsi="Times New Roman"/>
        </w:rPr>
        <w:t>FINA</w:t>
      </w:r>
      <w:r>
        <w:rPr>
          <w:rFonts w:cs="Times New Roman" w:hAnsi="Times New Roman"/>
          <w:lang w:val="en-US"/>
        </w:rPr>
        <w:t>N</w:t>
      </w:r>
      <w:r>
        <w:rPr>
          <w:rFonts w:ascii="Times New Roman" w:cs="Times New Roman" w:hAnsi="Times New Roman"/>
        </w:rPr>
        <w:t>CE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</w:rPr>
        <w:t>HR</w:t>
      </w:r>
      <w:r>
        <w:rPr>
          <w:rFonts w:ascii="Times New Roman" w:cs="Times New Roman" w:hAnsi="Times New Roman"/>
        </w:rPr>
        <w:t xml:space="preserve"> departments. A closer review indicated that workload imbalance and unclear KPIs were recurring themes in grievance descriptions. The resolution rate stands at </w:t>
      </w:r>
      <w:r>
        <w:rPr>
          <w:rFonts w:ascii="Times New Roman" w:cs="Times New Roman" w:hAnsi="Times New Roman"/>
        </w:rPr>
        <w:t>71</w:t>
      </w:r>
      <w:r>
        <w:rPr>
          <w:rFonts w:ascii="Times New Roman" w:cs="Times New Roman" w:hAnsi="Times New Roman"/>
        </w:rPr>
        <w:t>%</w:t>
      </w:r>
      <w:r>
        <w:rPr>
          <w:rFonts w:ascii="Times New Roman" w:cs="Times New Roman" w:hAnsi="Times New Roman"/>
        </w:rPr>
        <w:t xml:space="preserve"> for the finance department and </w:t>
      </w:r>
      <w:r>
        <w:rPr>
          <w:rFonts w:ascii="Times New Roman" w:cs="Times New Roman" w:hAnsi="Times New Roman"/>
        </w:rPr>
        <w:t xml:space="preserve">resolution rate stands at </w:t>
      </w:r>
      <w:r>
        <w:rPr>
          <w:rFonts w:ascii="Times New Roman" w:cs="Times New Roman" w:hAnsi="Times New Roman"/>
        </w:rPr>
        <w:t>92</w:t>
      </w:r>
      <w:r>
        <w:rPr>
          <w:rFonts w:ascii="Times New Roman" w:cs="Times New Roman" w:hAnsi="Times New Roman"/>
        </w:rPr>
        <w:t>%</w:t>
      </w:r>
      <w:r>
        <w:rPr>
          <w:rFonts w:ascii="Times New Roman" w:cs="Times New Roman" w:hAnsi="Times New Roman"/>
        </w:rPr>
        <w:t xml:space="preserve"> for</w:t>
      </w:r>
      <w:r>
        <w:rPr>
          <w:rFonts w:ascii="Times New Roman" w:cs="Times New Roman" w:hAnsi="Times New Roman"/>
        </w:rPr>
        <w:t xml:space="preserve"> the </w:t>
      </w:r>
      <w:r>
        <w:rPr>
          <w:rFonts w:ascii="Times New Roman" w:cs="Times New Roman" w:hAnsi="Times New Roman"/>
        </w:rPr>
        <w:t>HR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department,</w:t>
      </w:r>
      <w:r>
        <w:rPr>
          <w:rFonts w:ascii="Times New Roman" w:cs="Times New Roman" w:hAnsi="Times New Roman"/>
        </w:rPr>
        <w:t xml:space="preserve"> which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reasonable, indicates room for improvement in responsiveness and closure.</w:t>
      </w:r>
    </w:p>
    <w:p>
      <w:pPr>
        <w:pStyle w:val="style1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Key Recommendations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1.  Engagement &amp; Attrition Focus for High-Risk Roles: Target Partner and Hr. Manager roles with urgent engagement interventions (e.g., workload review, career pathing, mentorship) and retention strategies.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2. Probation &amp; Onboarding Overhaul (Legal &amp; HR): Implement a structured probation support program and enhance onboarding specifically in Legal and HR departments. Focus on clear expectations, early feedback, and connection. 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3. Grievance Process Efficiency (Company-wide, esp. FINANCE): Establish clear SLAs (e.g., 48-hour acknowledgment, 14-day resolution target) and standardized tracking for grievances. Prioritize workload balance and KPI clarity initiatives, especially in FINANCE given its lower resolution rate (71% vs HR's 92%). 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4. Responsible Leave Management (Ops, IT, HR): Launch targeted campaigns in Operations, IT, and HR on leave planning best practices and benefit utilization. Monitor trends in departments with high leave usage (&gt;20 days). 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5. Knowledge Transfer &amp; Mid-Career </w:t>
      </w:r>
      <w:r>
        <w:rPr>
          <w:rFonts w:ascii="Times New Roman" w:cs="Times New Roman" w:hAnsi="Times New Roman"/>
        </w:rPr>
        <w:t xml:space="preserve">Development: </w:t>
      </w:r>
      <w:r>
        <w:rPr>
          <w:rFonts w:ascii="Times New Roman" w:cs="Times New Roman" w:hAnsi="Times New Roman"/>
        </w:rPr>
        <w:t xml:space="preserve">Develop formal succession planning for the dominant 40-49 age group and implement accelerated development programs for employees in the </w:t>
      </w:r>
      <w:r>
        <w:rPr>
          <w:rFonts w:ascii="Times New Roman" w:cs="Times New Roman" w:hAnsi="Times New Roman"/>
        </w:rPr>
        <w:t>2–3-year</w:t>
      </w:r>
      <w:r>
        <w:rPr>
          <w:rFonts w:ascii="Times New Roman" w:cs="Times New Roman" w:hAnsi="Times New Roman"/>
        </w:rPr>
        <w:t xml:space="preserve"> tenure bracket to retain mid-level experience and bridge junior gaps. </w:t>
      </w:r>
    </w:p>
    <w:p>
      <w:pPr>
        <w:pStyle w:val="style1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Conclusion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This comprehensive HR analytics dashboard provides a critical, data-driven lens into our workforce health. Key findings reveal a mature, mid-tenure workforce concentrated in HR, IT, and Finance, but highlight specific vulnerabilities: critically low engagement in Partner/Hr. Manager roles, concerning attrition in Legal and HR linked to probation failures, unsustainable leave patterns in Operations/IT/HR, and a significant volume of unresolved grievances centered on workload and unclear KPIs, particularly in Finance. Armed with these actionable insights, the organization is now positioned to move beyond reactive measures. 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By prioritizing the targeted recommendations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</w:t>
      </w:r>
      <w:r>
        <w:rPr>
          <w:rFonts w:ascii="Times New Roman" w:cs="Times New Roman" w:hAnsi="Times New Roman"/>
        </w:rPr>
        <w:t>ocusing on high-risk roles, overhauling probation in critical departments, streamlining grievance resolution, promoting responsible leave, and investing in mid-career development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</w:t>
      </w:r>
      <w:r>
        <w:rPr>
          <w:rFonts w:ascii="Times New Roman" w:cs="Times New Roman" w:hAnsi="Times New Roman"/>
        </w:rPr>
        <w:t>e can proactively foster a more resilient, engaged, and productive workplace, directly addressing the core concerns that impact retention and performance. This dashboard is the foundation for evidence-based strategic HR decision-</w:t>
      </w:r>
      <w:r>
        <w:rPr>
          <w:rFonts w:ascii="Times New Roman" w:cs="Times New Roman" w:hAnsi="Times New Roman"/>
        </w:rPr>
        <w:t>making.</w:t>
      </w:r>
    </w:p>
    <w:p>
      <w:pPr>
        <w:pStyle w:val="style0"/>
        <w:rPr>
          <w:rFonts w:ascii="Times New Roman" w:cs="Times New Roman" w:hAnsi="Times New Roman"/>
        </w:rPr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6EF636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SimSun" w:eastAsia="MS Mincho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hAnsi="Calibri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eastAsia="MS Gothic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eastAsia="MS Gothic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eastAsia="MS Gothic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eastAsia="MS Gothic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eastAsia="MS Gothic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eastAsia="MS Gothic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eastAsia="MS Gothic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eastAsia="MS Gothic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eastAsia="MS Gothic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f9fcc87-1ebc-46ab-a8d6-218478c5922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2574814a-6369-4fab-89da-d85067798872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cae7e891-37df-423d-a092-5230c15af60f"/>
    <w:basedOn w:val="style65"/>
    <w:next w:val="style4099"/>
    <w:link w:val="style1"/>
    <w:uiPriority w:val="9"/>
    <w:rPr>
      <w:rFonts w:ascii="Calibri" w:cs="SimSun" w:eastAsia="MS Gothic" w:hAnsi="Calibri"/>
      <w:b/>
      <w:bCs/>
      <w:color w:val="365f91"/>
      <w:sz w:val="28"/>
      <w:szCs w:val="28"/>
    </w:rPr>
  </w:style>
  <w:style w:type="character" w:customStyle="1" w:styleId="style4100">
    <w:name w:val="Heading 2 Char_78fb1b87-274f-4439-89a9-af4b9807a5c8"/>
    <w:basedOn w:val="style65"/>
    <w:next w:val="style4100"/>
    <w:link w:val="style2"/>
    <w:uiPriority w:val="9"/>
    <w:rPr>
      <w:rFonts w:ascii="Calibri" w:cs="SimSun" w:eastAsia="MS Gothic" w:hAnsi="Calibri"/>
      <w:b/>
      <w:bCs/>
      <w:color w:val="4f81bd"/>
      <w:sz w:val="26"/>
      <w:szCs w:val="26"/>
    </w:rPr>
  </w:style>
  <w:style w:type="character" w:customStyle="1" w:styleId="style4101">
    <w:name w:val="Heading 3 Char_351b3252-1c18-4d15-b425-08f4370f963e"/>
    <w:basedOn w:val="style65"/>
    <w:next w:val="style4101"/>
    <w:link w:val="style3"/>
    <w:uiPriority w:val="9"/>
    <w:rPr>
      <w:rFonts w:ascii="Calibri" w:cs="SimSun" w:eastAsia="MS Gothic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eastAsia="MS Gothic"/>
      <w:color w:val="17365d"/>
      <w:spacing w:val="5"/>
      <w:kern w:val="28"/>
      <w:sz w:val="52"/>
      <w:szCs w:val="52"/>
    </w:rPr>
  </w:style>
  <w:style w:type="character" w:customStyle="1" w:styleId="style4102">
    <w:name w:val="Title Char_93698569-a0c3-44c7-b5b7-a1293cf728c9"/>
    <w:basedOn w:val="style65"/>
    <w:next w:val="style4102"/>
    <w:link w:val="style62"/>
    <w:uiPriority w:val="10"/>
    <w:rPr>
      <w:rFonts w:ascii="Calibri" w:cs="SimSun" w:eastAsia="MS Gothic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eastAsia="MS Gothic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SimSun" w:eastAsia="MS Gothic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e97b0773-26fd-46a5-965e-1f6e671594ad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c58fbdd6-8212-4db9-a251-d8057d000be5"/>
    <w:basedOn w:val="style65"/>
    <w:next w:val="style4109"/>
    <w:link w:val="style4"/>
    <w:uiPriority w:val="9"/>
    <w:rPr>
      <w:rFonts w:ascii="Calibri" w:cs="SimSun" w:eastAsia="MS Gothic" w:hAnsi="Calibri"/>
      <w:b/>
      <w:bCs/>
      <w:i/>
      <w:iCs/>
      <w:color w:val="4f81bd"/>
    </w:rPr>
  </w:style>
  <w:style w:type="character" w:customStyle="1" w:styleId="style4110">
    <w:name w:val="Heading 5 Char_3aa7b7ae-9478-40c6-9583-767687da1cc4"/>
    <w:basedOn w:val="style65"/>
    <w:next w:val="style4110"/>
    <w:link w:val="style5"/>
    <w:uiPriority w:val="9"/>
    <w:rPr>
      <w:rFonts w:ascii="Calibri" w:cs="SimSun" w:eastAsia="MS Gothic" w:hAnsi="Calibri"/>
      <w:color w:val="243f60"/>
    </w:rPr>
  </w:style>
  <w:style w:type="character" w:customStyle="1" w:styleId="style4111">
    <w:name w:val="Heading 6 Char_2946769d-f516-44c2-8def-e76c377cc85d"/>
    <w:basedOn w:val="style65"/>
    <w:next w:val="style4111"/>
    <w:link w:val="style6"/>
    <w:uiPriority w:val="9"/>
    <w:rPr>
      <w:rFonts w:ascii="Calibri" w:cs="SimSun" w:eastAsia="MS Gothic" w:hAnsi="Calibri"/>
      <w:i/>
      <w:iCs/>
      <w:color w:val="243f60"/>
    </w:rPr>
  </w:style>
  <w:style w:type="character" w:customStyle="1" w:styleId="style4112">
    <w:name w:val="Heading 7 Char_50224c26-26c1-410f-852e-795def946a74"/>
    <w:basedOn w:val="style65"/>
    <w:next w:val="style4112"/>
    <w:link w:val="style7"/>
    <w:uiPriority w:val="9"/>
    <w:rPr>
      <w:rFonts w:ascii="Calibri" w:cs="SimSun" w:eastAsia="MS Gothic" w:hAnsi="Calibri"/>
      <w:i/>
      <w:iCs/>
      <w:color w:val="404040"/>
    </w:rPr>
  </w:style>
  <w:style w:type="character" w:customStyle="1" w:styleId="style4113">
    <w:name w:val="Heading 8 Char_35dca134-66cc-4017-982c-a4b86e1a26c8"/>
    <w:basedOn w:val="style65"/>
    <w:next w:val="style4113"/>
    <w:link w:val="style8"/>
    <w:uiPriority w:val="9"/>
    <w:rPr>
      <w:rFonts w:ascii="Calibri" w:cs="SimSun" w:eastAsia="MS Gothic" w:hAnsi="Calibri"/>
      <w:color w:val="4f81bd"/>
      <w:sz w:val="20"/>
      <w:szCs w:val="20"/>
    </w:rPr>
  </w:style>
  <w:style w:type="character" w:customStyle="1" w:styleId="style4114">
    <w:name w:val="Heading 9 Char_e72d6016-0275-4203-b8df-7715dc60c0bf"/>
    <w:basedOn w:val="style65"/>
    <w:next w:val="style4114"/>
    <w:link w:val="style9"/>
    <w:uiPriority w:val="9"/>
    <w:rPr>
      <w:rFonts w:ascii="Calibri" w:cs="SimSun" w:eastAsia="MS Gothic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6d87889b-764e-4db7-9ab8-9b55a84a7b4b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SimSun" w:eastAsia="MS Gothic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SimSun" w:eastAsia="MS Gothic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SimSun" w:eastAsia="MS Gothic" w:hAnsi="Calibri"/>
        <w:b/>
        <w:bCs/>
      </w:rPr>
      <w:tcPr>
        <w:tcBorders/>
      </w:tcPr>
    </w:tblStylePr>
    <w:tblStylePr w:type="lastCol">
      <w:pPr/>
      <w:rPr>
        <w:rFonts w:ascii="Calibri" w:cs="SimSun" w:eastAsia="MS Gothic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SimSun" w:eastAsia="MS Gothic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SimSun" w:eastAsia="MS Gothic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SimSun" w:eastAsia="MS Gothic" w:hAnsi="Calibri"/>
        <w:b/>
        <w:bCs/>
      </w:rPr>
      <w:tcPr>
        <w:tcBorders/>
      </w:tcPr>
    </w:tblStylePr>
    <w:tblStylePr w:type="lastCol">
      <w:pPr/>
      <w:rPr>
        <w:rFonts w:ascii="Calibri" w:cs="SimSun" w:eastAsia="MS Gothic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SimSun" w:eastAsia="MS Gothic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SimSun" w:eastAsia="MS Gothic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SimSun" w:eastAsia="MS Gothic" w:hAnsi="Calibri"/>
        <w:b/>
        <w:bCs/>
      </w:rPr>
      <w:tcPr>
        <w:tcBorders/>
      </w:tcPr>
    </w:tblStylePr>
    <w:tblStylePr w:type="lastCol">
      <w:pPr/>
      <w:rPr>
        <w:rFonts w:ascii="Calibri" w:cs="SimSun" w:eastAsia="MS Gothic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SimSun" w:eastAsia="MS Gothic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SimSun" w:eastAsia="MS Gothic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SimSun" w:eastAsia="MS Gothic" w:hAnsi="Calibri"/>
        <w:b/>
        <w:bCs/>
      </w:rPr>
      <w:tcPr>
        <w:tcBorders/>
      </w:tcPr>
    </w:tblStylePr>
    <w:tblStylePr w:type="lastCol">
      <w:pPr/>
      <w:rPr>
        <w:rFonts w:ascii="Calibri" w:cs="SimSun" w:eastAsia="MS Gothic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SimSun" w:eastAsia="MS Gothic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SimSun" w:eastAsia="MS Gothic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SimSun" w:eastAsia="MS Gothic" w:hAnsi="Calibri"/>
        <w:b/>
        <w:bCs/>
      </w:rPr>
      <w:tcPr>
        <w:tcBorders/>
      </w:tcPr>
    </w:tblStylePr>
    <w:tblStylePr w:type="lastCol">
      <w:pPr/>
      <w:rPr>
        <w:rFonts w:ascii="Calibri" w:cs="SimSun" w:eastAsia="MS Gothic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SimSun" w:eastAsia="MS Gothic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SimSun" w:eastAsia="MS Gothic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SimSun" w:eastAsia="MS Gothic" w:hAnsi="Calibri"/>
        <w:b/>
        <w:bCs/>
      </w:rPr>
      <w:tcPr>
        <w:tcBorders/>
      </w:tcPr>
    </w:tblStylePr>
    <w:tblStylePr w:type="lastCol">
      <w:pPr/>
      <w:rPr>
        <w:rFonts w:ascii="Calibri" w:cs="SimSun" w:eastAsia="MS Gothic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SimSun" w:eastAsia="MS Gothic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SimSun" w:eastAsia="MS Gothic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SimSun" w:eastAsia="MS Gothic" w:hAnsi="Calibri"/>
        <w:b/>
        <w:bCs/>
      </w:rPr>
      <w:tcPr>
        <w:tcBorders/>
      </w:tcPr>
    </w:tblStylePr>
    <w:tblStylePr w:type="lastCol">
      <w:pPr/>
      <w:rPr>
        <w:rFonts w:ascii="Calibri" w:cs="SimSun" w:eastAsia="MS Gothic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SimSun" w:eastAsia="MS Gothic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SimSun" w:eastAsia="MS Gothic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SimSun" w:eastAsia="MS Gothic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SimSun" w:eastAsia="MS Gothic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SimSun" w:eastAsia="MS Gothic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SimSun" w:eastAsia="MS Gothic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SimSun" w:eastAsia="MS Gothic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751</Words>
  <Pages>3</Pages>
  <Characters>4581</Characters>
  <Application>WPS Office</Application>
  <DocSecurity>0</DocSecurity>
  <Paragraphs>31</Paragraphs>
  <ScaleCrop>false</ScaleCrop>
  <LinksUpToDate>false</LinksUpToDate>
  <CharactersWithSpaces>5330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2025-05-29T20:56:00Z</dcterms:created>
  <dc:creator>python-docx</dc:creator>
  <dc:description>generated by python-docx</dc:description>
  <lastModifiedBy>SM-G950F</lastModifiedBy>
  <dcterms:modified xsi:type="dcterms:W3CDTF">2025-05-29T21:21:33Z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ef22f847af1c494aac46e09a246e81fc</vt:lpwstr>
  </property>
</Properties>
</file>