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Promedios por País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País</w:t>
            </w:r>
          </w:p>
        </w:tc>
        <w:tc>
          <w:tcPr>
            <w:tcW w:type="dxa" w:w="1728"/>
          </w:tcPr>
          <w:p>
            <w:r>
              <w:t>Región</w:t>
            </w:r>
          </w:p>
        </w:tc>
        <w:tc>
          <w:tcPr>
            <w:tcW w:type="dxa" w:w="1728"/>
          </w:tcPr>
          <w:p>
            <w:r>
              <w:t>Tipo de ingreso</w:t>
            </w:r>
          </w:p>
        </w:tc>
        <w:tc>
          <w:tcPr>
            <w:tcW w:type="dxa" w:w="1728"/>
          </w:tcPr>
          <w:p>
            <w:r>
              <w:t>PIB promedio (%)</w:t>
            </w:r>
          </w:p>
        </w:tc>
        <w:tc>
          <w:tcPr>
            <w:tcW w:type="dxa" w:w="1728"/>
          </w:tcPr>
          <w:p>
            <w:r>
              <w:t>Gini promedio</w:t>
            </w:r>
          </w:p>
        </w:tc>
      </w:tr>
      <w:tr>
        <w:tc>
          <w:tcPr>
            <w:tcW w:type="dxa" w:w="1728"/>
          </w:tcPr>
          <w:p>
            <w:r>
              <w:t>Honduras</w:t>
            </w:r>
          </w:p>
        </w:tc>
        <w:tc>
          <w:tcPr>
            <w:tcW w:type="dxa" w:w="1728"/>
          </w:tcPr>
          <w:p>
            <w:r>
              <w:t>América Latina y el Caribe (excluido altos ingresos)</w:t>
            </w:r>
          </w:p>
        </w:tc>
        <w:tc>
          <w:tcPr>
            <w:tcW w:type="dxa" w:w="1728"/>
          </w:tcPr>
          <w:p>
            <w:r>
              <w:t>Ingreso medio</w:t>
            </w:r>
          </w:p>
        </w:tc>
        <w:tc>
          <w:tcPr>
            <w:tcW w:type="dxa" w:w="1728"/>
          </w:tcPr>
          <w:p>
            <w:r>
              <w:t>8.12</w:t>
            </w:r>
          </w:p>
        </w:tc>
        <w:tc>
          <w:tcPr>
            <w:tcW w:type="dxa" w:w="1728"/>
          </w:tcPr>
          <w:p>
            <w:r>
              <w:t>53.63</w:t>
            </w:r>
          </w:p>
        </w:tc>
      </w:tr>
      <w:tr>
        <w:tc>
          <w:tcPr>
            <w:tcW w:type="dxa" w:w="1728"/>
          </w:tcPr>
          <w:p>
            <w:r>
              <w:t>Panamá</w:t>
            </w:r>
          </w:p>
        </w:tc>
        <w:tc>
          <w:tcPr>
            <w:tcW w:type="dxa" w:w="1728"/>
          </w:tcPr>
          <w:p>
            <w:r>
              <w:t>Sin región definida</w:t>
            </w:r>
          </w:p>
        </w:tc>
        <w:tc>
          <w:tcPr>
            <w:tcW w:type="dxa" w:w="1728"/>
          </w:tcPr>
          <w:p>
            <w:r>
              <w:t>Ingreso alto</w:t>
            </w:r>
          </w:p>
        </w:tc>
        <w:tc>
          <w:tcPr>
            <w:tcW w:type="dxa" w:w="1728"/>
          </w:tcPr>
          <w:p>
            <w:r>
              <w:t>6.18</w:t>
            </w:r>
          </w:p>
        </w:tc>
        <w:tc>
          <w:tcPr>
            <w:tcW w:type="dxa" w:w="1728"/>
          </w:tcPr>
          <w:p>
            <w:r>
              <w:t>53.39</w:t>
            </w:r>
          </w:p>
        </w:tc>
      </w:tr>
      <w:tr>
        <w:tc>
          <w:tcPr>
            <w:tcW w:type="dxa" w:w="1728"/>
          </w:tcPr>
          <w:p>
            <w:r>
              <w:t>República Dominicana</w:t>
            </w:r>
          </w:p>
        </w:tc>
        <w:tc>
          <w:tcPr>
            <w:tcW w:type="dxa" w:w="1728"/>
          </w:tcPr>
          <w:p>
            <w:r>
              <w:t>América Latina y el Caribe (excluido altos ingresos)</w:t>
            </w:r>
          </w:p>
        </w:tc>
        <w:tc>
          <w:tcPr>
            <w:tcW w:type="dxa" w:w="1728"/>
          </w:tcPr>
          <w:p>
            <w:r>
              <w:t>Ingreso medio</w:t>
            </w:r>
          </w:p>
        </w:tc>
        <w:tc>
          <w:tcPr>
            <w:tcW w:type="dxa" w:w="1728"/>
          </w:tcPr>
          <w:p>
            <w:r>
              <w:t>4.89</w:t>
            </w:r>
          </w:p>
        </w:tc>
        <w:tc>
          <w:tcPr>
            <w:tcW w:type="dxa" w:w="1728"/>
          </w:tcPr>
          <w:p>
            <w:r>
              <w:t>47.59</w:t>
            </w:r>
          </w:p>
        </w:tc>
      </w:tr>
      <w:tr>
        <w:tc>
          <w:tcPr>
            <w:tcW w:type="dxa" w:w="1728"/>
          </w:tcPr>
          <w:p>
            <w:r>
              <w:t>Indonesia</w:t>
            </w:r>
          </w:p>
        </w:tc>
        <w:tc>
          <w:tcPr>
            <w:tcW w:type="dxa" w:w="1728"/>
          </w:tcPr>
          <w:p>
            <w:r>
              <w:t>Asia oriental y el Pacífico (excluido altos ingresos)</w:t>
            </w:r>
          </w:p>
        </w:tc>
        <w:tc>
          <w:tcPr>
            <w:tcW w:type="dxa" w:w="1728"/>
          </w:tcPr>
          <w:p>
            <w:r>
              <w:t>Ingreso medio</w:t>
            </w:r>
          </w:p>
        </w:tc>
        <w:tc>
          <w:tcPr>
            <w:tcW w:type="dxa" w:w="1728"/>
          </w:tcPr>
          <w:p>
            <w:r>
              <w:t>4.21</w:t>
            </w:r>
          </w:p>
        </w:tc>
        <w:tc>
          <w:tcPr>
            <w:tcW w:type="dxa" w:w="1728"/>
          </w:tcPr>
          <w:p>
            <w:r>
              <w:t>33.82</w:t>
            </w:r>
          </w:p>
        </w:tc>
      </w:tr>
      <w:tr>
        <w:tc>
          <w:tcPr>
            <w:tcW w:type="dxa" w:w="1728"/>
          </w:tcPr>
          <w:p>
            <w:r>
              <w:t>Perú</w:t>
            </w:r>
          </w:p>
        </w:tc>
        <w:tc>
          <w:tcPr>
            <w:tcW w:type="dxa" w:w="1728"/>
          </w:tcPr>
          <w:p>
            <w:r>
              <w:t>América Latina y el Caribe (excluido altos ingresos)</w:t>
            </w:r>
          </w:p>
        </w:tc>
        <w:tc>
          <w:tcPr>
            <w:tcW w:type="dxa" w:w="1728"/>
          </w:tcPr>
          <w:p>
            <w:r>
              <w:t>Ingreso medio</w:t>
            </w:r>
          </w:p>
        </w:tc>
        <w:tc>
          <w:tcPr>
            <w:tcW w:type="dxa" w:w="1728"/>
          </w:tcPr>
          <w:p>
            <w:r>
              <w:t>4.17</w:t>
            </w:r>
          </w:p>
        </w:tc>
        <w:tc>
          <w:tcPr>
            <w:tcW w:type="dxa" w:w="1728"/>
          </w:tcPr>
          <w:p>
            <w:r>
              <w:t>47.56</w:t>
            </w:r>
          </w:p>
        </w:tc>
      </w:tr>
      <w:tr>
        <w:tc>
          <w:tcPr>
            <w:tcW w:type="dxa" w:w="1728"/>
          </w:tcPr>
          <w:p>
            <w:r>
              <w:t>Costa Rica</w:t>
            </w:r>
          </w:p>
        </w:tc>
        <w:tc>
          <w:tcPr>
            <w:tcW w:type="dxa" w:w="1728"/>
          </w:tcPr>
          <w:p>
            <w:r>
              <w:t>Sin región definida</w:t>
            </w:r>
          </w:p>
        </w:tc>
        <w:tc>
          <w:tcPr>
            <w:tcW w:type="dxa" w:w="1728"/>
          </w:tcPr>
          <w:p>
            <w:r>
              <w:t>Ingreso alto</w:t>
            </w:r>
          </w:p>
        </w:tc>
        <w:tc>
          <w:tcPr>
            <w:tcW w:type="dxa" w:w="1728"/>
          </w:tcPr>
          <w:p>
            <w:r>
              <w:t>4.12</w:t>
            </w:r>
          </w:p>
        </w:tc>
        <w:tc>
          <w:tcPr>
            <w:tcW w:type="dxa" w:w="1728"/>
          </w:tcPr>
          <w:p>
            <w:r>
              <w:t>48.16</w:t>
            </w:r>
          </w:p>
        </w:tc>
      </w:tr>
      <w:tr>
        <w:tc>
          <w:tcPr>
            <w:tcW w:type="dxa" w:w="1728"/>
          </w:tcPr>
          <w:p>
            <w:r>
              <w:t>Polonia</w:t>
            </w:r>
          </w:p>
        </w:tc>
        <w:tc>
          <w:tcPr>
            <w:tcW w:type="dxa" w:w="1728"/>
          </w:tcPr>
          <w:p>
            <w:r>
              <w:t>Sin región definida</w:t>
            </w:r>
          </w:p>
        </w:tc>
        <w:tc>
          <w:tcPr>
            <w:tcW w:type="dxa" w:w="1728"/>
          </w:tcPr>
          <w:p>
            <w:r>
              <w:t>Ingreso alto</w:t>
            </w:r>
          </w:p>
        </w:tc>
        <w:tc>
          <w:tcPr>
            <w:tcW w:type="dxa" w:w="1728"/>
          </w:tcPr>
          <w:p>
            <w:r>
              <w:t>3.90</w:t>
            </w:r>
          </w:p>
        </w:tc>
        <w:tc>
          <w:tcPr>
            <w:tcW w:type="dxa" w:w="1728"/>
          </w:tcPr>
          <w:p>
            <w:r>
              <w:t>32.50</w:t>
            </w:r>
          </w:p>
        </w:tc>
      </w:tr>
      <w:tr>
        <w:tc>
          <w:tcPr>
            <w:tcW w:type="dxa" w:w="1728"/>
          </w:tcPr>
          <w:p>
            <w:r>
              <w:t>Luxemburgo</w:t>
            </w:r>
          </w:p>
        </w:tc>
        <w:tc>
          <w:tcPr>
            <w:tcW w:type="dxa" w:w="1728"/>
          </w:tcPr>
          <w:p>
            <w:r>
              <w:t>Sin región definida</w:t>
            </w:r>
          </w:p>
        </w:tc>
        <w:tc>
          <w:tcPr>
            <w:tcW w:type="dxa" w:w="1728"/>
          </w:tcPr>
          <w:p>
            <w:r>
              <w:t>Ingreso alto</w:t>
            </w:r>
          </w:p>
        </w:tc>
        <w:tc>
          <w:tcPr>
            <w:tcW w:type="dxa" w:w="1728"/>
          </w:tcPr>
          <w:p>
            <w:r>
              <w:t>3.13</w:t>
            </w:r>
          </w:p>
        </w:tc>
        <w:tc>
          <w:tcPr>
            <w:tcW w:type="dxa" w:w="1728"/>
          </w:tcPr>
          <w:p>
            <w:r>
              <w:t>31.08</w:t>
            </w:r>
          </w:p>
        </w:tc>
      </w:tr>
      <w:tr>
        <w:tc>
          <w:tcPr>
            <w:tcW w:type="dxa" w:w="1728"/>
          </w:tcPr>
          <w:p>
            <w:r>
              <w:t>Uruguay</w:t>
            </w:r>
          </w:p>
        </w:tc>
        <w:tc>
          <w:tcPr>
            <w:tcW w:type="dxa" w:w="1728"/>
          </w:tcPr>
          <w:p>
            <w:r>
              <w:t>Sin región definida</w:t>
            </w:r>
          </w:p>
        </w:tc>
        <w:tc>
          <w:tcPr>
            <w:tcW w:type="dxa" w:w="1728"/>
          </w:tcPr>
          <w:p>
            <w:r>
              <w:t>Ingreso alto</w:t>
            </w:r>
          </w:p>
        </w:tc>
        <w:tc>
          <w:tcPr>
            <w:tcW w:type="dxa" w:w="1728"/>
          </w:tcPr>
          <w:p>
            <w:r>
              <w:t>2.65</w:t>
            </w:r>
          </w:p>
        </w:tc>
        <w:tc>
          <w:tcPr>
            <w:tcW w:type="dxa" w:w="1728"/>
          </w:tcPr>
          <w:p>
            <w:r>
              <w:t>42.53</w:t>
            </w:r>
          </w:p>
        </w:tc>
      </w:tr>
      <w:tr>
        <w:tc>
          <w:tcPr>
            <w:tcW w:type="dxa" w:w="1728"/>
          </w:tcPr>
          <w:p>
            <w:r>
              <w:t>Rumania</w:t>
            </w:r>
          </w:p>
        </w:tc>
        <w:tc>
          <w:tcPr>
            <w:tcW w:type="dxa" w:w="1728"/>
          </w:tcPr>
          <w:p>
            <w:r>
              <w:t>Sin región definida</w:t>
            </w:r>
          </w:p>
        </w:tc>
        <w:tc>
          <w:tcPr>
            <w:tcW w:type="dxa" w:w="1728"/>
          </w:tcPr>
          <w:p>
            <w:r>
              <w:t>Ingreso alto</w:t>
            </w:r>
          </w:p>
        </w:tc>
        <w:tc>
          <w:tcPr>
            <w:tcW w:type="dxa" w:w="1728"/>
          </w:tcPr>
          <w:p>
            <w:r>
              <w:t>2.62</w:t>
            </w:r>
          </w:p>
        </w:tc>
        <w:tc>
          <w:tcPr>
            <w:tcW w:type="dxa" w:w="1728"/>
          </w:tcPr>
          <w:p>
            <w:r>
              <w:t>33.18</w:t>
            </w:r>
          </w:p>
        </w:tc>
      </w:tr>
      <w:tr>
        <w:tc>
          <w:tcPr>
            <w:tcW w:type="dxa" w:w="1728"/>
          </w:tcPr>
          <w:p>
            <w:r>
              <w:t>Estados Unidos</w:t>
            </w:r>
          </w:p>
        </w:tc>
        <w:tc>
          <w:tcPr>
            <w:tcW w:type="dxa" w:w="1728"/>
          </w:tcPr>
          <w:p>
            <w:r>
              <w:t>Sin región definida</w:t>
            </w:r>
          </w:p>
        </w:tc>
        <w:tc>
          <w:tcPr>
            <w:tcW w:type="dxa" w:w="1728"/>
          </w:tcPr>
          <w:p>
            <w:r>
              <w:t>Ingreso alto</w:t>
            </w:r>
          </w:p>
        </w:tc>
        <w:tc>
          <w:tcPr>
            <w:tcW w:type="dxa" w:w="1728"/>
          </w:tcPr>
          <w:p>
            <w:r>
              <w:t>2.46</w:t>
            </w:r>
          </w:p>
        </w:tc>
        <w:tc>
          <w:tcPr>
            <w:tcW w:type="dxa" w:w="1728"/>
          </w:tcPr>
          <w:p>
            <w:r>
              <w:t>40.72</w:t>
            </w:r>
          </w:p>
        </w:tc>
      </w:tr>
      <w:tr>
        <w:tc>
          <w:tcPr>
            <w:tcW w:type="dxa" w:w="1728"/>
          </w:tcPr>
          <w:p>
            <w:r>
              <w:t>Canadá</w:t>
            </w:r>
          </w:p>
        </w:tc>
        <w:tc>
          <w:tcPr>
            <w:tcW w:type="dxa" w:w="1728"/>
          </w:tcPr>
          <w:p>
            <w:r>
              <w:t>Sin región definida</w:t>
            </w:r>
          </w:p>
        </w:tc>
        <w:tc>
          <w:tcPr>
            <w:tcW w:type="dxa" w:w="1728"/>
          </w:tcPr>
          <w:p>
            <w:r>
              <w:t>Ingreso alto</w:t>
            </w:r>
          </w:p>
        </w:tc>
        <w:tc>
          <w:tcPr>
            <w:tcW w:type="dxa" w:w="1728"/>
          </w:tcPr>
          <w:p>
            <w:r>
              <w:t>2.21</w:t>
            </w:r>
          </w:p>
        </w:tc>
        <w:tc>
          <w:tcPr>
            <w:tcW w:type="dxa" w:w="1728"/>
          </w:tcPr>
          <w:p>
            <w:r>
              <w:t>32.98</w:t>
            </w:r>
          </w:p>
        </w:tc>
      </w:tr>
      <w:tr>
        <w:tc>
          <w:tcPr>
            <w:tcW w:type="dxa" w:w="1728"/>
          </w:tcPr>
          <w:p>
            <w:r>
              <w:t>Argentina</w:t>
            </w:r>
          </w:p>
        </w:tc>
        <w:tc>
          <w:tcPr>
            <w:tcW w:type="dxa" w:w="1728"/>
          </w:tcPr>
          <w:p>
            <w:r>
              <w:t>América Latina y el Caribe (excluido altos ingresos)</w:t>
            </w:r>
          </w:p>
        </w:tc>
        <w:tc>
          <w:tcPr>
            <w:tcW w:type="dxa" w:w="1728"/>
          </w:tcPr>
          <w:p>
            <w:r>
              <w:t>Ingreso medio</w:t>
            </w:r>
          </w:p>
        </w:tc>
        <w:tc>
          <w:tcPr>
            <w:tcW w:type="dxa" w:w="1728"/>
          </w:tcPr>
          <w:p>
            <w:r>
              <w:t>2.15</w:t>
            </w:r>
          </w:p>
        </w:tc>
        <w:tc>
          <w:tcPr>
            <w:tcW w:type="dxa" w:w="1728"/>
          </w:tcPr>
          <w:p>
            <w:r>
              <w:t>46.19</w:t>
            </w:r>
          </w:p>
        </w:tc>
      </w:tr>
      <w:tr>
        <w:tc>
          <w:tcPr>
            <w:tcW w:type="dxa" w:w="1728"/>
          </w:tcPr>
          <w:p>
            <w:r>
              <w:t>Reino Unido</w:t>
            </w:r>
          </w:p>
        </w:tc>
        <w:tc>
          <w:tcPr>
            <w:tcW w:type="dxa" w:w="1728"/>
          </w:tcPr>
          <w:p>
            <w:r>
              <w:t>Sin región definida</w:t>
            </w:r>
          </w:p>
        </w:tc>
        <w:tc>
          <w:tcPr>
            <w:tcW w:type="dxa" w:w="1728"/>
          </w:tcPr>
          <w:p>
            <w:r>
              <w:t>Ingreso alto</w:t>
            </w:r>
          </w:p>
        </w:tc>
        <w:tc>
          <w:tcPr>
            <w:tcW w:type="dxa" w:w="1728"/>
          </w:tcPr>
          <w:p>
            <w:r>
              <w:t>1.86</w:t>
            </w:r>
          </w:p>
        </w:tc>
        <w:tc>
          <w:tcPr>
            <w:tcW w:type="dxa" w:w="1728"/>
          </w:tcPr>
          <w:p>
            <w:r>
              <w:t>34.72</w:t>
            </w:r>
          </w:p>
        </w:tc>
      </w:tr>
      <w:tr>
        <w:tc>
          <w:tcPr>
            <w:tcW w:type="dxa" w:w="1728"/>
          </w:tcPr>
          <w:p>
            <w:r>
              <w:t>Brasil</w:t>
            </w:r>
          </w:p>
        </w:tc>
        <w:tc>
          <w:tcPr>
            <w:tcW w:type="dxa" w:w="1728"/>
          </w:tcPr>
          <w:p>
            <w:r>
              <w:t>América Latina y el Caribe (excluido altos ingresos)</w:t>
            </w:r>
          </w:p>
        </w:tc>
        <w:tc>
          <w:tcPr>
            <w:tcW w:type="dxa" w:w="1728"/>
          </w:tcPr>
          <w:p>
            <w:r>
              <w:t>Ingreso medio</w:t>
            </w:r>
          </w:p>
        </w:tc>
        <w:tc>
          <w:tcPr>
            <w:tcW w:type="dxa" w:w="1728"/>
          </w:tcPr>
          <w:p>
            <w:r>
              <w:t>1.85</w:t>
            </w:r>
          </w:p>
        </w:tc>
        <w:tc>
          <w:tcPr>
            <w:tcW w:type="dxa" w:w="1728"/>
          </w:tcPr>
          <w:p>
            <w:r>
              <w:t>55.46</w:t>
            </w:r>
          </w:p>
        </w:tc>
      </w:tr>
      <w:tr>
        <w:tc>
          <w:tcPr>
            <w:tcW w:type="dxa" w:w="1728"/>
          </w:tcPr>
          <w:p>
            <w:r>
              <w:t>España</w:t>
            </w:r>
          </w:p>
        </w:tc>
        <w:tc>
          <w:tcPr>
            <w:tcW w:type="dxa" w:w="1728"/>
          </w:tcPr>
          <w:p>
            <w:r>
              <w:t>Sin región definida</w:t>
            </w:r>
          </w:p>
        </w:tc>
        <w:tc>
          <w:tcPr>
            <w:tcW w:type="dxa" w:w="1728"/>
          </w:tcPr>
          <w:p>
            <w:r>
              <w:t>Ingreso alto</w:t>
            </w:r>
          </w:p>
        </w:tc>
        <w:tc>
          <w:tcPr>
            <w:tcW w:type="dxa" w:w="1728"/>
          </w:tcPr>
          <w:p>
            <w:r>
              <w:t>1.48</w:t>
            </w:r>
          </w:p>
        </w:tc>
        <w:tc>
          <w:tcPr>
            <w:tcW w:type="dxa" w:w="1728"/>
          </w:tcPr>
          <w:p>
            <w:r>
              <w:t>34.78</w:t>
            </w:r>
          </w:p>
        </w:tc>
      </w:tr>
      <w:tr>
        <w:tc>
          <w:tcPr>
            <w:tcW w:type="dxa" w:w="1728"/>
          </w:tcPr>
          <w:p>
            <w:r>
              <w:t>Francia</w:t>
            </w:r>
          </w:p>
        </w:tc>
        <w:tc>
          <w:tcPr>
            <w:tcW w:type="dxa" w:w="1728"/>
          </w:tcPr>
          <w:p>
            <w:r>
              <w:t>Sin región definida</w:t>
            </w:r>
          </w:p>
        </w:tc>
        <w:tc>
          <w:tcPr>
            <w:tcW w:type="dxa" w:w="1728"/>
          </w:tcPr>
          <w:p>
            <w:r>
              <w:t>Ingreso alto</w:t>
            </w:r>
          </w:p>
        </w:tc>
        <w:tc>
          <w:tcPr>
            <w:tcW w:type="dxa" w:w="1728"/>
          </w:tcPr>
          <w:p>
            <w:r>
              <w:t>1.32</w:t>
            </w:r>
          </w:p>
        </w:tc>
        <w:tc>
          <w:tcPr>
            <w:tcW w:type="dxa" w:w="1728"/>
          </w:tcPr>
          <w:p>
            <w:r>
              <w:t>32.00</w:t>
            </w:r>
          </w:p>
        </w:tc>
      </w:tr>
      <w:tr>
        <w:tc>
          <w:tcPr>
            <w:tcW w:type="dxa" w:w="1728"/>
          </w:tcPr>
          <w:p>
            <w:r>
              <w:t>Alemania</w:t>
            </w:r>
          </w:p>
        </w:tc>
        <w:tc>
          <w:tcPr>
            <w:tcW w:type="dxa" w:w="1728"/>
          </w:tcPr>
          <w:p>
            <w:r>
              <w:t>Sin región definida</w:t>
            </w:r>
          </w:p>
        </w:tc>
        <w:tc>
          <w:tcPr>
            <w:tcW w:type="dxa" w:w="1728"/>
          </w:tcPr>
          <w:p>
            <w:r>
              <w:t>Ingreso alto</w:t>
            </w:r>
          </w:p>
        </w:tc>
        <w:tc>
          <w:tcPr>
            <w:tcW w:type="dxa" w:w="1728"/>
          </w:tcPr>
          <w:p>
            <w:r>
              <w:t>1.23</w:t>
            </w:r>
          </w:p>
        </w:tc>
        <w:tc>
          <w:tcPr>
            <w:tcW w:type="dxa" w:w="1728"/>
          </w:tcPr>
          <w:p>
            <w:r>
              <w:t>30.27</w:t>
            </w:r>
          </w:p>
        </w:tc>
      </w:tr>
      <w:tr>
        <w:tc>
          <w:tcPr>
            <w:tcW w:type="dxa" w:w="1728"/>
          </w:tcPr>
          <w:p>
            <w:r>
              <w:t>Italia</w:t>
            </w:r>
          </w:p>
        </w:tc>
        <w:tc>
          <w:tcPr>
            <w:tcW w:type="dxa" w:w="1728"/>
          </w:tcPr>
          <w:p>
            <w:r>
              <w:t>Sin región definida</w:t>
            </w:r>
          </w:p>
        </w:tc>
        <w:tc>
          <w:tcPr>
            <w:tcW w:type="dxa" w:w="1728"/>
          </w:tcPr>
          <w:p>
            <w:r>
              <w:t>Ingreso alto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34.79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