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CHAPTERS 8 and 9 ONLY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 from each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2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Ethical use of computers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Three ethical levels for the individual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Ethical considerations - types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Intellectual property, copyright and Fair Use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Snoopware, spyware, malware etc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Spamming, Phishing, Whaling, Pharming etc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Hackers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DDOS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Authentication and biometrics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------------------------------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Personal SaaS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F2b2C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Push vs Pull technology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VoIP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disintermediation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Web 2.0, Web 3.0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CAVE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RFID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ASR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Virtual reality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Haptic Interfaces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Personal identification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Biochips and implant chips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WiFI NFC, and Bluetooth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44444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