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Rule="auto" w:line="360" w:before="360" w:after="240"/>
        <w:ind w:firstLine="0"/>
        <w:jc w:val="center"/>
      </w:pPr>
      <w:r>
        <w:rPr>
          <w:rFonts w:ascii="Times New Roman" w:hAnsi="Times New Roman"/>
          <w:b/>
          <w:sz w:val="28"/>
        </w:rPr>
        <w:t>Глава 3. Структура программной реализации, методика и обоснование решений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Настоящая глава 3 является заключительной главой работы: в ней по материалу предыдущих разделов (марковские процессы принятия решений, actor–critic и алгоритм PPO) описывается программная реализация на языке Python — как устроен комплекс, какие допущения о рынке заложены в код и как воспроизвести эксперимент на другой машине. Такой уровень детализации требуется для пояснительной записки: проверяющий должен видеть прозрачный путь от файла данных до метрик оценки и демонстрационного сигнала политики. Исходный подробный план из одиннадцати подпунктов для удобства чтения свёрнут в четыре раздела 3.1–3.4 без внутренней нумерации вида 3.1.1; содержание при этом сохранено: раздел 3.1 объединяет бывшие пункты о цели, архитектуре и структуре каталогов; 3.2 — о данных, признаках и разбиении train/validation; 3.3 — о среде MDP; 3.4 — об обучении PPO, оценке, live-сигнале и ограничениях.</w:t>
      </w:r>
    </w:p>
    <w:p>
      <w:pPr>
        <w:pStyle w:val="Heading1"/>
        <w:spacing w:lineRule="auto" w:line="360" w:before="360" w:after="240"/>
        <w:ind w:firstLine="0"/>
        <w:jc w:val="both"/>
      </w:pPr>
      <w:r>
        <w:rPr>
          <w:rFonts w:ascii="Times New Roman" w:hAnsi="Times New Roman"/>
          <w:b/>
          <w:sz w:val="28"/>
        </w:rPr>
        <w:t>3.1. Цель и границы задачи, архитектура решения, структура каталогов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Практическая цель комплекса — сквозной конвейер исследования: загрузка исторических свечей OHLCV (и при необходимости истории ставок funding для постановки, близкой к USDT-M перпетуалам) → причинное построение признаков без использования будущих значений ряда → среда Gymnasium, в которой явно заданы динамика капитала, комиссия от оборота позиции и опционально funding → обучение алгоритма Proximal Policy Optimization (PPO) средствами библиотеки Stable-Baselines3 → оценка сохранённой политики на отложенном по времени отрезке того же файла → при необходимости вывод целевой доли капитала в активе w по последним свечам без подключения торгового API и без отправки ордеров. Такой набор функций соответствует типичной дипломной задаче «разработать и протестировать прототип», а не промышленный торговый терминал.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Границы и допущения сформулированы сознательно. Реализация ориентирована на исследовательский бэктест и демонстрацию инференса, а не на высокочастотную торговлю. Не моделируются очередь и частичное исполнение заявок, глубина стакана, режимы биржи, проскальзывание как отдельная случайная величина, полная маржевая модель с ликвидацией и мультиактивный портфель. Комиссия задана как доля от величины изменения веса |Δw| за шаг — это упрощённый прокси совокупных издержек сделки. Funding вводится через дополнительный мультипликатор баланса, линейный по w и ставке на шаг. Перечисленные упрощения необходимо явно отразить в тексте настоящей главы среди допущений и согласовать с выводами о применимости полученных результатов.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 выбран из соображений доступности и воспроизводимости: интерпретируемый Python 3, стандарт де-факто для научных вычислений; среда Gymnasium как преемник OpenAI Gym; Stable-Baselines3 как зрелая реализация PPO поверх PyTorch; pandas и numpy для табличных рядов; TensorBoard по флагу --tensorboard для контроля обучения. Перечень пакетов и нижние границы версий зафиксированы в requirements.txt; для пользователей Windows приведён файл INSTALL_WINDOWS.txt с рекомендацией вызывать интерпретатор как py -3.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Архитектура разбита на слабо связанные слои. Сырые данные хранятся в CSV; при слиянии с Binance добавляется колонка open_time (миллисекунды UTC открытия свечи). Модуль utils/data.py проверяет наличие обязательных полей, при необходимости извлекает столбец funding и строит матрицу признаков X и булеву маску valid. Класс CryptoTradingEnv в envs/crypto_env.py инкапсулирует динамику портфеля и функцию награды. Скрипт train_ppo.py создаёт две копии среды с разными диапазонами индексов времени (обучение и валидация), оборачивает их в Monitor и DummyVecEnv, запускает model.learn с EvalCallback. Скрипт eval_ppo.py загружает сохранённые веса и печатает согласованные метрики, включая эталон buy-and-hold на том же отрезке. Скрипт live_signal.py повторяет построение наблюдения для последней точки ряда: либо по публичному REST-запросу klines Binance USDM, либо из локального файла (--from-csv), что удобно при нестабильной сети или для слайдов защиты. Вспомогательно используются make_sample_csv.py для быстрой проверки пайплайна и merge_binance_funding.py для записи исторических ставок funding в CSV.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Типовой порядок работы исследователя выглядит так: установить зависимости; подготовить CSV (или сгенерировать пример, затем при необходимости обогатить funding); задать флаги среды (например --short, --max-delta-w, --turnover-penalty, --funding-per-step) и запустить обучение; контролировать кривые в TensorBoard; оценить лучший чекпоинт eval_ppo.py с тем же набором флагов; при необходимости получить печатный сигнал live_signal.py. Разделение ответственности между файлами упрощает сопровождение: изменение признаков локализовано в utils/data.py, изменение экономики шага — в envs/crypto_env.py, изменение протокола обучения — в scripts/train_ppo.py.</w:t>
      </w:r>
    </w:p>
    <w:p>
      <w:pPr>
        <w:ind w:firstLine="0"/>
      </w:pPr>
      <w:r>
        <w:rPr>
          <w:rFonts w:ascii="Times New Roman" w:hAnsi="Times New Roman"/>
          <w:i/>
          <w:sz w:val="28"/>
        </w:rPr>
        <w:t>Таблица — назначение основных файлов проекта ppo_crypto_agent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t>Путь</w:t>
            </w:r>
          </w:p>
        </w:tc>
        <w:tc>
          <w:tcPr>
            <w:tcW w:type="dxa" w:w="4844"/>
          </w:tcPr>
          <w:p>
            <w:r>
              <w:t>Назначение</w:t>
            </w:r>
          </w:p>
        </w:tc>
      </w:tr>
      <w:tr>
        <w:tc>
          <w:tcPr>
            <w:tcW w:type="dxa" w:w="4844"/>
          </w:tcPr>
          <w:p>
            <w:r>
              <w:t>envs/crypto_env.py</w:t>
            </w:r>
          </w:p>
        </w:tc>
        <w:tc>
          <w:tcPr>
            <w:tcW w:type="dxa" w:w="4844"/>
          </w:tcPr>
          <w:p>
            <w:r>
              <w:t>Среда Gymnasium: шаг, награда, funding, ограничение |Δw|</w:t>
            </w:r>
          </w:p>
        </w:tc>
      </w:tr>
      <w:tr>
        <w:tc>
          <w:tcPr>
            <w:tcW w:type="dxa" w:w="4844"/>
          </w:tcPr>
          <w:p>
            <w:r>
              <w:t>utils/data.py</w:t>
            </w:r>
          </w:p>
        </w:tc>
        <w:tc>
          <w:tcPr>
            <w:tcW w:type="dxa" w:w="4844"/>
          </w:tcPr>
          <w:p>
            <w:r>
              <w:t>Чтение CSV, build_features, маска valid</w:t>
            </w:r>
          </w:p>
        </w:tc>
      </w:tr>
      <w:tr>
        <w:tc>
          <w:tcPr>
            <w:tcW w:type="dxa" w:w="4844"/>
          </w:tcPr>
          <w:p>
            <w:r>
              <w:t>utils/inference.py</w:t>
            </w:r>
          </w:p>
        </w:tc>
        <w:tc>
          <w:tcPr>
            <w:tcW w:type="dxa" w:w="4844"/>
          </w:tcPr>
          <w:p>
            <w:r>
              <w:t>Сборка наблюдения и max |Δw| вне среды (live_signal)</w:t>
            </w:r>
          </w:p>
        </w:tc>
      </w:tr>
      <w:tr>
        <w:tc>
          <w:tcPr>
            <w:tcW w:type="dxa" w:w="4844"/>
          </w:tcPr>
          <w:p>
            <w:r>
              <w:t>scripts/train_ppo.py</w:t>
            </w:r>
          </w:p>
        </w:tc>
        <w:tc>
          <w:tcPr>
            <w:tcW w:type="dxa" w:w="4844"/>
          </w:tcPr>
          <w:p>
            <w:r>
              <w:t>Обучение PPO, EvalCallback, сохранение чекпоинтов</w:t>
            </w:r>
          </w:p>
        </w:tc>
      </w:tr>
      <w:tr>
        <w:tc>
          <w:tcPr>
            <w:tcW w:type="dxa" w:w="4844"/>
          </w:tcPr>
          <w:p>
            <w:r>
              <w:t>scripts/eval_ppo.py</w:t>
            </w:r>
          </w:p>
        </w:tc>
        <w:tc>
          <w:tcPr>
            <w:tcW w:type="dxa" w:w="4844"/>
          </w:tcPr>
          <w:p>
            <w:r>
              <w:t>Оценка политики, buy-and-hold, оборот позиции</w:t>
            </w:r>
          </w:p>
        </w:tc>
      </w:tr>
      <w:tr>
        <w:tc>
          <w:tcPr>
            <w:tcW w:type="dxa" w:w="4844"/>
          </w:tcPr>
          <w:p>
            <w:r>
              <w:t>scripts/live_signal.py</w:t>
            </w:r>
          </w:p>
        </w:tc>
        <w:tc>
          <w:tcPr>
            <w:tcW w:type="dxa" w:w="4844"/>
          </w:tcPr>
          <w:p>
            <w:r>
              <w:t>Сигнал w по последним свечам, без ордеров</w:t>
            </w:r>
          </w:p>
        </w:tc>
      </w:tr>
      <w:tr>
        <w:tc>
          <w:tcPr>
            <w:tcW w:type="dxa" w:w="4844"/>
          </w:tcPr>
          <w:p>
            <w:r>
              <w:t>scripts/make_sample_csv.py</w:t>
            </w:r>
          </w:p>
        </w:tc>
        <w:tc>
          <w:tcPr>
            <w:tcW w:type="dxa" w:w="4844"/>
          </w:tcPr>
          <w:p>
            <w:r>
              <w:t>Синтетический ряд sample_ohlcv.csv</w:t>
            </w:r>
          </w:p>
        </w:tc>
      </w:tr>
      <w:tr>
        <w:tc>
          <w:tcPr>
            <w:tcW w:type="dxa" w:w="4844"/>
          </w:tcPr>
          <w:p>
            <w:r>
              <w:t>scripts/merge_binance_funding.py</w:t>
            </w:r>
          </w:p>
        </w:tc>
        <w:tc>
          <w:tcPr>
            <w:tcW w:type="dxa" w:w="4844"/>
          </w:tcPr>
          <w:p>
            <w:r>
              <w:t>Подтягивание funding Binance в CSV</w:t>
            </w:r>
          </w:p>
        </w:tc>
      </w:tr>
      <w:tr>
        <w:tc>
          <w:tcPr>
            <w:tcW w:type="dxa" w:w="4844"/>
          </w:tcPr>
          <w:p>
            <w:r>
              <w:t>data/</w:t>
            </w:r>
          </w:p>
        </w:tc>
        <w:tc>
          <w:tcPr>
            <w:tcW w:type="dxa" w:w="4844"/>
          </w:tcPr>
          <w:p>
            <w:r>
              <w:t>Входные наборы OHLCV</w:t>
            </w:r>
          </w:p>
        </w:tc>
      </w:tr>
      <w:tr>
        <w:tc>
          <w:tcPr>
            <w:tcW w:type="dxa" w:w="4844"/>
          </w:tcPr>
          <w:p>
            <w:r>
              <w:t>runs/&lt;ран&gt;/</w:t>
            </w:r>
          </w:p>
        </w:tc>
        <w:tc>
          <w:tcPr>
            <w:tcW w:type="dxa" w:w="4844"/>
          </w:tcPr>
          <w:p>
            <w:r>
              <w:t>best/best_model.zip, ppo_final.zip, logs/, tb/</w:t>
            </w:r>
          </w:p>
        </w:tc>
      </w:tr>
      <w:tr>
        <w:tc>
          <w:tcPr>
            <w:tcW w:type="dxa" w:w="4844"/>
          </w:tcPr>
          <w:p>
            <w:r>
              <w:t>requirements.txt</w:t>
            </w:r>
          </w:p>
        </w:tc>
        <w:tc>
          <w:tcPr>
            <w:tcW w:type="dxa" w:w="4844"/>
          </w:tcPr>
          <w:p>
            <w:r>
              <w:t>Фиксация версий библиотек</w:t>
            </w:r>
          </w:p>
        </w:tc>
      </w:tr>
      <w:tr>
        <w:tc>
          <w:tcPr>
            <w:tcW w:type="dxa" w:w="4844"/>
          </w:tcPr>
          <w:p>
            <w:r>
              <w:t>INSTALL_WINDOWS.txt</w:t>
            </w:r>
          </w:p>
        </w:tc>
        <w:tc>
          <w:tcPr>
            <w:tcW w:type="dxa" w:w="4844"/>
          </w:tcPr>
          <w:p>
            <w:r>
              <w:t>Порядок установки и примеры команд</w:t>
            </w:r>
          </w:p>
        </w:tc>
      </w:tr>
    </w:tbl>
    <w:p/>
    <w:p>
      <w:pPr>
        <w:pStyle w:val="Heading1"/>
        <w:spacing w:lineRule="auto" w:line="360" w:before="360" w:after="240"/>
        <w:ind w:firstLine="0"/>
        <w:jc w:val="both"/>
      </w:pPr>
      <w:r>
        <w:rPr>
          <w:rFonts w:ascii="Times New Roman" w:hAnsi="Times New Roman"/>
          <w:b/>
          <w:sz w:val="28"/>
        </w:rPr>
        <w:t>3.2. Данные, признаки, причинность, разбиение train/validation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Входом симулятора служит дискретный временной ряд OHLCV на фиксированном таймфрейме. Для каждого индекса времени t известны цены открытия, максимума, минимума, закрытия и объём; внутрисвечная динамика цены не моделируется, что соответствует принятой в литературе практике бэктеста на агрегированных свечах. Функция load_ohlcv_csv приводит имена столбцов к нижнему регистру и требует набор open, high, low, close, volume. Опционально читается funding_rate или funding — массив той же длины, что число строк; отсутствующие значения заменяются нулём, чтобы не прерывать цикл шагов среды.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Для склейки исторических ставок funding с дискретными свечами в merge_binance_funding.py используется время открытия свечи open_time. Каждой строке ставится последняя известная на момент открытия свечи ставка с условием fundingTime ≤ open_time, что исключает подмешивание будущих значений funding в прошлое. Сами ставки загружаются с публичного endpoint Binance; при работе из учебной сети возможны таймауты — это ограничение инфраструктуры, а не логики программы. Важный методологический момент: на Binance funding начисляется реже, чем длится одна часовая свеча, а величина rate в API относится к полному интервалу между событиями funding; если подставлять полную ставку на каждую часовую свечу без масштабирования, суммарное воздействие на баланс окажется завышенным примерно в восемь раз. В скрипте предусмотрен коэффициент --funding-scale (например 0.125) либо согласование таймфрейма свечей с периодом начисления funding; выбранный вариант нужно явно описать в дипломе.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Функция build_features формирует для каждого момента времени трёхмерный вектор признаков: лог-доходность закрытия, z-нормированный объём и z-нормированный относительный размах свечи (high−low)/close. Каждый канал нормируется скользящим окном длины window по прошлым наблюдениям, что снижает риск утечки информации из будущего и приводит масштабы признаков к виду, удобному для многослойного перцептрона. Маска valid помечает шаги, где окно полностью заполнено и все значения конечны; первые window индексов исключаются из старта эпизода. Дополнительно выполняется клиппинг признаков и замена нечисловых значений — для предотвращения расхождения оптимизации из-за взрывающихся входов.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Разбиение на обучение и валидацию реализовано одной временной границей: доля train_ratio от числа строк (по умолчанию 0,7) задаёт индекс split, который затем поджимается так, чтобы слева и справа оставалось достаточно наблюдений для окна признаков и для сдвига к следующей цене закрытия. На train-участке начало эпизода выбирается случайно среди допустимых индексов, что увеличивает разнообразие траекторий; на валидации используется фиксированный хвост от split до n−2, что делает сопоставимыми метрики EvalCallback во время обучения и вывод eval_ppo.py после него. Для более строгой научной проверки в перспективе указывают walk-forward и отдельный тестовый период, не участвовавший в подборе гиперпараметров.</w:t>
      </w:r>
    </w:p>
    <w:p>
      <w:pPr>
        <w:pStyle w:val="Heading1"/>
        <w:spacing w:lineRule="auto" w:line="360" w:before="360" w:after="240"/>
        <w:ind w:firstLine="0"/>
        <w:jc w:val="both"/>
      </w:pPr>
      <w:r>
        <w:rPr>
          <w:rFonts w:ascii="Times New Roman" w:hAnsi="Times New Roman"/>
          <w:b/>
          <w:sz w:val="28"/>
        </w:rPr>
        <w:t>3.3. Марковская среда (MDP): действие, наблюдение, переход, награда, эпизод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С точки зрения RL среда задаёт кортеж (наблюдение, действие, награда, признак завершения). Действие — непрерывный скаляр w: целевая доля капитала в базовом активе. В режиме только лонг w ∈ [0, 1], где 0 интерпретируется как отсутствие позиции, 1 — как полное размещение в активе. При включении флага --short допускается w ∈ [−1, 1], где отрицательные значения соответствуют выраженному шорту по упрощённой одномерной схеме «вся маржа в одной позиции». Выход стохастической политики на инференсе заменяется детерминированным средним действием там, где это задано скриптами оценки; в среде действие всегда приводится к допустимому диапазону клиппингом. Опциональный параметр max_abs_delta_w ограничивает за один дискретный шаг времени величину |w_new − w_old|, что дисциплинирует стратегию и приближает модель к ситуации поэтапного набора позиции на ликвидном рынке.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Наблюдение агента — вектор размерности window·3+2: к окну из трёх признаковых каналов за последние window шагов добавляются текущий вес w и логарифм баланса. Включение w и баланса позволяет политике различать одинаковые рыночные паттерны при разной уже накопленной экспозиции и разном масштабе капитала. Вектор наблюдения проходит ту же санитизацию, что и внутри среды, чтобы совпадать с распределением, на котором обучалась сеть.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Переход задаётся внешней ценой: пусть r_t = P_{t+1}/P_t — простая гросс-доходность актива за шаг. Множитель портфеля за шаг в унифицированной для long/short записи равен 1 + w_new·(r_t−1). Комиссия вводится как fee = commission·|w_new−w_old|, после чего капитал умножается на (1−fee). При ненулевом funding баланс дополнительно умножается на (1−f_t·w_new), где f_t — ставка на шаг (из столбца или константы funding_per_step); при положительном funding лонг платит, шорт получает, что согласуется со знаком w. Награда за шаг определяется как логарифм относительного прироста баланса минус штраф turnover_penalty·|w_new−w_old|, с ограничением модуля награды для численной устойчивости. Дисконтирование будущих наград при обучении задаётся коэффициентом γ = 0,99 в конфигурации PPO. Строгое марковское свойство для финансового ряда не гарантируется; использование скользящего окна и явного учёта позиции и баланса является практичным приближением, принятым во многих работах по RL для торговли.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Индексация массива цен закрытия построена так, чтобы на каждом шаге был доступен следующий элемент ряда. Эпизод на обучении охватывает весь train-сегмент между заданными границами индексов; параметр max_episode_steps в train_ppo.py передаётся как None, поэтому усечение по числу шагов изнутри среды отключено и длина эпизода совпадает с длиной сегмента. На валидации это проявляется почти постоянной средней длиной эпизода на графиках TensorBoard. Сброс среды сбрасывает баланс к начальному значению и вес к нулю, после чего цикл шагов повторяется.</w:t>
      </w:r>
    </w:p>
    <w:p>
      <w:pPr>
        <w:pStyle w:val="Heading1"/>
        <w:spacing w:lineRule="auto" w:line="360" w:before="360" w:after="240"/>
        <w:ind w:firstLine="0"/>
        <w:jc w:val="both"/>
      </w:pPr>
      <w:r>
        <w:rPr>
          <w:rFonts w:ascii="Times New Roman" w:hAnsi="Times New Roman"/>
          <w:b/>
          <w:sz w:val="28"/>
        </w:rPr>
        <w:t>3.4. Обучение PPO, оценка, инференс, ограничения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Алгоритм PPO выбран как устойчивый метод policy gradient для непрерывного управления: обновление политики ограничивается суррогатной целевой функцией с отсечением отношения вероятностей, что снижает риск резкого ухудшения качества за одну итерацию по сравнению с наивным REINFORCE. Реализация Stable-Baselines3 использует общий для библиотеки протокол VecEnv и стандартный EvalCallback, что упрощает сравнение с другими алгоритмами и повторение эксперимента по опубликованным учебным материалам. Частота оценки на валидации задаётся выражением eval_freq = max(500, min(10000, timesteps//5)): при коротком обучении оценка не выполняется слишком редко, при длинном — не перегружает расчёт. Лучший по средней награде на val чекпоинт сохраняется в каталоге best/best_model.zip (важно не путать с путём без вложенной папки best); после завершения полного числа шагов timesteps дополнительно сохраняется ppo_final.zip. При включённом --tensorboard логи пишутся в runs/&lt;имя_рана&gt;/tb и просматриваются командой py -3 -m tensorboard.main --logdir &lt;путь&gt;.</w:t>
      </w:r>
    </w:p>
    <w:p>
      <w:pPr>
        <w:ind w:firstLine="0"/>
      </w:pPr>
      <w:r>
        <w:rPr>
          <w:rFonts w:ascii="Times New Roman" w:hAnsi="Times New Roman"/>
          <w:i/>
          <w:sz w:val="28"/>
        </w:rPr>
        <w:t>Таблица — основные гиперпараметры PPO в train_ppo.py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Параметр</w:t>
            </w:r>
          </w:p>
        </w:tc>
        <w:tc>
          <w:tcPr>
            <w:tcW w:type="dxa" w:w="3230"/>
          </w:tcPr>
          <w:p>
            <w:r>
              <w:t>Значение</w:t>
            </w:r>
          </w:p>
        </w:tc>
        <w:tc>
          <w:tcPr>
            <w:tcW w:type="dxa" w:w="3230"/>
          </w:tcPr>
          <w:p>
            <w:r>
              <w:t>Смысл</w:t>
            </w:r>
          </w:p>
        </w:tc>
      </w:tr>
      <w:tr>
        <w:tc>
          <w:tcPr>
            <w:tcW w:type="dxa" w:w="3230"/>
          </w:tcPr>
          <w:p>
            <w:r>
              <w:t>Политика</w:t>
            </w:r>
          </w:p>
        </w:tc>
        <w:tc>
          <w:tcPr>
            <w:tcW w:type="dxa" w:w="3230"/>
          </w:tcPr>
          <w:p>
            <w:r>
              <w:t>MlpPolicy</w:t>
            </w:r>
          </w:p>
        </w:tc>
        <w:tc>
          <w:tcPr>
            <w:tcW w:type="dxa" w:w="3230"/>
          </w:tcPr>
          <w:p>
            <w:r>
              <w:t>Две сети: политика π(a|s) и критик V(s)</w:t>
            </w:r>
          </w:p>
        </w:tc>
      </w:tr>
      <w:tr>
        <w:tc>
          <w:tcPr>
            <w:tcW w:type="dxa" w:w="3230"/>
          </w:tcPr>
          <w:p>
            <w:r>
              <w:t>learning_rate</w:t>
            </w:r>
          </w:p>
        </w:tc>
        <w:tc>
          <w:tcPr>
            <w:tcW w:type="dxa" w:w="3230"/>
          </w:tcPr>
          <w:p>
            <w:r>
              <w:t>1e-4</w:t>
            </w:r>
          </w:p>
        </w:tc>
        <w:tc>
          <w:tcPr>
            <w:tcW w:type="dxa" w:w="3230"/>
          </w:tcPr>
          <w:p>
            <w:r>
              <w:t>Скорость обновления весов Adam</w:t>
            </w:r>
          </w:p>
        </w:tc>
      </w:tr>
      <w:tr>
        <w:tc>
          <w:tcPr>
            <w:tcW w:type="dxa" w:w="3230"/>
          </w:tcPr>
          <w:p>
            <w:r>
              <w:t>n_steps</w:t>
            </w:r>
          </w:p>
        </w:tc>
        <w:tc>
          <w:tcPr>
            <w:tcW w:type="dxa" w:w="3230"/>
          </w:tcPr>
          <w:p>
            <w:r>
              <w:t>2048</w:t>
            </w:r>
          </w:p>
        </w:tc>
        <w:tc>
          <w:tcPr>
            <w:tcW w:type="dxa" w:w="3230"/>
          </w:tcPr>
          <w:p>
            <w:r>
              <w:t>Сколько шагов среды собирать в буфер перед обновлением</w:t>
            </w:r>
          </w:p>
        </w:tc>
      </w:tr>
      <w:tr>
        <w:tc>
          <w:tcPr>
            <w:tcW w:type="dxa" w:w="3230"/>
          </w:tcPr>
          <w:p>
            <w:r>
              <w:t>batch_size</w:t>
            </w:r>
          </w:p>
        </w:tc>
        <w:tc>
          <w:tcPr>
            <w:tcW w:type="dxa" w:w="3230"/>
          </w:tcPr>
          <w:p>
            <w:r>
              <w:t>256</w:t>
            </w:r>
          </w:p>
        </w:tc>
        <w:tc>
          <w:tcPr>
            <w:tcW w:type="dxa" w:w="3230"/>
          </w:tcPr>
          <w:p>
            <w:r>
              <w:t>Размер минибатча при оптимизации суррогата</w:t>
            </w:r>
          </w:p>
        </w:tc>
      </w:tr>
      <w:tr>
        <w:tc>
          <w:tcPr>
            <w:tcW w:type="dxa" w:w="3230"/>
          </w:tcPr>
          <w:p>
            <w:r>
              <w:t>n_epochs</w:t>
            </w:r>
          </w:p>
        </w:tc>
        <w:tc>
          <w:tcPr>
            <w:tcW w:type="dxa" w:w="3230"/>
          </w:tcPr>
          <w:p>
            <w:r>
              <w:t>10</w:t>
            </w:r>
          </w:p>
        </w:tc>
        <w:tc>
          <w:tcPr>
            <w:tcW w:type="dxa" w:w="3230"/>
          </w:tcPr>
          <w:p>
            <w:r>
              <w:t>Число эпох на одном буфере за итерацию</w:t>
            </w:r>
          </w:p>
        </w:tc>
      </w:tr>
      <w:tr>
        <w:tc>
          <w:tcPr>
            <w:tcW w:type="dxa" w:w="3230"/>
          </w:tcPr>
          <w:p>
            <w:r>
              <w:t>gamma</w:t>
            </w:r>
          </w:p>
        </w:tc>
        <w:tc>
          <w:tcPr>
            <w:tcW w:type="dxa" w:w="3230"/>
          </w:tcPr>
          <w:p>
            <w:r>
              <w:t>0.99</w:t>
            </w:r>
          </w:p>
        </w:tc>
        <w:tc>
          <w:tcPr>
            <w:tcW w:type="dxa" w:w="3230"/>
          </w:tcPr>
          <w:p>
            <w:r>
              <w:t>Дисконт будущей награды</w:t>
            </w:r>
          </w:p>
        </w:tc>
      </w:tr>
      <w:tr>
        <w:tc>
          <w:tcPr>
            <w:tcW w:type="dxa" w:w="3230"/>
          </w:tcPr>
          <w:p>
            <w:r>
              <w:t>gae_lambda</w:t>
            </w:r>
          </w:p>
        </w:tc>
        <w:tc>
          <w:tcPr>
            <w:tcW w:type="dxa" w:w="3230"/>
          </w:tcPr>
          <w:p>
            <w:r>
              <w:t>0.95</w:t>
            </w:r>
          </w:p>
        </w:tc>
        <w:tc>
          <w:tcPr>
            <w:tcW w:type="dxa" w:w="3230"/>
          </w:tcPr>
          <w:p>
            <w:r>
              <w:t>Компромисс смещение/дисперсия в GAE</w:t>
            </w:r>
          </w:p>
        </w:tc>
      </w:tr>
      <w:tr>
        <w:tc>
          <w:tcPr>
            <w:tcW w:type="dxa" w:w="3230"/>
          </w:tcPr>
          <w:p>
            <w:r>
              <w:t>clip_range</w:t>
            </w:r>
          </w:p>
        </w:tc>
        <w:tc>
          <w:tcPr>
            <w:tcW w:type="dxa" w:w="3230"/>
          </w:tcPr>
          <w:p>
            <w:r>
              <w:t>0.2</w:t>
            </w:r>
          </w:p>
        </w:tc>
        <w:tc>
          <w:tcPr>
            <w:tcW w:type="dxa" w:w="3230"/>
          </w:tcPr>
          <w:p>
            <w:r>
              <w:t>Допустимое отклонение отношения π_new/π_old (PPO)</w:t>
            </w:r>
          </w:p>
        </w:tc>
      </w:tr>
      <w:tr>
        <w:tc>
          <w:tcPr>
            <w:tcW w:type="dxa" w:w="3230"/>
          </w:tcPr>
          <w:p>
            <w:r>
              <w:t>ent_coef</w:t>
            </w:r>
          </w:p>
        </w:tc>
        <w:tc>
          <w:tcPr>
            <w:tcW w:type="dxa" w:w="3230"/>
          </w:tcPr>
          <w:p>
            <w:r>
              <w:t>0.005</w:t>
            </w:r>
          </w:p>
        </w:tc>
        <w:tc>
          <w:tcPr>
            <w:tcW w:type="dxa" w:w="3230"/>
          </w:tcPr>
          <w:p>
            <w:r>
              <w:t>Вес энтропийного бонуса (исследование)</w:t>
            </w:r>
          </w:p>
        </w:tc>
      </w:tr>
      <w:tr>
        <w:tc>
          <w:tcPr>
            <w:tcW w:type="dxa" w:w="3230"/>
          </w:tcPr>
          <w:p>
            <w:r>
              <w:t>vf_coef</w:t>
            </w:r>
          </w:p>
        </w:tc>
        <w:tc>
          <w:tcPr>
            <w:tcW w:type="dxa" w:w="3230"/>
          </w:tcPr>
          <w:p>
            <w:r>
              <w:t>0.5</w:t>
            </w:r>
          </w:p>
        </w:tc>
        <w:tc>
          <w:tcPr>
            <w:tcW w:type="dxa" w:w="3230"/>
          </w:tcPr>
          <w:p>
            <w:r>
              <w:t>Вес ошибки функции ценности</w:t>
            </w:r>
          </w:p>
        </w:tc>
      </w:tr>
      <w:tr>
        <w:tc>
          <w:tcPr>
            <w:tcW w:type="dxa" w:w="3230"/>
          </w:tcPr>
          <w:p>
            <w:r>
              <w:t>max_grad_norm</w:t>
            </w:r>
          </w:p>
        </w:tc>
        <w:tc>
          <w:tcPr>
            <w:tcW w:type="dxa" w:w="3230"/>
          </w:tcPr>
          <w:p>
            <w:r>
              <w:t>0.5</w:t>
            </w:r>
          </w:p>
        </w:tc>
        <w:tc>
          <w:tcPr>
            <w:tcW w:type="dxa" w:w="3230"/>
          </w:tcPr>
          <w:p>
            <w:r>
              <w:t>Глобальный клиппинг градиента</w:t>
            </w:r>
          </w:p>
        </w:tc>
      </w:tr>
      <w:tr>
        <w:tc>
          <w:tcPr>
            <w:tcW w:type="dxa" w:w="3230"/>
          </w:tcPr>
          <w:p>
            <w:r>
              <w:t>ortho_init</w:t>
            </w:r>
          </w:p>
        </w:tc>
        <w:tc>
          <w:tcPr>
            <w:tcW w:type="dxa" w:w="3230"/>
          </w:tcPr>
          <w:p>
            <w:r>
              <w:t>True</w:t>
            </w:r>
          </w:p>
        </w:tc>
        <w:tc>
          <w:tcPr>
            <w:tcW w:type="dxa" w:w="3230"/>
          </w:tcPr>
          <w:p>
            <w:r>
              <w:t>Ортогональная инициализация слоёв политики</w:t>
            </w:r>
          </w:p>
        </w:tc>
      </w:tr>
    </w:tbl>
    <w:p/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Скрипт eval_ppo.py предназначен для воспроизводимой оценки после обучения. Он загружает указанный архив весов, строит среду на сегменте val или train, вызывает функцию evaluate_policy из Stable-Baselines3 на заданном числе эпизодов (по умолчанию три) и печатает среднюю суммарную награду и стандартное отклонение. Дополнительно для интерпретации в терминах портфеля выполняется один детерминированный проход с подсчётом итогового баланса, суммарного оборота по |Δw| и лог-доходности, а также выводится эталон buy-and-hold: одна покупка в начале сегмента с учётом комиссии входа и удержание до конца отрезка. Для корректности сравнения необходимо передать те же флаги среды, что и при обучении: --short, --max-delta-w, --turnover-penalty, --funding-per-step, --commission и др.; несовпадение делает цифры несопоставимыми с фактически обученной политикой.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Скрипт live_signal.py демонстрирует применение обученной политики к последнему срезу данных без торгового риска: свечи запрашиваются по публичному GET /fapi/v1/klines Binance USDM с повторными попытками при сетевых ошибках либо читаются из локального CSV (--from-csv). Наблюдение собирается функциями build_observation_vector и apply_max_delta из utils/inference.py, чтобы правило ограничения |Δw| совпадало с тем, что применялось в среде при обучении. На экран выводятся сырое действие политики и итоговый вес после ограничения; торговые заявки не формируются и не отправляются. С точки зрения этики и безопасности автоматическая торговля на реальном счёте требует отдельной проработки рисков, ключей API и нормативных ограничений; в рамках дипломной работы достаточно бэктеста, печатного сигнала и при необходимости проверки на тестовой сети биржи с минимальным объёмом.</w:t>
      </w:r>
    </w:p>
    <w:p>
      <w:pPr>
        <w:spacing w:lineRule="auto" w:line="360"/>
        <w:ind w:firstLine="709"/>
        <w:jc w:val="both"/>
      </w:pPr>
      <w:r>
        <w:rPr>
          <w:rFonts w:ascii="Times New Roman" w:hAnsi="Times New Roman"/>
          <w:sz w:val="28"/>
        </w:rPr>
        <w:t>К ограничениям разработанного комплекса относятся следующие моменты, которые целесообразно сформулировать в завершающей части настоящей главы (подраздел 3.4) при подведении итогов работы. Моделируется один инструмент без портфельных эффектов и корреляций между активами. Издержки и funding заданы в упрощённой форме, без явного проскальзывания и микроструктурного исполнения. Используется один временной разрез train/validation без встроенного walk-forward. Прибыльность на выбранном историческом отрезке не гарантирует доходность в будущем; возможны переобучение и нестабильность обучения RL при несчастливом сочетании штрафов и гиперпараметров. Наконец, live-режим зависит от доступности внешней сети; для оформления отчёта и защиты целесообразно сохранять скриншоты TensorBoard и пример вывода live_signal.py в режиме --from-csv. При изложении результатов эксперимента в рамках этой же главы 3 следует явно сослаться на указанные артефакты, на версию данных и на таблицу гиперпараметров раздела 3.4.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