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b/>
          <w:bCs/>
          <w:color w:val="1B3A5C"/>
          <w:sz w:val="56"/>
          <w:szCs w:val="56"/>
        </w:rPr>
        <w:t xml:space="preserve">FIELD SHIELD</w:t>
      </w:r>
    </w:p>
    <w:p>
      <w:pPr>
        <w:spacing w:after="100"/>
        <w:jc w:val="center"/>
      </w:pPr>
      <w:r>
        <w:rPr>
          <w:rFonts w:ascii="Arial" w:cs="Arial" w:eastAsia="Arial" w:hAnsi="Arial"/>
          <w:color w:val="2E5D8A"/>
          <w:sz w:val="36"/>
          <w:szCs w:val="36"/>
        </w:rPr>
        <w:t xml:space="preserve">Rejected &amp; Unexplored Concept Catalog</w:t>
      </w:r>
    </w:p>
    <w:p>
      <w:pPr>
        <w:spacing w:after="400"/>
        <w:jc w:val="center"/>
      </w:pPr>
      <w:r>
        <w:rPr>
          <w:rFonts w:ascii="Arial" w:cs="Arial" w:eastAsia="Arial" w:hAnsi="Arial"/>
          <w:color w:val="3A7CA5"/>
          <w:sz w:val="24"/>
          <w:szCs w:val="24"/>
        </w:rPr>
        <w:t xml:space="preserve">Appendix to Innovation Report — Session 2026-02-13</w:t>
      </w:r>
    </w:p>
    <w:p>
      <w:pPr>
        <w:spacing w:after="80"/>
        <w:jc w:val="center"/>
      </w:pPr>
      <w:r>
        <w:rPr>
          <w:rFonts w:ascii="Arial" w:cs="Arial" w:eastAsia="Arial" w:hAnsi="Arial"/>
          <w:color w:val="666666"/>
          <w:sz w:val="22"/>
          <w:szCs w:val="22"/>
        </w:rPr>
        <w:t xml:space="preserve">Challenge Owner: Dylan Baribeault, Field Shield</w:t>
      </w:r>
    </w:p>
    <w:p>
      <w:pPr>
        <w:spacing w:after="200"/>
        <w:jc w:val="center"/>
      </w:pPr>
      <w:r>
        <w:rPr>
          <w:rFonts w:ascii="Arial" w:cs="Arial" w:eastAsia="Arial" w:hAnsi="Arial"/>
          <w:b/>
          <w:bCs/>
          <w:color w:val="CC0000"/>
          <w:sz w:val="20"/>
          <w:szCs w:val="20"/>
        </w:rPr>
        <w:t xml:space="preserve">Classification: CONFIDENTIAL — PROPRIETARY</w:t>
      </w:r>
    </w:p>
    <w:p>
      <w:r>
        <w:br w:type="page"/>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before="360" w:after="200"/>
      </w:pPr>
      <w:r>
        <w:t xml:space="preserve">1. Overview</w:t>
      </w:r>
    </w:p>
    <w:p>
      <w:pPr>
        <w:spacing w:after="120"/>
      </w:pPr>
      <w:r>
        <w:rPr>
          <w:rFonts w:ascii="Arial" w:cs="Arial" w:eastAsia="Arial" w:hAnsi="Arial"/>
          <w:sz w:val="22"/>
          <w:szCs w:val="22"/>
        </w:rPr>
        <w:t xml:space="preserve">During the Field Shield TRIZ Innovation Session (February 13, 2026), the agent team generated a total of eight distinct solution concepts across two phases. Three concepts (HYDRA, Phantom Crop, Hunting Ghost) advanced to Phase 3 engineering validation and are documented in the primary Innovation Report. This appendix catalogs the five concepts that were either rejected by the challenge owner or not advanced to validation, together with the specific rationale for each decision.</w:t>
      </w:r>
    </w:p>
    <w:p>
      <w:pPr>
        <w:spacing w:after="120"/>
      </w:pPr>
      <w:r>
        <w:rPr>
          <w:rFonts w:ascii="Arial" w:cs="Arial" w:eastAsia="Arial" w:hAnsi="Arial"/>
          <w:sz w:val="22"/>
          <w:szCs w:val="22"/>
        </w:rPr>
        <w:t xml:space="preserve">Understanding why concepts were not pursued is as important as understanding why the selected concepts were chosen. These rejected concepts may contain seeds of future innovation, and their documented rationale prevents re-derivation of dead-end approaches in future sessions.</w:t>
      </w:r>
    </w:p>
    <w:p>
      <w:pPr>
        <w:pStyle w:val="Heading2"/>
        <w:spacing w:before="280" w:after="160"/>
      </w:pPr>
      <w:r>
        <w:t xml:space="preserve">1.1 Complete Concept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800"/>
        <w:gridCol w:w="1100"/>
        <w:gridCol w:w="1200"/>
        <w:gridCol w:w="1100"/>
        <w:gridCol w:w="1400"/>
        <w:gridCol w:w="2260"/>
      </w:tblGrid>
      <w:tr>
        <w:tc>
          <w:tcPr>
            <w:tcW w:type="dxa" w:w="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Concept</w:t>
            </w:r>
          </w:p>
        </w:tc>
        <w:tc>
          <w:tcPr>
            <w:tcW w:type="dxa" w:w="11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Est. Cost</w:t>
            </w:r>
          </w:p>
        </w:tc>
        <w:tc>
          <w:tcPr>
            <w:tcW w:type="dxa" w:w="11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Disposition</w:t>
            </w:r>
          </w:p>
        </w:tc>
        <w:tc>
          <w:tcPr>
            <w:tcW w:type="dxa" w:w="22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Primary Rejection Reason</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LITE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$20-30K</w:t>
            </w:r>
          </w:p>
        </w:tc>
        <w:tc>
          <w:tcPr>
            <w:tcW w:type="dxa" w:w="11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sz w:val="20"/>
                <w:szCs w:val="20"/>
              </w:rPr>
              <w:t xml:space="preserve">Rejected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Owner veto</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Incremental optimization of flawed paradigm</w:t>
            </w:r>
          </w:p>
        </w:tc>
      </w:tr>
      <w:tr>
        <w:tc>
          <w:tcPr>
            <w:tcW w:type="dxa" w:w="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2</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DRONE EXPRESS</w:t>
            </w:r>
          </w:p>
        </w:tc>
        <w:tc>
          <w:tcPr>
            <w:tcW w:type="dxa" w:w="11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Phase 1</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$8-12K</w:t>
            </w:r>
          </w:p>
        </w:tc>
        <w:tc>
          <w:tcPr>
            <w:tcW w:type="dxa" w:w="11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sz w:val="20"/>
                <w:szCs w:val="20"/>
              </w:rPr>
              <w:t xml:space="preserve">Rejected</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Owner veto</w:t>
            </w:r>
          </w:p>
        </w:tc>
        <w:tc>
          <w:tcPr>
            <w:tcW w:type="dxa" w:w="22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Relies on existing architecture concept</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ECOSYSTEM</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$30-50K</w:t>
            </w:r>
          </w:p>
        </w:tc>
        <w:tc>
          <w:tcPr>
            <w:tcW w:type="dxa" w:w="11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sz w:val="20"/>
                <w:szCs w:val="20"/>
              </w:rPr>
              <w:t xml:space="preserve">Rejected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Owner veto</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a novel invention; combines known methods</w:t>
            </w:r>
          </w:p>
        </w:tc>
      </w:tr>
      <w:tr>
        <w:tc>
          <w:tcPr>
            <w:tcW w:type="dxa" w:w="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4</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HYDRA</w:t>
            </w:r>
          </w:p>
        </w:tc>
        <w:tc>
          <w:tcPr>
            <w:tcW w:type="dxa" w:w="11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Phase 2→3</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$47K TCO</w:t>
            </w:r>
          </w:p>
        </w:tc>
        <w:tc>
          <w:tcPr>
            <w:tcW w:type="dxa" w:w="11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Recommended</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Primary</w:t>
            </w:r>
          </w:p>
        </w:tc>
        <w:tc>
          <w:tcPr>
            <w:tcW w:type="dxa" w:w="22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Phantom Crop</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2→3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$88K TCO</w:t>
            </w:r>
          </w:p>
        </w:tc>
        <w:tc>
          <w:tcPr>
            <w:tcW w:type="dxa" w:w="11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sz w:val="20"/>
                <w:szCs w:val="20"/>
              </w:rPr>
              <w:t xml:space="preserve">R&amp;D Track</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Secondary</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r>
      <w:tr>
        <w:tc>
          <w:tcPr>
            <w:tcW w:type="dxa" w:w="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6</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Hunting Ghost</w:t>
            </w:r>
          </w:p>
        </w:tc>
        <w:tc>
          <w:tcPr>
            <w:tcW w:type="dxa" w:w="11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Phase 2→3</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$188K TCO</w:t>
            </w:r>
          </w:p>
        </w:tc>
        <w:tc>
          <w:tcPr>
            <w:tcW w:type="dxa" w:w="11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sz w:val="20"/>
                <w:szCs w:val="20"/>
              </w:rPr>
              <w:t xml:space="preserve">Abandoned</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Validation fail</w:t>
            </w:r>
          </w:p>
        </w:tc>
        <w:tc>
          <w:tcPr>
            <w:tcW w:type="dxa" w:w="22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Cost, safety, rapid habituation</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Magnetic Confusion</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$9-12K</w:t>
            </w:r>
          </w:p>
        </w:tc>
        <w:tc>
          <w:tcPr>
            <w:tcW w:type="dxa" w:w="11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sz w:val="20"/>
                <w:szCs w:val="20"/>
              </w:rPr>
              <w:t xml:space="preserve">Not explored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Capacity limit</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Selected top 3 for validation; regulatory uncertainty</w:t>
            </w:r>
          </w:p>
        </w:tc>
      </w:tr>
      <w:tr>
        <w:tc>
          <w:tcPr>
            <w:tcW w:type="dxa" w:w="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8</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Economic Trap</w:t>
            </w:r>
          </w:p>
        </w:tc>
        <w:tc>
          <w:tcPr>
            <w:tcW w:type="dxa" w:w="11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Phase 2</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$10-12K</w:t>
            </w:r>
          </w:p>
        </w:tc>
        <w:tc>
          <w:tcPr>
            <w:tcW w:type="dxa" w:w="11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sz w:val="20"/>
                <w:szCs w:val="20"/>
              </w:rPr>
              <w:t xml:space="preserve">Not explored</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Capacity limit</w:t>
            </w:r>
          </w:p>
        </w:tc>
        <w:tc>
          <w:tcPr>
            <w:tcW w:type="dxa" w:w="22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Selected top 3 for validation; individual tracking unproven</w:t>
            </w:r>
          </w:p>
        </w:tc>
      </w:tr>
    </w:tbl>
    <w:p>
      <w:r>
        <w:br w:type="page"/>
      </w:r>
    </w:p>
    <w:p>
      <w:pPr>
        <w:pStyle w:val="Heading1"/>
        <w:spacing w:before="360" w:after="200"/>
      </w:pPr>
      <w:r>
        <w:t xml:space="preserve">2. Phase 1 Rejected Concepts</w:t>
      </w:r>
    </w:p>
    <w:p>
      <w:pPr>
        <w:spacing w:after="120"/>
      </w:pPr>
      <w:r>
        <w:rPr>
          <w:rFonts w:ascii="Arial" w:cs="Arial" w:eastAsia="Arial" w:hAnsi="Arial"/>
          <w:sz w:val="22"/>
          <w:szCs w:val="22"/>
        </w:rPr>
        <w:t xml:space="preserve">These three concepts were generated by the TRIZ Specialist agent during Phase 1 contradiction analysis. They were presented to the challenge owner at HITL Gate 1 alongside the critical finding that acoustic deterrents habituate in 3-4 weeks. The challenge owner explicitly directed: "Look for a new method altogether. Do not explore current document concepts. You should invent a new one." All three Phase 1 concepts were rejected because they optimized or recombined elements of the existing architecture rather than inventing a fundamentally new approach.</w:t>
      </w:r>
    </w:p>
    <w:p>
      <w:pPr>
        <w:pStyle w:val="Heading2"/>
        <w:spacing w:before="280" w:after="160"/>
      </w:pPr>
      <w:r>
        <w:t xml:space="preserve">2.1 LITE — Commodity Component Swap</w:t>
      </w:r>
    </w:p>
    <w:p>
      <w:pPr>
        <w:pStyle w:val="Heading3"/>
        <w:spacing w:before="200" w:after="120"/>
      </w:pPr>
      <w:r>
        <w:t xml:space="preserve">Description</w:t>
      </w:r>
    </w:p>
    <w:p>
      <w:pPr>
        <w:spacing w:after="120"/>
      </w:pPr>
      <w:r>
        <w:rPr>
          <w:rFonts w:ascii="Arial" w:cs="Arial" w:eastAsia="Arial" w:hAnsi="Arial"/>
          <w:sz w:val="22"/>
          <w:szCs w:val="22"/>
        </w:rPr>
        <w:t xml:space="preserve">LITE retained the existing detect-and-deter architecture but replaced all military-grade components with commercial equivalents. The Silent Sentinel Aeron LRF ($15-30K) would be replaced with a commodity thermal camera ($500-1,000). The HyperSpike HS-18 ($15-25K, 90 lbs) would be replaced with a commercial directional speaker ($500-2,000). The Quickset MPT90 PTU ($5-10K) would be replaced with a commodity pan-tilt unit ($500-1,500). A multi-modal deterrent rotation system (acoustic + light + ultrasonic) would be added to partially address habituation.</w:t>
      </w:r>
    </w:p>
    <w:p>
      <w:pPr>
        <w:pStyle w:val="Heading3"/>
        <w:spacing w:before="200" w:after="120"/>
      </w:pPr>
      <w:r>
        <w:t xml:space="preserve">TRIZ Principles Applied</w:t>
      </w:r>
    </w:p>
    <w:p>
      <w:pPr>
        <w:pStyle w:val="ListParagraph"/>
        <w:numPr>
          <w:ilvl w:val="0"/>
          <w:numId w:val="2"/>
        </w:numPr>
        <w:spacing w:after="80"/>
      </w:pPr>
      <w:r>
        <w:rPr>
          <w:rFonts w:ascii="Arial" w:cs="Arial" w:eastAsia="Arial" w:hAnsi="Arial"/>
          <w:sz w:val="22"/>
          <w:szCs w:val="22"/>
        </w:rPr>
        <w:t xml:space="preserve">Principle #27 (Cheap Short-Living Objects): Replace expensive, durable military components with cheaper commercial equivalents that can be replaced when they fail.</w:t>
      </w:r>
    </w:p>
    <w:p>
      <w:pPr>
        <w:pStyle w:val="ListParagraph"/>
        <w:numPr>
          <w:ilvl w:val="0"/>
          <w:numId w:val="2"/>
        </w:numPr>
        <w:spacing w:after="80"/>
      </w:pPr>
      <w:r>
        <w:rPr>
          <w:rFonts w:ascii="Arial" w:cs="Arial" w:eastAsia="Arial" w:hAnsi="Arial"/>
          <w:sz w:val="22"/>
          <w:szCs w:val="22"/>
        </w:rPr>
        <w:t xml:space="preserve">Principle #1 (Segmentation): Break the monolithic system into modular, independently replaceable subsystems.</w:t>
      </w:r>
    </w:p>
    <w:p>
      <w:pPr>
        <w:pStyle w:val="ListParagraph"/>
        <w:numPr>
          <w:ilvl w:val="0"/>
          <w:numId w:val="2"/>
        </w:numPr>
        <w:spacing w:after="80"/>
      </w:pPr>
      <w:r>
        <w:rPr>
          <w:rFonts w:ascii="Arial" w:cs="Arial" w:eastAsia="Arial" w:hAnsi="Arial"/>
          <w:sz w:val="22"/>
          <w:szCs w:val="22"/>
        </w:rPr>
        <w:t xml:space="preserve">Principle #15 (Dynamics): Rotate deterrent modalities (acoustic, light, ultrasonic) on a schedule to delay habituation.</w:t>
      </w:r>
    </w:p>
    <w:p>
      <w:pPr>
        <w:pStyle w:val="Heading3"/>
        <w:spacing w:before="200" w:after="120"/>
      </w:pPr>
      <w:r>
        <w:t xml:space="preserve">Estimated Cost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Estimated Cost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Commodity thermal camera</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$500-$1,000</w:t>
            </w:r>
          </w:p>
        </w:tc>
      </w:tr>
      <w:tr>
        <w:tc>
          <w:tcPr>
            <w:tcW w:type="dxa" w:w="4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Commercial directional speaker</w:t>
            </w:r>
          </w:p>
        </w:tc>
        <w:tc>
          <w:tcPr>
            <w:tcW w:type="dxa" w:w="4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$500-$2,000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Commodity PTU</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$500-$1,500</w:t>
            </w:r>
          </w:p>
        </w:tc>
      </w:tr>
      <w:tr>
        <w:tc>
          <w:tcPr>
            <w:tcW w:type="dxa" w:w="4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Multi-modal deterrent array (LED + ultrasonic)</w:t>
            </w:r>
          </w:p>
        </w:tc>
        <w:tc>
          <w:tcPr>
            <w:tcW w:type="dxa" w:w="4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$300-$800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Edge AI processor + enclosure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$300-$500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Total Estimated BOM</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$20,000-$30,000</w:t>
            </w:r>
          </w:p>
        </w:tc>
      </w:tr>
    </w:tbl>
    <w:p>
      <w:pPr>
        <w:pStyle w:val="Heading3"/>
        <w:spacing w:before="200" w:after="120"/>
      </w:pPr>
      <w:r>
        <w:t xml:space="preserve">Rejection Rationale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Factor</w:t>
            </w:r>
          </w:p>
        </w:tc>
        <w:tc>
          <w:tcPr>
            <w:tcW w:type="dxa" w:w="78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Assessment</w:t>
            </w:r>
          </w:p>
        </w:tc>
      </w:tr>
      <w:tr>
        <w:tc>
          <w:tcPr>
            <w:tcW w:type="dxa" w:w="15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bCs/>
                <w:sz w:val="20"/>
                <w:szCs w:val="20"/>
              </w:rPr>
              <w:t xml:space="preserve">Primary</w:t>
            </w:r>
          </w:p>
        </w:tc>
        <w:tc>
          <w:tcPr>
            <w:tcW w:type="dxa" w:w="78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sz w:val="20"/>
                <w:szCs w:val="20"/>
              </w:rPr>
              <w:t xml:space="preserve">Does not solve the habituation problem. Multi-modal rotation delays habituation by an estimated 30-50% (from 3-4 weeks to 5-6 weeks) but does not prevent it. After 6 weeks, effectiveness still decays to near-zero.</w:t>
            </w:r>
          </w:p>
        </w:tc>
      </w:tr>
      <w:tr>
        <w:tc>
          <w:tcPr>
            <w:tcW w:type="dxa" w:w="15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sz w:val="20"/>
                <w:szCs w:val="20"/>
              </w:rPr>
              <w:t xml:space="preserve">Secondary</w:t>
            </w:r>
          </w:p>
        </w:tc>
        <w:tc>
          <w:tcPr>
            <w:tcW w:type="dxa" w:w="78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sz w:val="20"/>
                <w:szCs w:val="20"/>
              </w:rPr>
              <w:t xml:space="preserve">Not a novel invention. Commodity component substitution is standard value engineering, not innovation. No defensible IP position — anyone can buy the same components.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Owner directive</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Challenge owner explicitly rejected: "Do not explore current document concepts. You should invent a new one." LITE is fundamentally the same architecture at a lower price point.</w:t>
            </w:r>
          </w:p>
        </w:tc>
      </w:tr>
    </w:tbl>
    <w:p>
      <w:pPr>
        <w:pStyle w:val="Heading3"/>
        <w:spacing w:before="200" w:after="120"/>
      </w:pPr>
      <w:r>
        <w:t xml:space="preserve">Residual Value</w:t>
      </w:r>
    </w:p>
    <w:p>
      <w:pPr>
        <w:spacing w:after="120"/>
      </w:pPr>
      <w:r>
        <w:rPr>
          <w:rFonts w:ascii="Arial" w:cs="Arial" w:eastAsia="Arial" w:hAnsi="Arial"/>
          <w:sz w:val="22"/>
          <w:szCs w:val="22"/>
        </w:rPr>
        <w:t xml:space="preserve">The commodity component selections identified for LITE (FLIR Lepton thermal module, Raspberry Pi + Coral TPU edge AI stack) were directly reused in the HYDRA and Phantom Crop concepts. LITE served as a useful parts catalog even though its architecture was rejected.</w:t>
      </w:r>
    </w:p>
    <w:p>
      <w:r>
        <w:br w:type="page"/>
      </w:r>
    </w:p>
    <w:p>
      <w:pPr>
        <w:pStyle w:val="Heading2"/>
        <w:spacing w:before="280" w:after="160"/>
      </w:pPr>
      <w:r>
        <w:t xml:space="preserve">2.2 DRONE EXPRESS — Drone-Centric Deterrence</w:t>
      </w:r>
    </w:p>
    <w:p>
      <w:pPr>
        <w:pStyle w:val="Heading3"/>
        <w:spacing w:before="200" w:after="120"/>
      </w:pPr>
      <w:r>
        <w:t xml:space="preserve">Description</w:t>
      </w:r>
    </w:p>
    <w:p>
      <w:pPr>
        <w:spacing w:after="120"/>
      </w:pPr>
      <w:r>
        <w:rPr>
          <w:rFonts w:ascii="Arial" w:cs="Arial" w:eastAsia="Arial" w:hAnsi="Arial"/>
          <w:sz w:val="22"/>
          <w:szCs w:val="22"/>
        </w:rPr>
        <w:t xml:space="preserve">DRONE EXPRESS inverted the current architecture by making the drone the primary deterrent rather than an auxiliary sensor platform. The concept used a minimal ground station (single thermal camera + edge AI, estimated $1,500-2,500) for detection, with the Autel EVO Max 4T V2 drone ($12-16K) serving as the active deterrent. Upon wildlife detection, the drone would autonomously launch, fly to the intrusion point, and deter animals through physical presence, rotor noise, and onboard strobe lights. The drone would be the only moving component; the ground station would be a passive sensor.</w:t>
      </w:r>
    </w:p>
    <w:p>
      <w:pPr>
        <w:pStyle w:val="Heading3"/>
        <w:spacing w:before="200" w:after="120"/>
      </w:pPr>
      <w:r>
        <w:t xml:space="preserve">TRIZ Principles Applied</w:t>
      </w:r>
    </w:p>
    <w:p>
      <w:pPr>
        <w:pStyle w:val="ListParagraph"/>
        <w:numPr>
          <w:ilvl w:val="0"/>
          <w:numId w:val="2"/>
        </w:numPr>
        <w:spacing w:after="80"/>
      </w:pPr>
      <w:r>
        <w:rPr>
          <w:rFonts w:ascii="Arial" w:cs="Arial" w:eastAsia="Arial" w:hAnsi="Arial"/>
          <w:sz w:val="22"/>
          <w:szCs w:val="22"/>
        </w:rPr>
        <w:t xml:space="preserve">Principle #13 (Other Way Around): Instead of bringing the deterrent to a fixed point, bring a mobile deterrent to wherever the animal is.</w:t>
      </w:r>
    </w:p>
    <w:p>
      <w:pPr>
        <w:pStyle w:val="ListParagraph"/>
        <w:numPr>
          <w:ilvl w:val="0"/>
          <w:numId w:val="2"/>
        </w:numPr>
        <w:spacing w:after="80"/>
      </w:pPr>
      <w:r>
        <w:rPr>
          <w:rFonts w:ascii="Arial" w:cs="Arial" w:eastAsia="Arial" w:hAnsi="Arial"/>
          <w:sz w:val="22"/>
          <w:szCs w:val="22"/>
        </w:rPr>
        <w:t xml:space="preserve">Principle #15 (Dynamics): Replace a static deterrent with a mobile one that can respond to any location in the field.</w:t>
      </w:r>
    </w:p>
    <w:p>
      <w:pPr>
        <w:pStyle w:val="ListParagraph"/>
        <w:numPr>
          <w:ilvl w:val="0"/>
          <w:numId w:val="2"/>
        </w:numPr>
        <w:spacing w:after="80"/>
      </w:pPr>
      <w:r>
        <w:rPr>
          <w:rFonts w:ascii="Arial" w:cs="Arial" w:eastAsia="Arial" w:hAnsi="Arial"/>
          <w:sz w:val="22"/>
          <w:szCs w:val="22"/>
        </w:rPr>
        <w:t xml:space="preserve">Principle #35 (Parameter Changes): Change the physical state of the deterrent from a fixed acoustic source to a mobile kinetic presence.</w:t>
      </w:r>
    </w:p>
    <w:p>
      <w:pPr>
        <w:pStyle w:val="Heading3"/>
        <w:spacing w:before="200" w:after="120"/>
      </w:pPr>
      <w:r>
        <w:t xml:space="preserve">Estimated Cost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Estimated Cost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Minimal ground station (thermal camera + AI)</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$1,500-$2,500</w:t>
            </w:r>
          </w:p>
        </w:tc>
      </w:tr>
      <w:tr>
        <w:tc>
          <w:tcPr>
            <w:tcW w:type="dxa" w:w="4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Autel EVO Max 4T V2 drone</w:t>
            </w:r>
          </w:p>
        </w:tc>
        <w:tc>
          <w:tcPr>
            <w:tcW w:type="dxa" w:w="4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$12,000-$16,000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Autonomous docking/charging station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$2,000-$4,000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Total Estimated BOM</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$8,000-$12,000 (reuses existing drone)</w:t>
            </w:r>
          </w:p>
        </w:tc>
      </w:tr>
    </w:tbl>
    <w:p>
      <w:pPr>
        <w:pStyle w:val="Heading3"/>
        <w:spacing w:before="200" w:after="120"/>
      </w:pPr>
      <w:r>
        <w:t xml:space="preserve">Rejection Rationale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Factor</w:t>
            </w:r>
          </w:p>
        </w:tc>
        <w:tc>
          <w:tcPr>
            <w:tcW w:type="dxa" w:w="78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Assessment</w:t>
            </w:r>
          </w:p>
        </w:tc>
      </w:tr>
      <w:tr>
        <w:tc>
          <w:tcPr>
            <w:tcW w:type="dxa" w:w="15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bCs/>
                <w:sz w:val="20"/>
                <w:szCs w:val="20"/>
              </w:rPr>
              <w:t xml:space="preserve">Primary</w:t>
            </w:r>
          </w:p>
        </w:tc>
        <w:tc>
          <w:tcPr>
            <w:tcW w:type="dxa" w:w="78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sz w:val="20"/>
                <w:szCs w:val="20"/>
              </w:rPr>
              <w:t xml:space="preserve">Relies on the existing Autel drone from the current architecture. The challenge owner directed that the complete architecture can be scrapped — building around the drone contradicts this directive.</w:t>
            </w:r>
          </w:p>
        </w:tc>
      </w:tr>
      <w:tr>
        <w:tc>
          <w:tcPr>
            <w:tcW w:type="dxa" w:w="15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sz w:val="20"/>
                <w:szCs w:val="20"/>
              </w:rPr>
              <w:t xml:space="preserve">Habituation</w:t>
            </w:r>
          </w:p>
        </w:tc>
        <w:tc>
          <w:tcPr>
            <w:tcW w:type="dxa" w:w="78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sz w:val="20"/>
                <w:szCs w:val="20"/>
              </w:rPr>
              <w:t xml:space="preserve">Drone presence is a novel stimulus initially, but wildlife will habituate to a predictable drone response pattern within weeks. Drones cannot make physical contact (FAA regulations, animal welfare), so the deterrent remains non-contact sensory stimulation.</w:t>
            </w:r>
          </w:p>
        </w:tc>
      </w:tr>
      <w:tr>
        <w:tc>
          <w:tcPr>
            <w:tcW w:type="dxa" w:w="15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sz w:val="20"/>
                <w:szCs w:val="20"/>
              </w:rPr>
              <w:t xml:space="preserve">Operational</w:t>
            </w:r>
          </w:p>
        </w:tc>
        <w:tc>
          <w:tcPr>
            <w:tcW w:type="dxa" w:w="78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sz w:val="20"/>
                <w:szCs w:val="20"/>
              </w:rPr>
              <w:t xml:space="preserve">Drone flight time is limited to 30-42 minutes per battery. Wildlife feeding occurs at dusk and dawn (2-3 hour windows). A single drone cannot cover both feeding windows without multiple battery swaps or a second drone, adding $12-16K.</w:t>
            </w:r>
          </w:p>
        </w:tc>
      </w:tr>
      <w:tr>
        <w:tc>
          <w:tcPr>
            <w:tcW w:type="dxa" w:w="15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sz w:val="20"/>
                <w:szCs w:val="20"/>
              </w:rPr>
              <w:t xml:space="preserve">Regulatory</w:t>
            </w:r>
          </w:p>
        </w:tc>
        <w:tc>
          <w:tcPr>
            <w:tcW w:type="dxa" w:w="78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sz w:val="20"/>
                <w:szCs w:val="20"/>
              </w:rPr>
              <w:t xml:space="preserve">FAA Part 107 requires visual line of sight for commercial drone operations. Autonomous launch-and-deter without a human operator requires Part 107 waiver or exemption. Beyond Visual Line of Sight (BVLOS) regulations remain restrictive as of 2026.</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Owner directive</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Challenge owner explicitly rejected: "Look for a new method altogether." DRONE EXPRESS repurposes existing hardware rather than inventing a new deterrent mechanism.</w:t>
            </w:r>
          </w:p>
        </w:tc>
      </w:tr>
    </w:tbl>
    <w:p>
      <w:pPr>
        <w:pStyle w:val="Heading3"/>
        <w:spacing w:before="200" w:after="120"/>
      </w:pPr>
      <w:r>
        <w:t xml:space="preserve">Residual Value</w:t>
      </w:r>
    </w:p>
    <w:p>
      <w:pPr>
        <w:spacing w:after="120"/>
      </w:pPr>
      <w:r>
        <w:rPr>
          <w:rFonts w:ascii="Arial" w:cs="Arial" w:eastAsia="Arial" w:hAnsi="Arial"/>
          <w:sz w:val="22"/>
          <w:szCs w:val="22"/>
        </w:rPr>
        <w:t xml:space="preserve">The detection-triggering-mobile-response concept from DRONE EXPRESS influenced the HYDRA design, which uses a distributed network of stationary responders instead of a single mobile one. The insight that deterrence should be delivered at the animal’s location (not broadcast from a fixed point) carried forward.</w:t>
      </w:r>
    </w:p>
    <w:p>
      <w:r>
        <w:br w:type="page"/>
      </w:r>
    </w:p>
    <w:p>
      <w:pPr>
        <w:pStyle w:val="Heading2"/>
        <w:spacing w:before="280" w:after="160"/>
      </w:pPr>
      <w:r>
        <w:t xml:space="preserve">2.3 ECOSYSTEM — Integrated Physical + Electronic Barriers</w:t>
      </w:r>
    </w:p>
    <w:p>
      <w:pPr>
        <w:pStyle w:val="Heading3"/>
        <w:spacing w:before="200" w:after="120"/>
      </w:pPr>
      <w:r>
        <w:t xml:space="preserve">Description</w:t>
      </w:r>
    </w:p>
    <w:p>
      <w:pPr>
        <w:spacing w:after="120"/>
      </w:pPr>
      <w:r>
        <w:rPr>
          <w:rFonts w:ascii="Arial" w:cs="Arial" w:eastAsia="Arial" w:hAnsi="Arial"/>
          <w:sz w:val="22"/>
          <w:szCs w:val="22"/>
        </w:rPr>
        <w:t xml:space="preserve">ECOSYSTEM combined proven physical barriers (electric fencing at $10-15K for 40 acres) with AI-triggered electronic supplements. The electric fence would serve as the primary, non-habituating physical barrier. Thermal AI cameras at field corners would detect animals approaching the fence line and trigger supplemental deterrents (directional speakers, strobe lights, ultrasonic emitters) to discourage animals from testing the fence. The AI system would log intrusion attempts and adapt supplemental deterrent patterns over time.</w:t>
      </w:r>
    </w:p>
    <w:p>
      <w:pPr>
        <w:pStyle w:val="Heading3"/>
        <w:spacing w:before="200" w:after="120"/>
      </w:pPr>
      <w:r>
        <w:t xml:space="preserve">TRIZ Principles Applied</w:t>
      </w:r>
    </w:p>
    <w:p>
      <w:pPr>
        <w:pStyle w:val="ListParagraph"/>
        <w:numPr>
          <w:ilvl w:val="0"/>
          <w:numId w:val="2"/>
        </w:numPr>
        <w:spacing w:after="80"/>
      </w:pPr>
      <w:r>
        <w:rPr>
          <w:rFonts w:ascii="Arial" w:cs="Arial" w:eastAsia="Arial" w:hAnsi="Arial"/>
          <w:sz w:val="22"/>
          <w:szCs w:val="22"/>
        </w:rPr>
        <w:t xml:space="preserve">Principle #5 (Merging): Combine physical barrier (fence) with electronic deterrence (AI-triggered stimuli) into a single integrated system.</w:t>
      </w:r>
    </w:p>
    <w:p>
      <w:pPr>
        <w:pStyle w:val="ListParagraph"/>
        <w:numPr>
          <w:ilvl w:val="0"/>
          <w:numId w:val="2"/>
        </w:numPr>
        <w:spacing w:after="80"/>
      </w:pPr>
      <w:r>
        <w:rPr>
          <w:rFonts w:ascii="Arial" w:cs="Arial" w:eastAsia="Arial" w:hAnsi="Arial"/>
          <w:sz w:val="22"/>
          <w:szCs w:val="22"/>
        </w:rPr>
        <w:t xml:space="preserve">Principle #40 (Composite Materials): Create a multi-layer defense using different deterrent modalities at different ranges.</w:t>
      </w:r>
    </w:p>
    <w:p>
      <w:pPr>
        <w:pStyle w:val="ListParagraph"/>
        <w:numPr>
          <w:ilvl w:val="0"/>
          <w:numId w:val="2"/>
        </w:numPr>
        <w:spacing w:after="80"/>
      </w:pPr>
      <w:r>
        <w:rPr>
          <w:rFonts w:ascii="Arial" w:cs="Arial" w:eastAsia="Arial" w:hAnsi="Arial"/>
          <w:sz w:val="22"/>
          <w:szCs w:val="22"/>
        </w:rPr>
        <w:t xml:space="preserve">Principle #22 (Blessing in Disguise): Use the fence as both physical barrier AND sensor (detect fence contact/cutting attempts via vibration sensors).</w:t>
      </w:r>
    </w:p>
    <w:p>
      <w:pPr>
        <w:pStyle w:val="Heading3"/>
        <w:spacing w:before="200" w:after="120"/>
      </w:pPr>
      <w:r>
        <w:t xml:space="preserve">Estimated Cost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Estimated Cost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Electric fencing (40-acre perimeter)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$10,000-$15,000</w:t>
            </w:r>
          </w:p>
        </w:tc>
      </w:tr>
      <w:tr>
        <w:tc>
          <w:tcPr>
            <w:tcW w:type="dxa" w:w="4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4x thermal AI camera nodes</w:t>
            </w:r>
          </w:p>
        </w:tc>
        <w:tc>
          <w:tcPr>
            <w:tcW w:type="dxa" w:w="4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$2,000-$3,000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Supplemental deterrent array (speakers + strobes + ultrasonic)</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$3,000-$5,000</w:t>
            </w:r>
          </w:p>
        </w:tc>
      </w:tr>
      <w:tr>
        <w:tc>
          <w:tcPr>
            <w:tcW w:type="dxa" w:w="4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Central controller + connectivity</w:t>
            </w:r>
          </w:p>
        </w:tc>
        <w:tc>
          <w:tcPr>
            <w:tcW w:type="dxa" w:w="4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$500-$1,000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Installation labor (fencing + electronics)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$8,000-$15,000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Total Estimated Cost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$30,000-$50,000</w:t>
            </w:r>
          </w:p>
        </w:tc>
      </w:tr>
    </w:tbl>
    <w:p>
      <w:pPr>
        <w:pStyle w:val="Heading3"/>
        <w:spacing w:before="200" w:after="120"/>
      </w:pPr>
      <w:r>
        <w:t xml:space="preserve">Rejection Rationale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Factor</w:t>
            </w:r>
          </w:p>
        </w:tc>
        <w:tc>
          <w:tcPr>
            <w:tcW w:type="dxa" w:w="78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Assessment</w:t>
            </w:r>
          </w:p>
        </w:tc>
      </w:tr>
      <w:tr>
        <w:tc>
          <w:tcPr>
            <w:tcW w:type="dxa" w:w="15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bCs/>
                <w:sz w:val="20"/>
                <w:szCs w:val="20"/>
              </w:rPr>
              <w:t xml:space="preserve">Primary</w:t>
            </w:r>
          </w:p>
        </w:tc>
        <w:tc>
          <w:tcPr>
            <w:tcW w:type="dxa" w:w="78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sz w:val="20"/>
                <w:szCs w:val="20"/>
              </w:rPr>
              <w:t xml:space="preserve">Not a novel invention. Electric fencing is the existing gold-standard for wildlife exclusion. Adding AI cameras to an electric fence is an incremental enhancement, not a new paradigm. No defensible patent position.</w:t>
            </w:r>
          </w:p>
        </w:tc>
      </w:tr>
      <w:tr>
        <w:tc>
          <w:tcPr>
            <w:tcW w:type="dxa" w:w="15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sz w:val="20"/>
                <w:szCs w:val="20"/>
              </w:rPr>
              <w:t xml:space="preserve">Cost</w:t>
            </w:r>
          </w:p>
        </w:tc>
        <w:tc>
          <w:tcPr>
            <w:tcW w:type="dxa" w:w="78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sz w:val="20"/>
                <w:szCs w:val="20"/>
              </w:rPr>
              <w:t xml:space="preserve">At $30-50K total, ECOSYSTEM approaches the cost of the current Field Shield architecture ($50-80K) while offering less capability (no detection at range, no drone, no acoustic hailing). The cost advantage over the existing design is marginal.</w:t>
            </w:r>
          </w:p>
        </w:tc>
      </w:tr>
      <w:tr>
        <w:tc>
          <w:tcPr>
            <w:tcW w:type="dxa" w:w="15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sz w:val="20"/>
                <w:szCs w:val="20"/>
              </w:rPr>
              <w:t xml:space="preserve">Operational</w:t>
            </w:r>
          </w:p>
        </w:tc>
        <w:tc>
          <w:tcPr>
            <w:tcW w:type="dxa" w:w="78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sz w:val="20"/>
                <w:szCs w:val="20"/>
              </w:rPr>
              <w:t xml:space="preserve">Electric fencing on commercial irrigated farmland conflicts with irrigation equipment access, field maintenance vehicles, and seasonal crop operations. Fencing must be taken down and re-erected around planting and harvest cycles, adding $2-5K annual labor cost.</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Owner directive</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Challenge owner directed: "You should invent a new one." ECOSYSTEM assembles existing products (electric fence + AI camera) rather than inventing a new deterrent mechanism.</w:t>
            </w:r>
          </w:p>
        </w:tc>
      </w:tr>
    </w:tbl>
    <w:p>
      <w:pPr>
        <w:pStyle w:val="Heading3"/>
        <w:spacing w:before="200" w:after="120"/>
      </w:pPr>
      <w:r>
        <w:t xml:space="preserve">Residual Value</w:t>
      </w:r>
    </w:p>
    <w:p>
      <w:pPr>
        <w:spacing w:after="120"/>
      </w:pPr>
      <w:r>
        <w:rPr>
          <w:rFonts w:ascii="Arial" w:cs="Arial" w:eastAsia="Arial" w:hAnsi="Arial"/>
          <w:sz w:val="22"/>
          <w:szCs w:val="22"/>
        </w:rPr>
        <w:t xml:space="preserve">The AgTech Domain Expert’s research confirming that electric fencing is the only proven long-term deterrent ($10-15K, documented multi-year effectiveness) informed the HYDRA design. HYDRA achieves a similar physical-consequence deterrence mechanism (water contact) without the operational burden of physical fencing on irrigated cropland.</w:t>
      </w:r>
    </w:p>
    <w:p>
      <w:r>
        <w:br w:type="page"/>
      </w:r>
    </w:p>
    <w:p>
      <w:pPr>
        <w:pStyle w:val="Heading1"/>
        <w:spacing w:before="360" w:after="200"/>
      </w:pPr>
      <w:r>
        <w:t xml:space="preserve">3. Phase 2 Unexplored Concepts</w:t>
      </w:r>
    </w:p>
    <w:p>
      <w:pPr>
        <w:spacing w:after="120"/>
      </w:pPr>
      <w:r>
        <w:rPr>
          <w:rFonts w:ascii="Arial" w:cs="Arial" w:eastAsia="Arial" w:hAnsi="Arial"/>
          <w:sz w:val="22"/>
          <w:szCs w:val="22"/>
        </w:rPr>
        <w:t xml:space="preserve">These two concepts were generated during Phase 2 alongside HYDRA, Phantom Crop, and Hunting Ghost. They were presented to the challenge owner but were not advanced to Phase 3 engineering validation due to session capacity constraints (three concepts were validated in parallel). They remain as potential future investigation tracks.</w:t>
      </w:r>
    </w:p>
    <w:p>
      <w:pPr>
        <w:pStyle w:val="Heading2"/>
        <w:spacing w:before="280" w:after="160"/>
      </w:pPr>
      <w:r>
        <w:t xml:space="preserve">3.1 Magnetic Confusion — Electromagnetic Landscape Disruption</w:t>
      </w:r>
    </w:p>
    <w:p>
      <w:pPr>
        <w:spacing w:after="120"/>
      </w:pPr>
      <w:r>
        <w:rPr>
          <w:rFonts w:ascii="Arial" w:cs="Arial" w:eastAsia="Arial" w:hAnsi="Arial"/>
          <w:i/>
          <w:iCs/>
          <w:color w:val="666666"/>
          <w:sz w:val="22"/>
          <w:szCs w:val="22"/>
        </w:rPr>
        <w:t xml:space="preserve">TRIZ Principles: #28 Mechanics Substitution, #35 Parameter Changes</w:t>
      </w:r>
    </w:p>
    <w:p>
      <w:pPr>
        <w:pStyle w:val="Heading3"/>
        <w:spacing w:before="200" w:after="120"/>
      </w:pPr>
      <w:r>
        <w:t xml:space="preserve">Description</w:t>
      </w:r>
    </w:p>
    <w:p>
      <w:pPr>
        <w:spacing w:after="120"/>
      </w:pPr>
      <w:r>
        <w:rPr>
          <w:rFonts w:ascii="Arial" w:cs="Arial" w:eastAsia="Arial" w:hAnsi="Arial"/>
          <w:sz w:val="22"/>
          <w:szCs w:val="22"/>
        </w:rPr>
        <w:t xml:space="preserve">Magnetic Confusion exploits magnetoreception — the biological ability of many animals to sense the Earth’s magnetic field for navigation and spatial orientation. Research has documented that deer, elk, cattle, and wild boar show statistically significant alignment preferences along the north-south magnetic axis during grazing and resting. The concept deploys buried copper coil arrays powered by mains electricity to generate localized magnetic field disruptions at field boundaries, creating zones of spatial disorientation that animals find aversive.</w:t>
      </w:r>
    </w:p>
    <w:p>
      <w:pPr>
        <w:spacing w:after="120"/>
      </w:pPr>
      <w:r>
        <w:rPr>
          <w:rFonts w:ascii="Arial" w:cs="Arial" w:eastAsia="Arial" w:hAnsi="Arial"/>
          <w:sz w:val="22"/>
          <w:szCs w:val="22"/>
        </w:rPr>
        <w:t xml:space="preserve">Each coil array would generate a localized magnetic anomaly of 5-50 microtesla (sufficient to override the Earth’s ambient field of approximately 25-65 microtesla). The arrays would be arranged in overlapping patterns at field perimeters, with AI-controlled activation to conserve power and create unpredictable field patterns. Animals entering the disruption zone would experience navigational confusion similar to the disorientation experienced near large ferrous structures or geological magnetic anomalies.</w:t>
      </w:r>
    </w:p>
    <w:p>
      <w:pPr>
        <w:pStyle w:val="Heading3"/>
        <w:spacing w:before="200" w:after="120"/>
      </w:pPr>
      <w:r>
        <w:t xml:space="preserve">Anti-Habituation Hypothesis</w:t>
      </w:r>
    </w:p>
    <w:p>
      <w:pPr>
        <w:spacing w:after="120"/>
      </w:pPr>
      <w:r>
        <w:rPr>
          <w:rFonts w:ascii="Arial" w:cs="Arial" w:eastAsia="Arial" w:hAnsi="Arial"/>
          <w:sz w:val="22"/>
          <w:szCs w:val="22"/>
        </w:rPr>
        <w:t xml:space="preserve">The core hypothesis is that animals cannot habituate to magnetoreceptive disruption because their navigation system is objectively impaired, not merely threatened. Unlike acoustic or visual deterrents (which animals learn to classify as non-dangerous), magnetic disruption impairs a sensory modality that animals rely on for wayfinding. There is no evolutionary precedent for habituating to localized magnetic chaos because such phenomena do not occur naturally at field-boundary scales. The animal does not need to be frightened; it simply finds the zone unpleasant and avoids it.</w:t>
      </w:r>
    </w:p>
    <w:p>
      <w:pPr>
        <w:pStyle w:val="Heading3"/>
        <w:spacing w:before="200" w:after="120"/>
      </w:pPr>
      <w:r>
        <w:t xml:space="preserve">Estimated Cost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Estimated Cost (40 Acres)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Buried copper coil arrays (perimeter, ~5,280 linear feet)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$4,000-$6,000</w:t>
            </w:r>
          </w:p>
        </w:tc>
      </w:tr>
      <w:tr>
        <w:tc>
          <w:tcPr>
            <w:tcW w:type="dxa" w:w="4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Power driver circuits (variable frequency, mains-powered)</w:t>
            </w:r>
          </w:p>
        </w:tc>
        <w:tc>
          <w:tcPr>
            <w:tcW w:type="dxa" w:w="4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$1,500-$2,500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 controller (field pattern management, activation scheduling)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$500-$1,000</w:t>
            </w:r>
          </w:p>
        </w:tc>
      </w:tr>
      <w:tr>
        <w:tc>
          <w:tcPr>
            <w:tcW w:type="dxa" w:w="4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Trenching/burial labor (1-2 foot depth, perimeter only)</w:t>
            </w:r>
          </w:p>
        </w:tc>
        <w:tc>
          <w:tcPr>
            <w:tcW w:type="dxa" w:w="4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$3,000-$5,000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Thermal detection cameras (2-4 nodes for activation triggering)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$800-$1,200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Total Estimated Cost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$9,000-$12,000</w:t>
            </w:r>
          </w:p>
        </w:tc>
      </w:tr>
    </w:tbl>
    <w:p>
      <w:pPr>
        <w:pStyle w:val="Heading3"/>
        <w:spacing w:before="200" w:after="120"/>
      </w:pPr>
      <w:r>
        <w:t xml:space="preserve">Reasons Not Advanced to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Factor</w:t>
            </w:r>
          </w:p>
        </w:tc>
        <w:tc>
          <w:tcPr>
            <w:tcW w:type="dxa" w:w="78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Assessment</w:t>
            </w:r>
          </w:p>
        </w:tc>
      </w:tr>
      <w:tr>
        <w:tc>
          <w:tcPr>
            <w:tcW w:type="dxa" w:w="15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sz w:val="20"/>
                <w:szCs w:val="20"/>
              </w:rPr>
              <w:t xml:space="preserve">Capacity limit</w:t>
            </w:r>
          </w:p>
        </w:tc>
        <w:tc>
          <w:tcPr>
            <w:tcW w:type="dxa" w:w="78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sz w:val="20"/>
                <w:szCs w:val="20"/>
              </w:rPr>
              <w:t xml:space="preserve">Three concepts (HYDRA, Phantom Crop, Hunting Ghost) were selected for parallel Phase 3 validation based on diversity of approach and perceived feasibility. Session bandwidth limited validation to three simultaneous tracks.</w:t>
            </w:r>
          </w:p>
        </w:tc>
      </w:tr>
      <w:tr>
        <w:tc>
          <w:tcPr>
            <w:tcW w:type="dxa" w:w="15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bCs/>
                <w:sz w:val="20"/>
                <w:szCs w:val="20"/>
              </w:rPr>
              <w:t xml:space="preserve">Regulatory uncertainty</w:t>
            </w:r>
          </w:p>
        </w:tc>
        <w:tc>
          <w:tcPr>
            <w:tcW w:type="dxa" w:w="78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sz w:val="20"/>
                <w:szCs w:val="20"/>
              </w:rPr>
              <w:t xml:space="preserve">Generating artificial electromagnetic fields in agricultural settings has unclear regulatory status. FCC Part 15 limits unintentional radiators; intentional EMF generation near food crops may trigger EPA, USDA, or state agricultural department review. No precedent exists for regulatory approval of agricultural EMF deterrence systems.</w:t>
            </w:r>
          </w:p>
        </w:tc>
      </w:tr>
      <w:tr>
        <w:tc>
          <w:tcPr>
            <w:tcW w:type="dxa" w:w="15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sz w:val="20"/>
                <w:szCs w:val="20"/>
              </w:rPr>
              <w:t xml:space="preserve">Scientific uncertainty</w:t>
            </w:r>
          </w:p>
        </w:tc>
        <w:tc>
          <w:tcPr>
            <w:tcW w:type="dxa" w:w="78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sz w:val="20"/>
                <w:szCs w:val="20"/>
              </w:rPr>
              <w:t xml:space="preserve">While magnetoreception in ungulates is documented (Begall et al., 2008, PNAS), the behavioral response to artificial magnetic disruption is not well characterized. It is unclear whether deer would experience magnetic anomalies as aversive or merely novel. No controlled studies have tested magnetic disruption as a wildlife deterrent.</w:t>
            </w:r>
          </w:p>
        </w:tc>
      </w:tr>
      <w:tr>
        <w:tc>
          <w:tcPr>
            <w:tcW w:type="dxa" w:w="15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sz w:val="20"/>
                <w:szCs w:val="20"/>
              </w:rPr>
              <w:t xml:space="preserve">Human safety</w:t>
            </w:r>
          </w:p>
        </w:tc>
        <w:tc>
          <w:tcPr>
            <w:tcW w:type="dxa" w:w="78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sz w:val="20"/>
                <w:szCs w:val="20"/>
              </w:rPr>
              <w:t xml:space="preserve">Chronic EMF exposure limits for agricultural workers (OSHA, ICNIRP guidelines) would need to be verified. Magnetic fields of 5-50 microtesla are well below occupational exposure limits (~100 microtesla for continuous exposure), but regulatory review would still be required for a commercial product.</w:t>
            </w:r>
          </w:p>
        </w:tc>
      </w:tr>
      <w:tr>
        <w:tc>
          <w:tcPr>
            <w:tcW w:type="dxa" w:w="15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sz w:val="20"/>
                <w:szCs w:val="20"/>
              </w:rPr>
              <w:t xml:space="preserve">Infrastructure impact</w:t>
            </w:r>
          </w:p>
        </w:tc>
        <w:tc>
          <w:tcPr>
            <w:tcW w:type="dxa" w:w="78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sz w:val="20"/>
                <w:szCs w:val="20"/>
              </w:rPr>
              <w:t xml:space="preserve">Buried coil arrays could interfere with GPS-guided agricultural equipment, soil moisture sensors, and precision agriculture instrumentation. Electromagnetic compatibility testing would be required before deployment on any farm using precision agriculture technology.</w:t>
            </w:r>
          </w:p>
        </w:tc>
      </w:tr>
    </w:tbl>
    <w:p>
      <w:pPr>
        <w:pStyle w:val="Heading3"/>
        <w:spacing w:before="200" w:after="120"/>
      </w:pPr>
      <w:r>
        <w:t xml:space="preserve">Future Investigation Potential</w:t>
      </w:r>
    </w:p>
    <w:p>
      <w:pPr>
        <w:spacing w:after="120"/>
      </w:pPr>
      <w:r>
        <w:rPr>
          <w:rFonts w:ascii="Arial" w:cs="Arial" w:eastAsia="Arial" w:hAnsi="Arial"/>
          <w:sz w:val="22"/>
          <w:szCs w:val="22"/>
        </w:rPr>
        <w:t xml:space="preserve">Magnetic Confusion has the strongest theoretical anti-habituation argument of any concept in this session (animals cannot learn that magnetic disruption is safe because their navigation is objectively impaired). If the scientific hypothesis can be validated through controlled animal behavior studies, and if regulatory clearance can be obtained, this concept could be a breakthrough technology. Recommended next step: partner with a university animal behavior lab to conduct controlled magnetoreception disruption trials on captive deer before investing in engineering development.</w:t>
      </w:r>
    </w:p>
    <w:p>
      <w:pPr>
        <w:spacing w:after="120"/>
      </w:pPr>
      <w:r>
        <w:rPr>
          <w:rFonts w:ascii="Arial" w:cs="Arial" w:eastAsia="Arial" w:hAnsi="Arial"/>
          <w:b/>
          <w:bCs/>
          <w:sz w:val="22"/>
          <w:szCs w:val="22"/>
        </w:rPr>
        <w:t xml:space="preserve">IP Assessment: HIGH novelty. No prior art found for electromagnetic wildlife deterrence in agricultural settings. If validated, this would be a strong patent with broad claims.</w:t>
      </w:r>
    </w:p>
    <w:p>
      <w:r>
        <w:br w:type="page"/>
      </w:r>
    </w:p>
    <w:p>
      <w:pPr>
        <w:pStyle w:val="Heading2"/>
        <w:spacing w:before="280" w:after="160"/>
      </w:pPr>
      <w:r>
        <w:t xml:space="preserve">3.2 Economic Trap — Behavioral Cost Escalation</w:t>
      </w:r>
    </w:p>
    <w:p>
      <w:pPr>
        <w:spacing w:after="120"/>
      </w:pPr>
      <w:r>
        <w:rPr>
          <w:rFonts w:ascii="Arial" w:cs="Arial" w:eastAsia="Arial" w:hAnsi="Arial"/>
          <w:i/>
          <w:iCs/>
          <w:color w:val="666666"/>
          <w:sz w:val="22"/>
          <w:szCs w:val="22"/>
        </w:rPr>
        <w:t xml:space="preserve">TRIZ Principles: #22 Blessing in Disguise, #40 Composite Materials</w:t>
      </w:r>
    </w:p>
    <w:p>
      <w:pPr>
        <w:pStyle w:val="Heading3"/>
        <w:spacing w:before="200" w:after="120"/>
      </w:pPr>
      <w:r>
        <w:t xml:space="preserve">Description</w:t>
      </w:r>
    </w:p>
    <w:p>
      <w:pPr>
        <w:spacing w:after="120"/>
      </w:pPr>
      <w:r>
        <w:rPr>
          <w:rFonts w:ascii="Arial" w:cs="Arial" w:eastAsia="Arial" w:hAnsi="Arial"/>
          <w:sz w:val="22"/>
          <w:szCs w:val="22"/>
        </w:rPr>
        <w:t xml:space="preserve">Economic Trap is based on optimal foraging theory (OFT), a well-established framework in behavioral ecology that predicts animals will abandon food sources when the energy cost of obtaining food exceeds the caloric value of the food obtained. The concept creates a progressive energy tax on field access: each time an animal enters the field, the deterrent response is more intense, covers a wider area, and requires more effort to evade. Animals self-select out of the field because the cost-benefit ratio becomes unfavorable.</w:t>
      </w:r>
    </w:p>
    <w:p>
      <w:pPr>
        <w:spacing w:after="120"/>
      </w:pPr>
      <w:r>
        <w:rPr>
          <w:rFonts w:ascii="Arial" w:cs="Arial" w:eastAsia="Arial" w:hAnsi="Arial"/>
          <w:sz w:val="22"/>
          <w:szCs w:val="22"/>
        </w:rPr>
        <w:t xml:space="preserve">The system uses thermal AI cameras (same detection stack as HYDRA) to track individual animals by size, thermal signature, and gait pattern. Each tracked individual has a profile that records visit history, entry points, and response to previous deterrent events. Upon detection, the system deploys an escalating sequence of deterrents tailored to that specific animal: first visit triggers a water spray; second visit triggers water spray plus inflatable obstacle deployment; third visit triggers water spray plus inflatable obstacles plus aerosolized capsaicin; and so on. The key innovation is individual animal tracking and personalized escalation.</w:t>
      </w:r>
    </w:p>
    <w:p>
      <w:pPr>
        <w:pStyle w:val="Heading3"/>
        <w:spacing w:before="200" w:after="120"/>
      </w:pPr>
      <w:r>
        <w:t xml:space="preserve">Anti-Habituation Hypothesis</w:t>
      </w:r>
    </w:p>
    <w:p>
      <w:pPr>
        <w:spacing w:after="120"/>
      </w:pPr>
      <w:r>
        <w:rPr>
          <w:rFonts w:ascii="Arial" w:cs="Arial" w:eastAsia="Arial" w:hAnsi="Arial"/>
          <w:sz w:val="22"/>
          <w:szCs w:val="22"/>
        </w:rPr>
        <w:t xml:space="preserve">OFT predicts that animals optimize foraging decisions based on energy budgets. If the energy cost of entering a field increases unpredictably with each visit, the animal’s optimal strategy shifts to foraging elsewhere. This is not habituation resistance per se — it is a fundamentally different mechanism. The animal may learn exactly what the deterrent system does, but its rational response is still to avoid the field because the energy economics are unfavorable. Habituation (learning that a stimulus is harmless) is irrelevant because the stimulus is not harmless — it genuinely costs energy to evade.</w:t>
      </w:r>
    </w:p>
    <w:p>
      <w:pPr>
        <w:pStyle w:val="Heading3"/>
        <w:spacing w:before="200" w:after="120"/>
      </w:pPr>
      <w:r>
        <w:t xml:space="preserve">Estimated Cost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Estimated Cost (40 Acres)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Thermal AI detection network (4-6 camera nodes)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$2,000-$3,600</w:t>
            </w:r>
          </w:p>
        </w:tc>
      </w:tr>
      <w:tr>
        <w:tc>
          <w:tcPr>
            <w:tcW w:type="dxa" w:w="4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Water spray system (solenoid valves on irrigation, 8-12 zones)</w:t>
            </w:r>
          </w:p>
        </w:tc>
        <w:tc>
          <w:tcPr>
            <w:tcW w:type="dxa" w:w="4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$400-$600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Inflatable obstacle deployers (pneumatic, 6-8 units)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$3,000-$4,000</w:t>
            </w:r>
          </w:p>
        </w:tc>
      </w:tr>
      <w:tr>
        <w:tc>
          <w:tcPr>
            <w:tcW w:type="dxa" w:w="4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Capsaicin injection system (metering pump + reservoir)</w:t>
            </w:r>
          </w:p>
        </w:tc>
        <w:tc>
          <w:tcPr>
            <w:tcW w:type="dxa" w:w="4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$500-$800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Central AI controller (individual animal tracking + profile DB)</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$500-$1,000</w:t>
            </w:r>
          </w:p>
        </w:tc>
      </w:tr>
      <w:tr>
        <w:tc>
          <w:tcPr>
            <w:tcW w:type="dxa" w:w="4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Installation labor</w:t>
            </w:r>
          </w:p>
        </w:tc>
        <w:tc>
          <w:tcPr>
            <w:tcW w:type="dxa" w:w="4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$3,000-$5,000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Total Estimated Cost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$10,000-$12,000</w:t>
            </w:r>
          </w:p>
        </w:tc>
      </w:tr>
    </w:tbl>
    <w:p>
      <w:pPr>
        <w:pStyle w:val="Heading3"/>
        <w:spacing w:before="200" w:after="120"/>
      </w:pPr>
      <w:r>
        <w:t xml:space="preserve">Reasons Not Advanced to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Factor</w:t>
            </w:r>
          </w:p>
        </w:tc>
        <w:tc>
          <w:tcPr>
            <w:tcW w:type="dxa" w:w="78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Assessment</w:t>
            </w:r>
          </w:p>
        </w:tc>
      </w:tr>
      <w:tr>
        <w:tc>
          <w:tcPr>
            <w:tcW w:type="dxa" w:w="15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sz w:val="20"/>
                <w:szCs w:val="20"/>
              </w:rPr>
              <w:t xml:space="preserve">Capacity limit</w:t>
            </w:r>
          </w:p>
        </w:tc>
        <w:tc>
          <w:tcPr>
            <w:tcW w:type="dxa" w:w="78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sz w:val="20"/>
                <w:szCs w:val="20"/>
              </w:rPr>
              <w:t xml:space="preserve">Three concepts selected for parallel Phase 3 validation. Economic Trap was ranked 4th and did not make the cut for simultaneous engineering validation.</w:t>
            </w:r>
          </w:p>
        </w:tc>
      </w:tr>
      <w:tr>
        <w:tc>
          <w:tcPr>
            <w:tcW w:type="dxa" w:w="15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bCs/>
                <w:sz w:val="20"/>
                <w:szCs w:val="20"/>
              </w:rPr>
              <w:t xml:space="preserve">Individual tracking complexity</w:t>
            </w:r>
          </w:p>
        </w:tc>
        <w:tc>
          <w:tcPr>
            <w:tcW w:type="dxa" w:w="78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sz w:val="20"/>
                <w:szCs w:val="20"/>
              </w:rPr>
              <w:t xml:space="preserve">Tracking individual animals by thermal signature and gait is a computer vision research problem, not a solved engineering problem. Current wildlife detection models classify species, not individuals. Individual re-identification across visits (days/weeks apart, different lighting, different approach angles) requires a purpose-built ML model with no existing training dataset. Development timeline: 12-24 months of ML research before prototype.</w:t>
            </w:r>
          </w:p>
        </w:tc>
      </w:tr>
      <w:tr>
        <w:tc>
          <w:tcPr>
            <w:tcW w:type="dxa" w:w="15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sz w:val="20"/>
                <w:szCs w:val="20"/>
              </w:rPr>
              <w:t xml:space="preserve">Inflatable obstacles</w:t>
            </w:r>
          </w:p>
        </w:tc>
        <w:tc>
          <w:tcPr>
            <w:tcW w:type="dxa" w:w="78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sz w:val="20"/>
                <w:szCs w:val="20"/>
              </w:rPr>
              <w:t xml:space="preserve">Pneumatic inflatable deployers in agricultural environments face severe durability challenges: UV degradation, rodent damage to inflatables, soil contamination of pneumatic valves, frost damage to air lines. MTBF in outdoor agricultural deployment is estimated at 3-6 months without significant weatherproofing investment.</w:t>
            </w:r>
          </w:p>
        </w:tc>
      </w:tr>
      <w:tr>
        <w:tc>
          <w:tcPr>
            <w:tcW w:type="dxa" w:w="15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sz w:val="20"/>
                <w:szCs w:val="20"/>
              </w:rPr>
              <w:t xml:space="preserve">Cascading complexity</w:t>
            </w:r>
          </w:p>
        </w:tc>
        <w:tc>
          <w:tcPr>
            <w:tcW w:type="dxa" w:w="78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sz w:val="20"/>
                <w:szCs w:val="20"/>
              </w:rPr>
              <w:t xml:space="preserve">The system requires four distinct deterrent subsystems (water, inflatables, chemical, AI tracking) to work in coordinated sequence. Each subsystem adds failure modes. The total system reliability is the product of individual subsystem reliabilities — with four subsystems at 90% each, total system reliability drops to 65%.</w:t>
            </w:r>
          </w:p>
        </w:tc>
      </w:tr>
      <w:tr>
        <w:tc>
          <w:tcPr>
            <w:tcW w:type="dxa" w:w="15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sz w:val="20"/>
                <w:szCs w:val="20"/>
              </w:rPr>
              <w:t xml:space="preserve">OFT applicability</w:t>
            </w:r>
          </w:p>
        </w:tc>
        <w:tc>
          <w:tcPr>
            <w:tcW w:type="dxa" w:w="78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sz w:val="20"/>
                <w:szCs w:val="20"/>
              </w:rPr>
              <w:t xml:space="preserve">Optimal foraging theory is well validated for foraging decisions between patches (e.g., which meadow to graze). Its applicability to deterrent escalation is theoretical — no peer-reviewed study has tested whether artificial energy-cost escalation drives patch abandonment in ungulates. The animal may simply learn to avoid the deterrents while still accessing the crop.</w:t>
            </w:r>
          </w:p>
        </w:tc>
      </w:tr>
    </w:tbl>
    <w:p>
      <w:pPr>
        <w:pStyle w:val="Heading3"/>
        <w:spacing w:before="200" w:after="120"/>
      </w:pPr>
      <w:r>
        <w:t xml:space="preserve">Future Investigation Potential</w:t>
      </w:r>
    </w:p>
    <w:p>
      <w:pPr>
        <w:spacing w:after="120"/>
      </w:pPr>
      <w:r>
        <w:rPr>
          <w:rFonts w:ascii="Arial" w:cs="Arial" w:eastAsia="Arial" w:hAnsi="Arial"/>
          <w:sz w:val="22"/>
          <w:szCs w:val="22"/>
        </w:rPr>
        <w:t xml:space="preserve">Economic Trap has the most sophisticated behavioral science foundation of any concept in this session. If individual animal tracking can be solved (potentially through ear-tag RFID or GPS collar integration rather than computer vision), the personalized escalation approach could be extremely effective. The concept could also be simplified by removing individual tracking and applying escalating deterrence at the zone level rather than the individual level — this is essentially what HYDRA already does with its randomized pressure escalation.</w:t>
      </w:r>
    </w:p>
    <w:p>
      <w:pPr>
        <w:spacing w:after="120"/>
      </w:pPr>
      <w:r>
        <w:rPr>
          <w:rFonts w:ascii="Arial" w:cs="Arial" w:eastAsia="Arial" w:hAnsi="Arial"/>
          <w:b/>
          <w:bCs/>
          <w:sz w:val="22"/>
          <w:szCs w:val="22"/>
        </w:rPr>
        <w:t xml:space="preserve">IP Assessment: HIGH novelty for the individual-tracking-plus-personalized-response claim. Even without individual tracking, the zone-based escalation concept has moderate patent value. The OFT-based framework for wildlife deterrence design is itself a novel contribution to the field.</w:t>
      </w:r>
    </w:p>
    <w:p>
      <w:r>
        <w:br w:type="page"/>
      </w:r>
    </w:p>
    <w:p>
      <w:pPr>
        <w:pStyle w:val="Heading1"/>
        <w:spacing w:before="360" w:after="200"/>
      </w:pPr>
      <w:r>
        <w:t xml:space="preserve">4. Cross-Concept Analysis</w:t>
      </w:r>
    </w:p>
    <w:p>
      <w:pPr>
        <w:pStyle w:val="Heading2"/>
        <w:spacing w:before="280" w:after="160"/>
      </w:pPr>
      <w:r>
        <w:t xml:space="preserve">4.1 Common Failure Patterns</w:t>
      </w:r>
    </w:p>
    <w:p>
      <w:pPr>
        <w:spacing w:after="120"/>
      </w:pPr>
      <w:r>
        <w:rPr>
          <w:rFonts w:ascii="Arial" w:cs="Arial" w:eastAsia="Arial" w:hAnsi="Arial"/>
          <w:sz w:val="22"/>
          <w:szCs w:val="22"/>
        </w:rPr>
        <w:t xml:space="preserve">Three failure patterns recur across the rejected concepts:</w:t>
      </w:r>
    </w:p>
    <w:p>
      <w:pPr>
        <w:pStyle w:val="ListParagraph"/>
        <w:numPr>
          <w:ilvl w:val="0"/>
          <w:numId w:val="2"/>
        </w:numPr>
        <w:spacing w:after="80"/>
      </w:pPr>
      <w:r>
        <w:rPr>
          <w:rFonts w:ascii="Arial" w:cs="Arial" w:eastAsia="Arial" w:hAnsi="Arial"/>
          <w:sz w:val="22"/>
          <w:szCs w:val="22"/>
        </w:rPr>
        <w:t xml:space="preserve">Habituation immunity was assumed but not validated. LITE, DRONE EXPRESS, and ECOSYSTEM all underestimated the speed and completeness of wildlife habituation to non-contact deterrents. Only concepts with physical-consequence mechanisms (HYDRA water jets, ECOSYSTEM electric fence) addressed habituation credibly.</w:t>
      </w:r>
    </w:p>
    <w:p>
      <w:pPr>
        <w:pStyle w:val="ListParagraph"/>
        <w:numPr>
          <w:ilvl w:val="0"/>
          <w:numId w:val="2"/>
        </w:numPr>
        <w:spacing w:after="80"/>
      </w:pPr>
      <w:r>
        <w:rPr>
          <w:rFonts w:ascii="Arial" w:cs="Arial" w:eastAsia="Arial" w:hAnsi="Arial"/>
          <w:sz w:val="22"/>
          <w:szCs w:val="22"/>
        </w:rPr>
        <w:t xml:space="preserve">Regulatory complexity was underestimated. Phantom Crop (aerosolization), Magnetic Confusion (EMF), Hunting Ghost (infrasound), and HYDRA (capsaicin delivery) all face EPA, OSHA, FCC, or FIFRA regulatory gates. Concepts that avoid novel chemical or electromagnetic deployment (HYDRA water-only mode, electric fencing) have the clearest regulatory path.</w:t>
      </w:r>
    </w:p>
    <w:p>
      <w:pPr>
        <w:pStyle w:val="ListParagraph"/>
        <w:numPr>
          <w:ilvl w:val="0"/>
          <w:numId w:val="2"/>
        </w:numPr>
        <w:spacing w:after="80"/>
      </w:pPr>
      <w:r>
        <w:rPr>
          <w:rFonts w:ascii="Arial" w:cs="Arial" w:eastAsia="Arial" w:hAnsi="Arial"/>
          <w:sz w:val="22"/>
          <w:szCs w:val="22"/>
        </w:rPr>
        <w:t xml:space="preserve">System complexity correlated inversely with feasibility. The simplest concepts (LITE, HYDRA water-only) scored highest on engineering feasibility. The most complex (Hunting Ghost, Economic Trap) scored lowest. Each additional subsystem multiplied failure modes and installation costs.</w:t>
      </w:r>
    </w:p>
    <w:p>
      <w:pPr>
        <w:pStyle w:val="Heading2"/>
        <w:spacing w:before="280" w:after="160"/>
      </w:pPr>
      <w:r>
        <w:t xml:space="preserve">4.2 Reusable Innovation Elements</w:t>
      </w:r>
    </w:p>
    <w:p>
      <w:pPr>
        <w:spacing w:after="120"/>
      </w:pPr>
      <w:r>
        <w:rPr>
          <w:rFonts w:ascii="Arial" w:cs="Arial" w:eastAsia="Arial" w:hAnsi="Arial"/>
          <w:sz w:val="22"/>
          <w:szCs w:val="22"/>
        </w:rPr>
        <w:t xml:space="preserve">Several ideas from rejected concepts were incorporated into the recommended solution or represent future enhancement opportunities: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Origin</w:t>
            </w:r>
          </w:p>
        </w:tc>
        <w:tc>
          <w:tcPr>
            <w:tcW w:type="dxa" w:w="4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Reuse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Commodity thermal + edge AI stack</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LITE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Adopted directly into HYDRA, Phantom Crop, and all Phase 2 concepts</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Mobile deterrent delivery</w:t>
            </w:r>
          </w:p>
        </w:tc>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DRONE EXPRESS</w:t>
            </w:r>
          </w:p>
        </w:tc>
        <w:tc>
          <w:tcPr>
            <w:tcW w:type="dxa" w:w="4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Influenced HYDRA distributed node architecture (stationary but localized response)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Physical-consequence deterrence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ECOSYSTEM</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Core principle of HYDRA (water contact replaces electric fence contact)</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Escalating response patterns</w:t>
            </w:r>
          </w:p>
        </w:tc>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Economic Trap</w:t>
            </w:r>
          </w:p>
        </w:tc>
        <w:tc>
          <w:tcPr>
            <w:tcW w:type="dxa" w:w="4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HYDRA incorporates zone-level pressure escalation (simplified from individual tracking)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Magnetoreception exploitation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Magnetic Confusion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Future R&amp;D track pending university validation study</w:t>
            </w:r>
          </w:p>
        </w:tc>
      </w:tr>
    </w:tbl>
    <w:p>
      <w:pPr>
        <w:pStyle w:val="Heading2"/>
        <w:spacing w:before="280" w:after="160"/>
      </w:pPr>
      <w:r>
        <w:t xml:space="preserve">4.3 Recommendation for Future Sessions</w:t>
      </w:r>
    </w:p>
    <w:p>
      <w:pPr>
        <w:spacing w:after="120"/>
      </w:pPr>
      <w:r>
        <w:rPr>
          <w:rFonts w:ascii="Arial" w:cs="Arial" w:eastAsia="Arial" w:hAnsi="Arial"/>
          <w:sz w:val="22"/>
          <w:szCs w:val="22"/>
        </w:rPr>
        <w:t xml:space="preserve">Magnetic Confusion and Economic Trap both warrant dedicated investigation sessions. Magnetic Confusion should be explored after a controlled animal behavior study validates the core hypothesis. Economic Trap should be revisited if individual animal re-identification via computer vision advances sufficiently, or if a simplified zone-based escalation variant (without individual tracking) can be differentiated from HYDRA’s existing escalation mechanism for patent purposes.</w:t>
      </w:r>
    </w:p>
    <w:p>
      <w:pPr>
        <w:spacing w:before="600"/>
      </w:pPr>
    </w:p>
    <w:p>
      <w:pPr>
        <w:spacing w:after="120"/>
      </w:pPr>
      <w:r>
        <w:rPr>
          <w:rFonts w:ascii="Arial" w:cs="Arial" w:eastAsia="Arial" w:hAnsi="Arial"/>
          <w:i/>
          <w:iCs/>
          <w:color w:val="666666"/>
          <w:sz w:val="22"/>
          <w:szCs w:val="22"/>
        </w:rPr>
        <w:t xml:space="preserve">Generated by Field Shield TRIZ Innovation Engine — Claude Desktop Optimized</w:t>
      </w:r>
    </w:p>
    <w:p>
      <w:pPr>
        <w:spacing w:after="120"/>
      </w:pPr>
      <w:r>
        <w:rPr>
          <w:rFonts w:ascii="Arial" w:cs="Arial" w:eastAsia="Arial" w:hAnsi="Arial"/>
          <w:i/>
          <w:iCs/>
          <w:color w:val="666666"/>
          <w:sz w:val="22"/>
          <w:szCs w:val="22"/>
        </w:rPr>
        <w:t xml:space="preserve">Session conducted: February 13, 2026</w:t>
      </w:r>
    </w:p>
    <w:p>
      <w:pPr>
        <w:spacing w:after="120"/>
      </w:pPr>
      <w:r>
        <w:rPr>
          <w:rFonts w:ascii="Arial" w:cs="Arial" w:eastAsia="Arial" w:hAnsi="Arial"/>
          <w:i/>
          <w:iCs/>
          <w:color w:val="666666"/>
          <w:sz w:val="22"/>
          <w:szCs w:val="22"/>
        </w:rPr>
        <w:t xml:space="preserve">Appendix compiled: February 14, 2026</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FIELD SHIELD — Rejected &amp; Unexplored Concepts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5D8A"/>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3A7CA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2026-02-15T02:24:44.639Z</dcterms:created>
  <dcterms:modified xsi:type="dcterms:W3CDTF">2026-02-15T02:24:44.639Z</dcterms:modified>
</cp:coreProperties>
</file>

<file path=docProps/custom.xml><?xml version="1.0" encoding="utf-8"?>
<Properties xmlns="http://schemas.openxmlformats.org/officeDocument/2006/custom-properties" xmlns:vt="http://schemas.openxmlformats.org/officeDocument/2006/docPropsVTypes"/>
</file>