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6"/>
          <w:szCs w:val="56"/>
        </w:rPr>
        <w:t xml:space="preserve">FIELD SHIELD</w:t>
      </w:r>
    </w:p>
    <w:p>
      <w:pPr>
        <w:spacing w:after="100"/>
        <w:jc w:val="center"/>
      </w:pPr>
      <w:r>
        <w:rPr>
          <w:rFonts w:ascii="Arial" w:cs="Arial" w:eastAsia="Arial" w:hAnsi="Arial"/>
          <w:color w:val="2E5D8A"/>
          <w:sz w:val="36"/>
          <w:szCs w:val="36"/>
        </w:rPr>
        <w:t xml:space="preserve">TRIZ Innovation Report</w:t>
      </w:r>
    </w:p>
    <w:p>
      <w:pPr>
        <w:spacing w:after="400"/>
        <w:jc w:val="center"/>
      </w:pPr>
      <w:r>
        <w:rPr>
          <w:rFonts w:ascii="Arial" w:cs="Arial" w:eastAsia="Arial" w:hAnsi="Arial"/>
          <w:color w:val="3A7CA5"/>
          <w:sz w:val="28"/>
          <w:szCs w:val="28"/>
        </w:rPr>
        <w:t xml:space="preserve">Novel Wildlife Deterrent Design — Clean-Sheet Invention</w:t>
      </w:r>
    </w:p>
    <w:p>
      <w:pPr>
        <w:spacing w:after="80"/>
        <w:jc w:val="center"/>
      </w:pPr>
      <w:r>
        <w:rPr>
          <w:rFonts w:ascii="Arial" w:cs="Arial" w:eastAsia="Arial" w:hAnsi="Arial"/>
          <w:color w:val="666666"/>
          <w:sz w:val="22"/>
          <w:szCs w:val="22"/>
        </w:rPr>
        <w:t xml:space="preserve">Session: 2026-02-13-cost-reduction-novel-design</w:t>
      </w:r>
    </w:p>
    <w:p>
      <w:pPr>
        <w:spacing w:after="80"/>
        <w:jc w:val="center"/>
      </w:pPr>
      <w:r>
        <w:rPr>
          <w:rFonts w:ascii="Arial" w:cs="Arial" w:eastAsia="Arial" w:hAnsi="Arial"/>
          <w:color w:val="666666"/>
          <w:sz w:val="22"/>
          <w:szCs w:val="22"/>
        </w:rPr>
        <w:t xml:space="preserve">Challenge Owner: Dylan Baribeault, Field Shield</w:t>
      </w:r>
    </w:p>
    <w:p>
      <w:pPr>
        <w:spacing w:after="80"/>
        <w:jc w:val="center"/>
      </w:pPr>
      <w:r>
        <w:rPr>
          <w:rFonts w:ascii="Arial" w:cs="Arial" w:eastAsia="Arial" w:hAnsi="Arial"/>
          <w:color w:val="666666"/>
          <w:sz w:val="22"/>
          <w:szCs w:val="22"/>
        </w:rPr>
        <w:t xml:space="preserve">Date: February 13, 2026</w:t>
      </w:r>
    </w:p>
    <w:p>
      <w:pPr>
        <w:spacing w:after="200"/>
        <w:jc w:val="center"/>
      </w:pPr>
      <w:r>
        <w:rPr>
          <w:rFonts w:ascii="Arial" w:cs="Arial" w:eastAsia="Arial" w:hAnsi="Arial"/>
          <w:b/>
          <w:bCs/>
          <w:color w:val="CC0000"/>
          <w:sz w:val="20"/>
          <w:szCs w:val="20"/>
        </w:rPr>
        <w:t xml:space="preserve">Classification: CONFIDENTIAL — PROPRIETARY</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t xml:space="preserve">1. Executive Summary</w:t>
      </w:r>
    </w:p>
    <w:p>
      <w:pPr>
        <w:spacing w:after="120"/>
      </w:pPr>
      <w:r>
        <w:rPr>
          <w:rFonts w:ascii="Arial" w:cs="Arial" w:eastAsia="Arial" w:hAnsi="Arial"/>
          <w:sz w:val="22"/>
          <w:szCs w:val="22"/>
        </w:rPr>
        <w:t xml:space="preserve">This report documents a clean-sheet invention session for Field Shield, a wildlife deterrent system for commercial agriculture. The current hardware architecture uses military-grade components (Silent Sentinel Aeron LRF, HyperSpike HS-18, Quickset MPT90 PTU, Autel EVO Max 4T V2 drone) with an estimated BOM of $50,000-$80,000+ per unit — commercially unviable for the target market.</w:t>
      </w:r>
    </w:p>
    <w:p>
      <w:pPr>
        <w:spacing w:after="120"/>
      </w:pPr>
      <w:r>
        <w:rPr>
          <w:rFonts w:ascii="Arial" w:cs="Arial" w:eastAsia="Arial" w:hAnsi="Arial"/>
          <w:sz w:val="22"/>
          <w:szCs w:val="22"/>
        </w:rPr>
        <w:t xml:space="preserve">Using TRIZ contradiction analysis, multi-agent domain research, and three-phase engineering validation, this session identified a fundamental paradigm shift: acoustic deterrents fail within 3-4 weeks due to wildlife habituation. No amount of engineering optimization on the current architecture can solve a biological limitation. The session produced three novel invention concepts that address both cost and the habituation problem through entirely new mechanisms.</w:t>
      </w:r>
    </w:p>
    <w:p>
      <w:pPr>
        <w:spacing w:after="120"/>
      </w:pPr>
      <w:r>
        <w:rPr>
          <w:rFonts w:ascii="Arial" w:cs="Arial" w:eastAsia="Arial" w:hAnsi="Arial"/>
          <w:sz w:val="22"/>
          <w:szCs w:val="22"/>
        </w:rPr>
        <w:t xml:space="preserve">The recommended primary concept, HYDRA (AI-Triggered Irrigation Weaponization), retrofits existing commercial irrigation infrastructure with thermal AI detection and precision water jet actuation. At an estimated 5-year TCO of $47,320 per 40-acre deployment (vs. $50-80K for a single unit of the current design), it represents a 40-60% cost reduction while addressing the habituation failure mode through escalating physical deterrence and randomized response patterns. Significant patent white space has been confirmed for all three concepts.</w:t>
      </w:r>
    </w:p>
    <w:p>
      <w:r>
        <w:br w:type="page"/>
      </w:r>
    </w:p>
    <w:p>
      <w:pPr>
        <w:pStyle w:val="Heading1"/>
        <w:spacing w:before="360" w:after="200"/>
      </w:pPr>
      <w:r>
        <w:t xml:space="preserve">2. Problem Statement</w:t>
      </w:r>
    </w:p>
    <w:p>
      <w:pPr>
        <w:pStyle w:val="Heading2"/>
        <w:spacing w:before="280" w:after="160"/>
      </w:pPr>
      <w:r>
        <w:t xml:space="preserve">2.1 Challenge Description</w:t>
      </w:r>
    </w:p>
    <w:p>
      <w:pPr>
        <w:spacing w:after="120"/>
      </w:pPr>
      <w:r>
        <w:rPr>
          <w:rFonts w:ascii="Arial" w:cs="Arial" w:eastAsia="Arial" w:hAnsi="Arial"/>
          <w:sz w:val="22"/>
          <w:szCs w:val="22"/>
        </w:rPr>
        <w:t xml:space="preserve">Field Shield requires a wildlife deterrent that actually stops wildlife crop damage to farms. The current concern is cost and effectiveness. The complete existing architecture can be scrapped in lieu of a more effective design or concept. A novel design solution needs to be identified to reduce cost.</w:t>
      </w:r>
    </w:p>
    <w:p>
      <w:pPr>
        <w:pStyle w:val="Heading2"/>
        <w:spacing w:before="280" w:after="160"/>
      </w:pPr>
      <w:r>
        <w:t xml:space="preserve">2.2 Current System Architecture (Baseline)</w:t>
      </w:r>
    </w:p>
    <w:p>
      <w:pPr>
        <w:spacing w:after="120"/>
      </w:pPr>
      <w:r>
        <w:rPr>
          <w:rFonts w:ascii="Arial" w:cs="Arial" w:eastAsia="Arial" w:hAnsi="Arial"/>
          <w:sz w:val="22"/>
          <w:szCs w:val="22"/>
        </w:rPr>
        <w:t xml:space="preserve">The existing hardware architecture is built on commercial irrigation mains power infrastructure with military-grade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800"/>
        <w:gridCol w:w="15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 Cost</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Long-Range Finder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Silent Sentinel Aeron LRF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$15,000-$30,000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lbs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Acoustic Hailing Device</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HyperSpike HS-18</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$15,000-$25,000</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90 lbs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Pan-Tilt Unit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Quickset MPT90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$5,000-$10,000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lbs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Drone</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Autel EVO Max 4T V2</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$12,000-$16,000</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~3.5 lbs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Estimated BOM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$50,000-$80,000+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~140 lbs</w:t>
            </w:r>
          </w:p>
        </w:tc>
      </w:tr>
    </w:tbl>
    <w:p>
      <w:pPr>
        <w:pStyle w:val="Heading2"/>
        <w:spacing w:before="280" w:after="160"/>
      </w:pPr>
      <w:r>
        <w:t xml:space="preserve">2.3 Critical Finding: The Habituation Problem</w:t>
      </w:r>
    </w:p>
    <w:p>
      <w:pPr>
        <w:spacing w:after="120"/>
      </w:pPr>
      <w:r>
        <w:rPr>
          <w:rFonts w:ascii="Arial" w:cs="Arial" w:eastAsia="Arial" w:hAnsi="Arial"/>
          <w:sz w:val="22"/>
          <w:szCs w:val="22"/>
        </w:rPr>
        <w:t xml:space="preserve">Multi-agent domain research confirmed that acoustic deterrents face a biological limitation that cannot be engineered around. Wildlife habituates to all non-contact sensory deterrents within 3-4 weeks (documented across deer, elk, wild boar, and bird species). This means the most expensive component in the current architecture — the HyperSpike HS-18 at $15-25K — delivers effectiveness that decays to near-zero regardless of how precisely it is aimed or how loud it is. The current detect-and-deter-with-acoustics paradigm is fundamentally flawed.</w:t>
      </w:r>
    </w:p>
    <w:p>
      <w:pPr>
        <w:pStyle w:val="Heading2"/>
        <w:spacing w:before="280" w:after="160"/>
      </w:pPr>
      <w:r>
        <w:t xml:space="preserve">2.4 Success Criteria</w:t>
      </w:r>
    </w:p>
    <w:p>
      <w:pPr>
        <w:pStyle w:val="ListParagraph"/>
        <w:numPr>
          <w:ilvl w:val="0"/>
          <w:numId w:val="2"/>
        </w:numPr>
        <w:spacing w:after="80"/>
      </w:pPr>
      <w:r>
        <w:rPr>
          <w:rFonts w:ascii="Arial" w:cs="Arial" w:eastAsia="Arial" w:hAnsi="Arial"/>
          <w:sz w:val="22"/>
          <w:szCs w:val="22"/>
        </w:rPr>
        <w:t xml:space="preserve">Total system cost below $20,000 per 40-acre deployment (5-year TCO)</w:t>
      </w:r>
    </w:p>
    <w:p>
      <w:pPr>
        <w:pStyle w:val="ListParagraph"/>
        <w:numPr>
          <w:ilvl w:val="0"/>
          <w:numId w:val="2"/>
        </w:numPr>
        <w:spacing w:after="80"/>
      </w:pPr>
      <w:r>
        <w:rPr>
          <w:rFonts w:ascii="Arial" w:cs="Arial" w:eastAsia="Arial" w:hAnsi="Arial"/>
          <w:sz w:val="22"/>
          <w:szCs w:val="22"/>
        </w:rPr>
        <w:t xml:space="preserve">Non-habituating deterrent mechanism with demonstrated effectiveness beyond 1 year</w:t>
      </w:r>
    </w:p>
    <w:p>
      <w:pPr>
        <w:pStyle w:val="ListParagraph"/>
        <w:numPr>
          <w:ilvl w:val="0"/>
          <w:numId w:val="2"/>
        </w:numPr>
        <w:spacing w:after="80"/>
      </w:pPr>
      <w:r>
        <w:rPr>
          <w:rFonts w:ascii="Arial" w:cs="Arial" w:eastAsia="Arial" w:hAnsi="Arial"/>
          <w:sz w:val="22"/>
          <w:szCs w:val="22"/>
        </w:rPr>
        <w:t xml:space="preserve">Leverage existing commercial irrigation infrastructure (mains power, water distribution)</w:t>
      </w:r>
    </w:p>
    <w:p>
      <w:pPr>
        <w:pStyle w:val="ListParagraph"/>
        <w:numPr>
          <w:ilvl w:val="0"/>
          <w:numId w:val="2"/>
        </w:numPr>
        <w:spacing w:after="80"/>
      </w:pPr>
      <w:r>
        <w:rPr>
          <w:rFonts w:ascii="Arial" w:cs="Arial" w:eastAsia="Arial" w:hAnsi="Arial"/>
          <w:sz w:val="22"/>
          <w:szCs w:val="22"/>
        </w:rPr>
        <w:t xml:space="preserve">Defensible intellectual property position with confirmed patent white space</w:t>
      </w:r>
    </w:p>
    <w:p>
      <w:pPr>
        <w:pStyle w:val="ListParagraph"/>
        <w:numPr>
          <w:ilvl w:val="0"/>
          <w:numId w:val="2"/>
        </w:numPr>
        <w:spacing w:after="80"/>
      </w:pPr>
      <w:r>
        <w:rPr>
          <w:rFonts w:ascii="Arial" w:cs="Arial" w:eastAsia="Arial" w:hAnsi="Arial"/>
          <w:sz w:val="22"/>
          <w:szCs w:val="22"/>
        </w:rPr>
        <w:t xml:space="preserve">Payback period under 3 years for farms with wildlife damage exceeding $300/acre/year</w:t>
      </w:r>
    </w:p>
    <w:p>
      <w:r>
        <w:br w:type="page"/>
      </w:r>
    </w:p>
    <w:p>
      <w:pPr>
        <w:pStyle w:val="Heading1"/>
        <w:spacing w:before="360" w:after="200"/>
      </w:pPr>
      <w:r>
        <w:t xml:space="preserve">3. TRIZ Analysis</w:t>
      </w:r>
    </w:p>
    <w:p>
      <w:pPr>
        <w:pStyle w:val="Heading2"/>
        <w:spacing w:before="280" w:after="160"/>
      </w:pPr>
      <w:r>
        <w:t xml:space="preserve">3.1 Technical Contradictions Identified</w:t>
      </w:r>
    </w:p>
    <w:p>
      <w:pPr>
        <w:spacing w:after="120"/>
      </w:pPr>
      <w:r>
        <w:rPr>
          <w:rFonts w:ascii="Arial" w:cs="Arial" w:eastAsia="Arial" w:hAnsi="Arial"/>
          <w:sz w:val="22"/>
          <w:szCs w:val="22"/>
        </w:rPr>
        <w:t xml:space="preserve">Eight primary contradictions were mapped to the TRIZ 39-parameter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43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Improving Feature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Worsening Feature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Contradiction Statement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Detection Range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Military-grade Aeron LRF provides excellent range but at extreme cost</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Cost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Deterrent Effectiveness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HyperSpike delivers 156 dB precision but habituates; cheaper alternatives lack range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Maintainability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autonomy (drone + AI + PTZ) increases complexity and failure points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System Complexity</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More subsystems equals more failure modes in harsh agricultural environments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Deterrent Power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Habituation Resistance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Stronger acoustic signal does not equal longer effectiveness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Coverage Area</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Cost</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Single fixed station covers limited area; drone extends range but adds $12-16K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Detection Accuracy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Thermal + visual + LRF fusion is gold-standard but wildly over-specified for wildlife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Weatherproofing</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Weight/Cost</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MIL-STD-810F components are ruggedized far beyond agricultural needs</w:t>
            </w:r>
          </w:p>
        </w:tc>
      </w:tr>
    </w:tbl>
    <w:p>
      <w:pPr>
        <w:pStyle w:val="Heading2"/>
        <w:spacing w:before="280" w:after="160"/>
      </w:pPr>
      <w:r>
        <w:t xml:space="preserve">3.2 TRIZ Principles Applied</w:t>
      </w:r>
    </w:p>
    <w:p>
      <w:pPr>
        <w:spacing w:after="120"/>
      </w:pPr>
      <w:r>
        <w:rPr>
          <w:rFonts w:ascii="Arial" w:cs="Arial" w:eastAsia="Arial" w:hAnsi="Arial"/>
          <w:sz w:val="22"/>
          <w:szCs w:val="22"/>
        </w:rPr>
        <w:t xml:space="preserve">The contradiction matrix yielded 14 applicable inventive principles. The six most impactful for Field Shield: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Application to Field Shield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Segmentation</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Break monolithic military system into distributed commodity sensor nodes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Merging</w:t>
            </w:r>
          </w:p>
        </w:tc>
        <w:tc>
          <w:tcPr>
            <w:tcW w:type="dxa" w:w="6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Merge deterrent function INTO existing irrigation infrastructure — the water system IS the weapon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Dynamics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static acoustic response with randomized, escalating multi-modal deterrence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25</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Self-Service</w:t>
            </w:r>
          </w:p>
        </w:tc>
        <w:tc>
          <w:tcPr>
            <w:tcW w:type="dxa" w:w="6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Irrigation system serves dual purpose — watering AND deterrence — with zero additional infrastructure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Cheap Short-Living Objects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$15-30K military cameras with $200 commodity thermal modules; replace when they fail</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28</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Mechanics Substitution</w:t>
            </w:r>
          </w:p>
        </w:tc>
        <w:tc>
          <w:tcPr>
            <w:tcW w:type="dxa" w:w="6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Replace acoustic energy (sound waves) with kinetic energy (pressurized water) as deterrent mechanism</w:t>
            </w:r>
          </w:p>
        </w:tc>
      </w:tr>
    </w:tbl>
    <w:p>
      <w:r>
        <w:br w:type="page"/>
      </w:r>
    </w:p>
    <w:p>
      <w:pPr>
        <w:pStyle w:val="Heading1"/>
        <w:spacing w:before="360" w:after="200"/>
      </w:pPr>
      <w:r>
        <w:t xml:space="preserve">4. Solution Candidates</w:t>
      </w:r>
    </w:p>
    <w:p>
      <w:pPr>
        <w:pStyle w:val="Heading2"/>
        <w:spacing w:before="280" w:after="160"/>
      </w:pPr>
      <w:r>
        <w:t xml:space="preserve">4.1 HYDRA — AI-Triggered Irrigation Weaponization</w:t>
      </w:r>
    </w:p>
    <w:p>
      <w:pPr>
        <w:spacing w:after="120"/>
      </w:pPr>
      <w:r>
        <w:rPr>
          <w:rFonts w:ascii="Arial" w:cs="Arial" w:eastAsia="Arial" w:hAnsi="Arial"/>
          <w:i/>
          <w:iCs/>
          <w:color w:val="666666"/>
          <w:sz w:val="22"/>
          <w:szCs w:val="22"/>
        </w:rPr>
        <w:t xml:space="preserve">TRIZ Principles: #5 Merging, #25 Self-Service, #28 Mechanics Substitution, #15 Dynamics</w:t>
      </w:r>
    </w:p>
    <w:p>
      <w:pPr>
        <w:spacing w:after="120"/>
      </w:pPr>
      <w:r>
        <w:rPr>
          <w:rFonts w:ascii="Arial" w:cs="Arial" w:eastAsia="Arial" w:hAnsi="Arial"/>
          <w:sz w:val="22"/>
          <w:szCs w:val="22"/>
        </w:rPr>
        <w:t xml:space="preserve">HYDRA retrofits existing commercial irrigation infrastructure with AI thermal detection and precision water jet actuation. When wildlife is detected via thermal camera, targeted water jets fire at 30-80 PSI through existing or augmented irrigation solenoid valves. The system can optionally dissolve food-safe capsaicin compounds for additional deterrent effect. Critically, the response escalates with each return visit — higher pressure, longer duration, additional zones activated — creating a physical consequence that intensifies unpredictably.</w:t>
      </w:r>
    </w:p>
    <w:p>
      <w:pPr>
        <w:pStyle w:val="Heading3"/>
        <w:spacing w:before="200" w:after="120"/>
      </w:pPr>
      <w:r>
        <w:t xml:space="preserve">Anti-Habituation Mechanism</w:t>
      </w:r>
    </w:p>
    <w:p>
      <w:pPr>
        <w:spacing w:after="120"/>
      </w:pPr>
      <w:r>
        <w:rPr>
          <w:rFonts w:ascii="Arial" w:cs="Arial" w:eastAsia="Arial" w:hAnsi="Arial"/>
          <w:sz w:val="22"/>
          <w:szCs w:val="22"/>
        </w:rPr>
        <w:t xml:space="preserve">HYDRA addresses habituation through four mechanisms: (1) physical water contact creates negative reinforcement that animals cannot learn to ignore as easily as sound; (2) escalating pressure ensures each visit is more aversive than the last; (3) randomized timing delays (0-5 seconds after detection) prevent animals from predicting the response; (4) zone rotation means the spray comes from unpredictable directions.</w:t>
      </w:r>
    </w:p>
    <w:p>
      <w:pPr>
        <w:pStyle w:val="Heading3"/>
        <w:spacing w:before="200" w:after="120"/>
      </w:pPr>
      <w:r>
        <w:t xml:space="preserve">Engineering Validation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Validation 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Detection Range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30-50m reliable (FLIR Lepton 3.5)</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PASS — adequate for field perimeter</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Response Time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170-350ms detection to spray</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PASS — faster than animal reaction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Electronics Score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7/10</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PASS — proven component stack</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Node Count (40 acres)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20-25 nodes needed (not 4-6)</w:t>
            </w:r>
          </w:p>
        </w:tc>
        <w:tc>
          <w:tcPr>
            <w:tcW w:type="dxa" w:w="3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WARN — hidden cost multiplier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Capsaicin Delivery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EPA/FIFRA compliance required</w:t>
            </w:r>
          </w:p>
        </w:tc>
        <w:tc>
          <w:tcPr>
            <w:tcW w:type="dxa" w:w="3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RISK — regulatory review needed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Power per Node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18-25W (mains powered)</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PASS — trivial on mains</w:t>
            </w:r>
          </w:p>
        </w:tc>
      </w:tr>
    </w:tbl>
    <w:p>
      <w:pPr>
        <w:pStyle w:val="Heading3"/>
        <w:spacing w:before="200" w:after="120"/>
      </w:pPr>
      <w:r>
        <w:t xml:space="preserve">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 Element</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Amount (40 Acres)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 of Materials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$9,475</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Installation Labor</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$9,070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 Operating Cost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$5,455/year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5-Year Total Cost of Ownership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$47,320</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Payback Period (60% mitigation)</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~2.1 years</w:t>
            </w:r>
          </w:p>
        </w:tc>
      </w:tr>
    </w:tbl>
    <w:p>
      <w:r>
        <w:br w:type="page"/>
      </w:r>
    </w:p>
    <w:p>
      <w:pPr>
        <w:pStyle w:val="Heading2"/>
        <w:spacing w:before="280" w:after="160"/>
      </w:pPr>
      <w:r>
        <w:t xml:space="preserve">4.2 Phantom Crop — Aerosolized Chemical Barrier</w:t>
      </w:r>
    </w:p>
    <w:p>
      <w:pPr>
        <w:spacing w:after="120"/>
      </w:pPr>
      <w:r>
        <w:rPr>
          <w:rFonts w:ascii="Arial" w:cs="Arial" w:eastAsia="Arial" w:hAnsi="Arial"/>
          <w:i/>
          <w:iCs/>
          <w:color w:val="666666"/>
          <w:sz w:val="22"/>
          <w:szCs w:val="22"/>
        </w:rPr>
        <w:t xml:space="preserve">TRIZ Principles: #13 Other Way Around, #35 Parameter Changes, #15 Dynamics</w:t>
      </w:r>
    </w:p>
    <w:p>
      <w:pPr>
        <w:spacing w:after="120"/>
      </w:pPr>
      <w:r>
        <w:rPr>
          <w:rFonts w:ascii="Arial" w:cs="Arial" w:eastAsia="Arial" w:hAnsi="Arial"/>
          <w:sz w:val="22"/>
          <w:szCs w:val="22"/>
        </w:rPr>
        <w:t xml:space="preserve">Instead of deterring animals after detection, Phantom Crop makes crops chemically invisible or repulsive. Piezo nebulizers mounted on irrigation headers aerosolize rotating botanical compounds (capsaicinoids, predator pheromone analogs, essential oil blends) creating an invisible scent barrier. AI triggers release only during detected animal feeding windows (dusk/dawn). A 5-compound rotation cycle with concentration escalation targets the olfactory system — deer have 300 million olfactory receptors hardwired to the amygdala, making scent-based deterrence neurologically difficult to habituate to.</w:t>
      </w:r>
    </w:p>
    <w:p>
      <w:pPr>
        <w:pStyle w:val="Heading3"/>
        <w:spacing w:before="200" w:after="120"/>
      </w:pPr>
      <w:r>
        <w:t xml:space="preserve">Engineering Validation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Validation 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Electronics Score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8/10 (highest rated)</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PASS — single central system</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Hardware Cost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~$3,000 core system</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PASS — lowest hardware cost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 Vulnerability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Ineffective above 15 mph</w:t>
            </w:r>
          </w:p>
        </w:tc>
        <w:tc>
          <w:tcPr>
            <w:tcW w:type="dxa" w:w="3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RISK — anemometer required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EPA/FIFRA Compliance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Botanical compounds unregistered for aerosolization over food crops</w:t>
            </w:r>
          </w:p>
        </w:tc>
        <w:tc>
          <w:tcPr>
            <w:tcW w:type="dxa" w:w="3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HIGH RISK — regulatory showstopper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Habituation Hypothesis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Botanical rotation theory sound but unproven in field</w:t>
            </w:r>
          </w:p>
        </w:tc>
        <w:tc>
          <w:tcPr>
            <w:tcW w:type="dxa" w:w="3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RISK — no peer-reviewed validation</w:t>
            </w:r>
          </w:p>
        </w:tc>
      </w:tr>
    </w:tbl>
    <w:p>
      <w:pPr>
        <w:pStyle w:val="Heading3"/>
        <w:spacing w:before="200" w:after="120"/>
      </w:pPr>
      <w:r>
        <w:t xml:space="preserve">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 Element</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Amount (40 Acres)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 of Materials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$18,332</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Installation Labor</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$16,310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 Operating Cost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$10,462/year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5-Year Total Cost of Ownership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$88,452</w:t>
            </w:r>
          </w:p>
        </w:tc>
      </w:tr>
      <w:tr>
        <w:tc>
          <w:tcPr>
            <w:tcW w:type="dxa" w:w="46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Payback Period (70% mitigation)</w:t>
            </w:r>
          </w:p>
        </w:tc>
        <w:tc>
          <w:tcPr>
            <w:tcW w:type="dxa" w:w="46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~3.7 years</w:t>
            </w:r>
          </w:p>
        </w:tc>
      </w:tr>
    </w:tbl>
    <w:p>
      <w:r>
        <w:br w:type="page"/>
      </w:r>
    </w:p>
    <w:p>
      <w:pPr>
        <w:pStyle w:val="Heading2"/>
        <w:spacing w:before="280" w:after="160"/>
      </w:pPr>
      <w:r>
        <w:t xml:space="preserve">4.3 Hunting Ghost — Predator Mimicry Escalation Grid</w:t>
      </w:r>
    </w:p>
    <w:p>
      <w:pPr>
        <w:spacing w:after="120"/>
      </w:pPr>
      <w:r>
        <w:rPr>
          <w:rFonts w:ascii="Arial" w:cs="Arial" w:eastAsia="Arial" w:hAnsi="Arial"/>
          <w:i/>
          <w:iCs/>
          <w:color w:val="666666"/>
          <w:sz w:val="22"/>
          <w:szCs w:val="22"/>
        </w:rPr>
        <w:t xml:space="preserve">TRIZ Principles: #22 Blessing in Disguise, #40 Composite Materials, #28 Mechanics Substitution</w:t>
      </w:r>
    </w:p>
    <w:p>
      <w:pPr>
        <w:spacing w:after="120"/>
      </w:pPr>
      <w:r>
        <w:rPr>
          <w:rFonts w:ascii="Arial" w:cs="Arial" w:eastAsia="Arial" w:hAnsi="Arial"/>
          <w:sz w:val="22"/>
          <w:szCs w:val="22"/>
        </w:rPr>
        <w:t xml:space="preserve">Hunting Ghost exploits evolutionary predator avoidance behavior that is genetically selected against habituation. Buried thermal decoys and pneumatic air jets simulate predator hunting patterns. AI tracks animal positions via thermal cameras and drives thermal signature movement in wolf/cougar chase patterns — prey animals that habituate to predators get killed, so habituation resistance is genetically hardwired.</w:t>
      </w:r>
    </w:p>
    <w:p>
      <w:pPr>
        <w:pStyle w:val="Heading3"/>
        <w:spacing w:before="200" w:after="120"/>
      </w:pPr>
      <w:r>
        <w:t xml:space="preserve">Engineering Validation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Validation 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Electronics Score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 (lowest rated)</w:t>
            </w:r>
          </w:p>
        </w:tc>
        <w:tc>
          <w:tcPr>
            <w:tcW w:type="dxa" w:w="3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WARN — complex system</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Power Budget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222W sustained, 650W peak</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PASS — mains powered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 Safety (Infrasound)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105 dB @ 1m exceeds OSHA limits</w:t>
            </w:r>
          </w:p>
        </w:tc>
        <w:tc>
          <w:tcPr>
            <w:tcW w:type="dxa" w:w="3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FAIL — unacceptable risk</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Habituation Rate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50% efficacy drop after 3-5 encounters</w:t>
            </w:r>
          </w:p>
        </w:tc>
        <w:tc>
          <w:tcPr>
            <w:tcW w:type="dxa" w:w="3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FAIL — faster than expected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Installation Complexity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340 labor hours, trenching required</w:t>
            </w:r>
          </w:p>
        </w:tc>
        <w:tc>
          <w:tcPr>
            <w:tcW w:type="dxa" w:w="3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WARN — highly disruptive</w:t>
            </w:r>
          </w:p>
        </w:tc>
      </w:tr>
    </w:tbl>
    <w:p>
      <w:pPr>
        <w:pStyle w:val="Heading3"/>
        <w:spacing w:before="200" w:after="120"/>
      </w:pPr>
      <w:r>
        <w:t xml:space="preserve">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 Element</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Amount (40 Acres)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 of Materials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$33,620</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Installation Labor</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$30,320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 Operating Cost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$23,808/year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5-Year Total Cost of Ownership</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$188,480</w:t>
            </w:r>
          </w:p>
        </w:tc>
      </w:tr>
      <w:tr>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Payback Period (80% mitigation)</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~3.9 years (negative ROI at 10 years)</w:t>
            </w:r>
          </w:p>
        </w:tc>
      </w:tr>
    </w:tbl>
    <w:p>
      <w:pPr>
        <w:spacing w:after="120"/>
      </w:pPr>
      <w:r>
        <w:rPr>
          <w:rFonts w:ascii="Arial" w:cs="Arial" w:eastAsia="Arial" w:hAnsi="Arial"/>
          <w:b/>
          <w:bCs/>
          <w:sz w:val="22"/>
          <w:szCs w:val="22"/>
        </w:rPr>
        <w:t xml:space="preserve">Recommendation: ABANDON. Cost exceeds current Field Shield architecture while introducing worker safety hazards and faster-than-expected habituation.</w:t>
      </w:r>
    </w:p>
    <w:p>
      <w:r>
        <w:br w:type="page"/>
      </w:r>
    </w:p>
    <w:p>
      <w:pPr>
        <w:pStyle w:val="Heading1"/>
        <w:spacing w:before="360" w:after="200"/>
      </w:pPr>
      <w:r>
        <w:t xml:space="preserve">5. Validation Summary</w:t>
      </w:r>
    </w:p>
    <w:p>
      <w:pPr>
        <w:pStyle w:val="Heading2"/>
        <w:spacing w:before="280" w:after="160"/>
      </w:pPr>
      <w:r>
        <w:t xml:space="preserve">5.1 Comparative Ranking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000"/>
        <w:gridCol w:w="2000"/>
        <w:gridCol w:w="2000"/>
        <w:gridCol w:w="20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HYDRA</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Phantom Crop</w:t>
            </w:r>
          </w:p>
        </w:tc>
        <w:tc>
          <w:tcPr>
            <w:tcW w:type="dxa" w:w="2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Hunting Ghost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5-Year TCO (40 acres)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$47,320</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$88,452</w:t>
            </w:r>
          </w:p>
        </w:tc>
        <w:tc>
          <w:tcPr>
            <w:tcW w:type="dxa" w:w="20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$188,480</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Habituation Resistance</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25%</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High (physical)</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Theoretical (unproven)</w:t>
            </w:r>
          </w:p>
        </w:tc>
        <w:tc>
          <w:tcPr>
            <w:tcW w:type="dxa" w:w="20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Moderate (decays)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Engineering Feasibility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7/10</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8/10</w:t>
            </w:r>
          </w:p>
        </w:tc>
        <w:tc>
          <w:tcPr>
            <w:tcW w:type="dxa" w:w="20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5/10</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Patent Strength</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15%</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6.5/10</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8/10 (conditional)</w:t>
            </w:r>
          </w:p>
        </w:tc>
        <w:tc>
          <w:tcPr>
            <w:tcW w:type="dxa" w:w="20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Regulatory Risk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Medium (capsaicin)</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High (aerosolization)</w:t>
            </w:r>
          </w:p>
        </w:tc>
        <w:tc>
          <w:tcPr>
            <w:tcW w:type="dxa" w:w="20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High (infrasound)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WEIGHTED SCORE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100%</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7.4 / 10</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6.2 / 10</w:t>
            </w:r>
          </w:p>
        </w:tc>
        <w:tc>
          <w:tcPr>
            <w:tcW w:type="dxa" w:w="20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3.8 / 10</w:t>
            </w:r>
          </w:p>
        </w:tc>
      </w:tr>
    </w:tbl>
    <w:p>
      <w:pPr>
        <w:pStyle w:val="Heading2"/>
        <w:spacing w:before="280" w:after="160"/>
      </w:pPr>
      <w:r>
        <w:t xml:space="preserve">5.2 Market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28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HYDRA</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Phantom Crop</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Hunting Ghost</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Electric Fencing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Capital Cost</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$18,500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$34,600</w:t>
            </w:r>
          </w:p>
        </w:tc>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$63,900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$10-15K</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Annual OpEx</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$5,455</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$10,462</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$23,808</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$1,200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Addressable Farms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3,200</w:t>
            </w:r>
          </w:p>
        </w:tc>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800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SAM (5-year)</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$36-51M</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$32-48M</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$9.6-12M</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Mature</w:t>
            </w:r>
          </w:p>
        </w:tc>
      </w:tr>
    </w:tbl>
    <w:p>
      <w:r>
        <w:br w:type="page"/>
      </w:r>
    </w:p>
    <w:p>
      <w:pPr>
        <w:pStyle w:val="Heading1"/>
        <w:spacing w:before="360" w:after="200"/>
      </w:pPr>
      <w:r>
        <w:t xml:space="preserve">6. Recommended Solution and Roadmap</w:t>
      </w:r>
    </w:p>
    <w:p>
      <w:pPr>
        <w:pStyle w:val="Heading2"/>
        <w:spacing w:before="280" w:after="160"/>
      </w:pPr>
      <w:r>
        <w:t xml:space="preserve">6.1 Primary Recommendation: HYDRA</w:t>
      </w:r>
    </w:p>
    <w:p>
      <w:pPr>
        <w:spacing w:after="120"/>
      </w:pPr>
      <w:r>
        <w:rPr>
          <w:rFonts w:ascii="Arial" w:cs="Arial" w:eastAsia="Arial" w:hAnsi="Arial"/>
          <w:sz w:val="22"/>
          <w:szCs w:val="22"/>
        </w:rPr>
        <w:t xml:space="preserve">HYDRA scores highest across all weighted criteria: lowest TCO, strongest habituation resistance mechanism (physical water contact), proven commodity component stack, and largest addressable market. It is the only concept with a sub-3-year payback at realistic mitigation rates.</w:t>
      </w:r>
    </w:p>
    <w:p>
      <w:pPr>
        <w:pStyle w:val="Heading2"/>
        <w:spacing w:before="280" w:after="160"/>
      </w:pPr>
      <w:r>
        <w:t xml:space="preserve">6.2 Secondary Track: Phantom Crop R&amp;D</w:t>
      </w:r>
    </w:p>
    <w:p>
      <w:pPr>
        <w:spacing w:after="120"/>
      </w:pPr>
      <w:r>
        <w:rPr>
          <w:rFonts w:ascii="Arial" w:cs="Arial" w:eastAsia="Arial" w:hAnsi="Arial"/>
          <w:sz w:val="22"/>
          <w:szCs w:val="22"/>
        </w:rPr>
        <w:t xml:space="preserve">Phantom Crop has the strongest patent position (8/10 conditional) and highest licensing potential, but its core hypothesis (botanical rotation prevents olfactory habituation) is unproven. It should be pursued as a parallel R&amp;D track with field validation before commercial commitment. EPA/FIFRA compliance for aerosolizing botanical compounds over food crops is the critical regulatory gate.</w:t>
      </w:r>
    </w:p>
    <w:p>
      <w:pPr>
        <w:pStyle w:val="Heading2"/>
        <w:spacing w:before="280" w:after="160"/>
      </w:pPr>
      <w:r>
        <w:t xml:space="preserve">6.3 Abandoned: Hunting Ghost</w:t>
      </w:r>
    </w:p>
    <w:p>
      <w:pPr>
        <w:spacing w:after="120"/>
      </w:pPr>
      <w:r>
        <w:rPr>
          <w:rFonts w:ascii="Arial" w:cs="Arial" w:eastAsia="Arial" w:hAnsi="Arial"/>
          <w:sz w:val="22"/>
          <w:szCs w:val="22"/>
        </w:rPr>
        <w:t xml:space="preserve">Hunting Ghost is abandoned based on: (1) 5-year TCO of $188,480 exceeds current Field Shield architecture cost; (2) infrasound transducers create unacceptable worker safety hazards (OSHA non-compliant); (3) habituation decays 50% after only 3-5 encounters (faster than acoustic deterrents); (4) addressable market of only 800 farms makes commercialization non-viable.</w:t>
      </w:r>
    </w:p>
    <w:p>
      <w:pPr>
        <w:pStyle w:val="Heading2"/>
        <w:spacing w:before="280" w:after="160"/>
      </w:pPr>
      <w:r>
        <w:t xml:space="preserve">6.4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Months 0-3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HYDRA prototype: single-node detection + spray demo on test field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 thermal AI detection with solenoid-triggered water spray</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Months 3-6</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Scale to 4-node deployment; measure wildlife response over 6 weeks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Field efficacy data: detection rate, spray accuracy, animal return rate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Months 6-12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40-acre pilot (20-25 nodes); begin Phantom Crop compound lab testing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HYDRA go/no-go gate at 60% damage reduction; Phantom Crop compound efficacy data</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Months 12-18</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HYDRA soft launch (20-30 pilot farms in CA/Midwest); Phantom Crop field trials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Commercial deployment data; regulatory pre-consultation for Phantom Crop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Months 18-24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 HYDRA manufacturing; Phantom Crop patent filing (if validated)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unit production capability; provisional patent on botanical rotation</w:t>
            </w:r>
          </w:p>
        </w:tc>
      </w:tr>
    </w:tbl>
    <w:p>
      <w:pPr>
        <w:pStyle w:val="Heading2"/>
        <w:spacing w:before="280" w:after="160"/>
      </w:pPr>
      <w:r>
        <w:t xml:space="preserve">6.5 Open Questions Requiring Further Investigation</w:t>
      </w:r>
    </w:p>
    <w:p>
      <w:pPr>
        <w:pStyle w:val="ListParagraph"/>
        <w:numPr>
          <w:ilvl w:val="0"/>
          <w:numId w:val="2"/>
        </w:numPr>
        <w:spacing w:after="80"/>
      </w:pPr>
      <w:r>
        <w:rPr>
          <w:rFonts w:ascii="Arial" w:cs="Arial" w:eastAsia="Arial" w:hAnsi="Arial"/>
          <w:sz w:val="22"/>
          <w:szCs w:val="22"/>
        </w:rPr>
        <w:t xml:space="preserve">Capsaicin delivery legality: Can EPA-registered capsaicin (e.g., Hot Sauce by Miller Chemical) be delivered via pressurized irrigation water under existing FIFRA registration? Requires regulatory counsel.</w:t>
      </w:r>
    </w:p>
    <w:p>
      <w:pPr>
        <w:pStyle w:val="ListParagraph"/>
        <w:numPr>
          <w:ilvl w:val="0"/>
          <w:numId w:val="2"/>
        </w:numPr>
        <w:spacing w:after="80"/>
      </w:pPr>
      <w:r>
        <w:rPr>
          <w:rFonts w:ascii="Arial" w:cs="Arial" w:eastAsia="Arial" w:hAnsi="Arial"/>
          <w:sz w:val="22"/>
          <w:szCs w:val="22"/>
        </w:rPr>
        <w:t xml:space="preserve">Node density optimization: The 20-25 node requirement for 40 acres was identified during validation but not field-tested. Can overlapping camera FOV reduce node count?</w:t>
      </w:r>
    </w:p>
    <w:p>
      <w:pPr>
        <w:pStyle w:val="ListParagraph"/>
        <w:numPr>
          <w:ilvl w:val="0"/>
          <w:numId w:val="2"/>
        </w:numPr>
        <w:spacing w:after="80"/>
      </w:pPr>
      <w:r>
        <w:rPr>
          <w:rFonts w:ascii="Arial" w:cs="Arial" w:eastAsia="Arial" w:hAnsi="Arial"/>
          <w:sz w:val="22"/>
          <w:szCs w:val="22"/>
        </w:rPr>
        <w:t xml:space="preserve">Water hammer: Rapid solenoid cycling at 30-80 PSI creates water hammer risk in existing irrigation pipe. Requires hydraulic engineering analysis.</w:t>
      </w:r>
    </w:p>
    <w:p>
      <w:pPr>
        <w:pStyle w:val="ListParagraph"/>
        <w:numPr>
          <w:ilvl w:val="0"/>
          <w:numId w:val="2"/>
        </w:numPr>
        <w:spacing w:after="80"/>
      </w:pPr>
      <w:r>
        <w:rPr>
          <w:rFonts w:ascii="Arial" w:cs="Arial" w:eastAsia="Arial" w:hAnsi="Arial"/>
          <w:sz w:val="22"/>
          <w:szCs w:val="22"/>
        </w:rPr>
        <w:t xml:space="preserve">Winter operation: Irrigation systems are typically winterized in cold climates. What is the seasonal operating window and how does this affect year-round deterrence?</w:t>
      </w:r>
    </w:p>
    <w:p>
      <w:pPr>
        <w:pStyle w:val="ListParagraph"/>
        <w:numPr>
          <w:ilvl w:val="0"/>
          <w:numId w:val="2"/>
        </w:numPr>
        <w:spacing w:after="80"/>
      </w:pPr>
      <w:r>
        <w:rPr>
          <w:rFonts w:ascii="Arial" w:cs="Arial" w:eastAsia="Arial" w:hAnsi="Arial"/>
          <w:sz w:val="22"/>
          <w:szCs w:val="22"/>
        </w:rPr>
        <w:t xml:space="preserve">Species-specific response: Can the thermal AI model reliably distinguish deer from cattle, dogs, or farm workers to prevent false activation?</w:t>
      </w:r>
    </w:p>
    <w:p>
      <w:r>
        <w:br w:type="page"/>
      </w:r>
    </w:p>
    <w:p>
      <w:pPr>
        <w:pStyle w:val="Heading1"/>
        <w:spacing w:before="360" w:after="200"/>
      </w:pPr>
      <w:r>
        <w:t xml:space="preserve">7. Intellectual Property Documentation</w:t>
      </w:r>
    </w:p>
    <w:p>
      <w:pPr>
        <w:pStyle w:val="Heading2"/>
        <w:spacing w:before="280" w:after="160"/>
      </w:pPr>
      <w:r>
        <w:t xml:space="preserve">7.1 Patent White Space Confirmed</w:t>
      </w:r>
    </w:p>
    <w:p>
      <w:pPr>
        <w:spacing w:after="120"/>
      </w:pPr>
      <w:r>
        <w:rPr>
          <w:rFonts w:ascii="Arial" w:cs="Arial" w:eastAsia="Arial" w:hAnsi="Arial"/>
          <w:sz w:val="22"/>
          <w:szCs w:val="22"/>
        </w:rPr>
        <w:t xml:space="preserve">Patent landscape analysis confirmed significant white space. The primary prior art is US 9,226,493 (2016, basic motion-triggered sprinkler deterrence) which is approaching expiration. No existing patent covers the combination of: AI thermal wildlife detection + irrigation zone control + adaptive response pattern variation + species-specific escalation.</w:t>
      </w:r>
    </w:p>
    <w:p>
      <w:pPr>
        <w:pStyle w:val="Heading2"/>
        <w:spacing w:before="280" w:after="160"/>
      </w:pPr>
      <w:r>
        <w:t xml:space="preserve">7.2 Defensible Patent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Claim Area</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Strength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thermal detection with adaptive spray pattern variation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HYDRA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(6.5/10) — combination is novel; individual elements known</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Multi-botanical compound rotation for olfactory habituation prevention</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Phantom Crop</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HIGH (8/10) — conditional on field validation of habituation hypothesis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Predictive field boundary monitoring with pre-emptive deterrent zone activation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MEDIUM-HIGH (7/10) — predictive rather than reactive is novel</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Virtual fence architecture using coordinated water curtain zones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HYDRA</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MEDIUM-HIGH (7/10) — system-level innovation</w:t>
            </w:r>
          </w:p>
        </w:tc>
      </w:tr>
    </w:tbl>
    <w:p>
      <w:pPr>
        <w:pStyle w:val="Heading2"/>
        <w:spacing w:before="280" w:after="160"/>
      </w:pPr>
      <w:r>
        <w:t xml:space="preserve">7.3 Human Contribution Points (USPTO Compliance)</w:t>
      </w:r>
    </w:p>
    <w:p>
      <w:pPr>
        <w:spacing w:after="120"/>
      </w:pPr>
      <w:r>
        <w:rPr>
          <w:rFonts w:ascii="Arial" w:cs="Arial" w:eastAsia="Arial" w:hAnsi="Arial"/>
          <w:sz w:val="22"/>
          <w:szCs w:val="22"/>
        </w:rPr>
        <w:t xml:space="preserve">Under USPTO February 2024 guidance on AI-assisted inventions, the following human contributions establish inventorship: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000"/>
        <w:gridCol w:w="29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Decision Point</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Human Action</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Problem framing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Defined cost + effectiveness as dual challenge; rejected incremental optimization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Directed entire session toward clean-sheet invention</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Paradigm rejection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Rejected all three initial TRIZ concepts (LITE, DRONE EXPRESS, ECOSYSTEM)</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Forced agents to invent beyond existing paradigm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scoping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Confirmed mains power from irrigation; identified existing infrastructure as design asset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Enabled irrigation-based solution concepts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Solution selection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 be completed: selection from HYDRA/Phantom Crop/hybrid</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Determines final direction for prototyping</w:t>
            </w:r>
          </w:p>
        </w:tc>
      </w:tr>
    </w:tbl>
    <w:p>
      <w:pPr>
        <w:pStyle w:val="Heading2"/>
        <w:spacing w:before="280" w:after="160"/>
      </w:pPr>
      <w:r>
        <w:t xml:space="preserve">7.4 AI-Generated Content Disclosure</w:t>
      </w:r>
    </w:p>
    <w:p>
      <w:pPr>
        <w:spacing w:after="120"/>
      </w:pPr>
      <w:r>
        <w:rPr>
          <w:rFonts w:ascii="Arial" w:cs="Arial" w:eastAsia="Arial" w:hAnsi="Arial"/>
          <w:sz w:val="22"/>
          <w:szCs w:val="22"/>
        </w:rPr>
        <w:t xml:space="preserve">All TRIZ analysis, solution generation, domain engineering evaluation, cost modeling, market sizing, and patent landscape analysis were AI-assisted using the Field Shield TRIZ Innovation Engine (Claude Desktop). The AI tool generated multiple solution concepts which were filtered, validated, and ranked through automated engineering validation and human review at three gate points. TRIZ contradiction matrix lookups and inventive principle applications used the established 39-parameter, 40-principle TRIZ methodology.</w:t>
      </w:r>
    </w:p>
    <w:p>
      <w:pPr>
        <w:pStyle w:val="Heading2"/>
        <w:spacing w:before="280" w:after="160"/>
      </w:pPr>
      <w:r>
        <w:t xml:space="preserve">7.5 Certification</w:t>
      </w:r>
    </w:p>
    <w:p>
      <w:pPr>
        <w:spacing w:after="120"/>
      </w:pPr>
      <w:r>
        <w:rPr>
          <w:rFonts w:ascii="Arial" w:cs="Arial" w:eastAsia="Arial" w:hAnsi="Arial"/>
          <w:sz w:val="22"/>
          <w:szCs w:val="22"/>
        </w:rPr>
        <w:t xml:space="preserve">I certify that the above documentation accurately reflects my contributions to this innovation session. The AI tool was used as an analytical aid, and all substantive inventive decisions were made by me.</w:t>
      </w:r>
    </w:p>
    <w:p>
      <w:pPr>
        <w:spacing w:before="400"/>
      </w:pPr>
    </w:p>
    <w:p>
      <w:pPr>
        <w:spacing w:after="120"/>
      </w:pPr>
      <w:r>
        <w:rPr>
          <w:rFonts w:ascii="Arial" w:cs="Arial" w:eastAsia="Arial" w:hAnsi="Arial"/>
          <w:sz w:val="22"/>
          <w:szCs w:val="22"/>
        </w:rPr>
        <w:t xml:space="preserve">Inventor: _________________________ Date: _____________</w:t>
      </w:r>
    </w:p>
    <w:p>
      <w:pPr>
        <w:spacing w:after="120"/>
      </w:pPr>
      <w:r>
        <w:rPr>
          <w:rFonts w:ascii="Arial" w:cs="Arial" w:eastAsia="Arial" w:hAnsi="Arial"/>
          <w:sz w:val="22"/>
          <w:szCs w:val="22"/>
        </w:rPr>
        <w:t xml:space="preserve">Witness: _________________________ Date: _____________</w:t>
      </w:r>
    </w:p>
    <w:p>
      <w:r>
        <w:br w:type="page"/>
      </w:r>
    </w:p>
    <w:p>
      <w:pPr>
        <w:pStyle w:val="Heading1"/>
        <w:spacing w:before="360" w:after="200"/>
      </w:pPr>
      <w:r>
        <w:t xml:space="preserve">8. Appendices</w:t>
      </w:r>
    </w:p>
    <w:p>
      <w:pPr>
        <w:pStyle w:val="Heading2"/>
        <w:spacing w:before="280" w:after="160"/>
      </w:pPr>
      <w:r>
        <w:t xml:space="preserve">Appendix A: Agent Consultation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Output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TRIZ Specialist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contradictions, 14 principles, 3 solution concepts (rejected)</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AgTech Domain Expert</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Habituation science: acoustic deterrents fail in 3-4 weeks; only physical barriers proven long-term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Irrigation Systems Researcher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Irrigation fusion feasibility: 170-350ms response time, $730-3,230 AI retrofit cost, patent white space confirmed</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Mechanical Engineer</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Regulatory compliance concerns for capsaicin/chemical delivery; recommended ballistic netting and sensory integration alternatives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Embedded Systems Architect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Phantom Crop 8/10, HYDRA 7/10, Hunting Ghost 5/10; recommended hybrid approach; identified HYDRA hidden node count cost</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Cost Analyst</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Full BOM, 5-year TCO, ROI analysis, market sizing ($36-111M SAM), manufacturing scalability assessment</w:t>
            </w:r>
          </w:p>
        </w:tc>
      </w:tr>
    </w:tbl>
    <w:p>
      <w:pPr>
        <w:pStyle w:val="Heading2"/>
        <w:spacing w:before="280" w:after="160"/>
      </w:pPr>
      <w:r>
        <w:t xml:space="preserve">Appendix B: Key Data Sources</w:t>
      </w:r>
    </w:p>
    <w:p>
      <w:pPr>
        <w:pStyle w:val="ListParagraph"/>
        <w:numPr>
          <w:ilvl w:val="0"/>
          <w:numId w:val="2"/>
        </w:numPr>
        <w:spacing w:after="80"/>
      </w:pPr>
      <w:r>
        <w:rPr>
          <w:rFonts w:ascii="Arial" w:cs="Arial" w:eastAsia="Arial" w:hAnsi="Arial"/>
          <w:sz w:val="22"/>
          <w:szCs w:val="22"/>
        </w:rPr>
        <w:t xml:space="preserve">USDA National Wildlife Research Center — Wildlife Damage Statistics</w:t>
      </w:r>
    </w:p>
    <w:p>
      <w:pPr>
        <w:pStyle w:val="ListParagraph"/>
        <w:numPr>
          <w:ilvl w:val="0"/>
          <w:numId w:val="2"/>
        </w:numPr>
        <w:spacing w:after="80"/>
      </w:pPr>
      <w:r>
        <w:rPr>
          <w:rFonts w:ascii="Arial" w:cs="Arial" w:eastAsia="Arial" w:hAnsi="Arial"/>
          <w:sz w:val="22"/>
          <w:szCs w:val="22"/>
        </w:rPr>
        <w:t xml:space="preserve">USDA Census of Agriculture 2022 — 54.9M irrigated acres, 212,714 farms</w:t>
      </w:r>
    </w:p>
    <w:p>
      <w:pPr>
        <w:pStyle w:val="ListParagraph"/>
        <w:numPr>
          <w:ilvl w:val="0"/>
          <w:numId w:val="2"/>
        </w:numPr>
        <w:spacing w:after="80"/>
      </w:pPr>
      <w:r>
        <w:rPr>
          <w:rFonts w:ascii="Arial" w:cs="Arial" w:eastAsia="Arial" w:hAnsi="Arial"/>
          <w:sz w:val="22"/>
          <w:szCs w:val="22"/>
        </w:rPr>
        <w:t xml:space="preserve">USDA Estimation of Wildlife Damage from Federal Crop Insurance Data — $592.6M annual crop damage</w:t>
      </w:r>
    </w:p>
    <w:p>
      <w:pPr>
        <w:pStyle w:val="ListParagraph"/>
        <w:numPr>
          <w:ilvl w:val="0"/>
          <w:numId w:val="2"/>
        </w:numPr>
        <w:spacing w:after="80"/>
      </w:pPr>
      <w:r>
        <w:rPr>
          <w:rFonts w:ascii="Arial" w:cs="Arial" w:eastAsia="Arial" w:hAnsi="Arial"/>
          <w:sz w:val="22"/>
          <w:szCs w:val="22"/>
        </w:rPr>
        <w:t xml:space="preserve">Google Patents — US 9,226,493 (motion-triggered sprinkler deterrence, 2016)</w:t>
      </w:r>
    </w:p>
    <w:p>
      <w:pPr>
        <w:pStyle w:val="ListParagraph"/>
        <w:numPr>
          <w:ilvl w:val="0"/>
          <w:numId w:val="2"/>
        </w:numPr>
        <w:spacing w:after="80"/>
      </w:pPr>
      <w:r>
        <w:rPr>
          <w:rFonts w:ascii="Arial" w:cs="Arial" w:eastAsia="Arial" w:hAnsi="Arial"/>
          <w:sz w:val="22"/>
          <w:szCs w:val="22"/>
        </w:rPr>
        <w:t xml:space="preserve">NPIC Capsaicin Fact Sheet — EPA-registered pesticide repellent data</w:t>
      </w:r>
    </w:p>
    <w:p>
      <w:pPr>
        <w:pStyle w:val="ListParagraph"/>
        <w:numPr>
          <w:ilvl w:val="0"/>
          <w:numId w:val="2"/>
        </w:numPr>
        <w:spacing w:after="80"/>
      </w:pPr>
      <w:r>
        <w:rPr>
          <w:rFonts w:ascii="Arial" w:cs="Arial" w:eastAsia="Arial" w:hAnsi="Arial"/>
          <w:sz w:val="22"/>
          <w:szCs w:val="22"/>
        </w:rPr>
        <w:t xml:space="preserve">Maryland DNR / City of Ann Arbor — Non-lethal deterrent effectiveness research</w:t>
      </w:r>
    </w:p>
    <w:p>
      <w:pPr>
        <w:pStyle w:val="ListParagraph"/>
        <w:numPr>
          <w:ilvl w:val="0"/>
          <w:numId w:val="2"/>
        </w:numPr>
        <w:spacing w:after="80"/>
      </w:pPr>
      <w:r>
        <w:rPr>
          <w:rFonts w:ascii="Arial" w:cs="Arial" w:eastAsia="Arial" w:hAnsi="Arial"/>
          <w:sz w:val="22"/>
          <w:szCs w:val="22"/>
        </w:rPr>
        <w:t xml:space="preserve">SparkFun / FLIR — Lepton 3.5 thermal module specifications and pricing</w:t>
      </w:r>
    </w:p>
    <w:p>
      <w:pPr>
        <w:pStyle w:val="ListParagraph"/>
        <w:numPr>
          <w:ilvl w:val="0"/>
          <w:numId w:val="2"/>
        </w:numPr>
        <w:spacing w:after="80"/>
      </w:pPr>
      <w:r>
        <w:rPr>
          <w:rFonts w:ascii="Arial" w:cs="Arial" w:eastAsia="Arial" w:hAnsi="Arial"/>
          <w:sz w:val="22"/>
          <w:szCs w:val="22"/>
        </w:rPr>
        <w:t xml:space="preserve">NVIDIA / Google — Edge AI processing benchmarks (Jetson, Coral TPU)</w:t>
      </w:r>
    </w:p>
    <w:p>
      <w:pPr>
        <w:pStyle w:val="ListParagraph"/>
        <w:numPr>
          <w:ilvl w:val="0"/>
          <w:numId w:val="2"/>
        </w:numPr>
        <w:spacing w:after="80"/>
      </w:pPr>
      <w:r>
        <w:rPr>
          <w:rFonts w:ascii="Arial" w:cs="Arial" w:eastAsia="Arial" w:hAnsi="Arial"/>
          <w:sz w:val="22"/>
          <w:szCs w:val="22"/>
        </w:rPr>
        <w:t xml:space="preserve">Verdi / Reinke / FarmHQ — Smart irrigation controller technology and pricing</w:t>
      </w:r>
    </w:p>
    <w:p>
      <w:pPr>
        <w:spacing w:before="400"/>
      </w:pPr>
    </w:p>
    <w:p>
      <w:pPr>
        <w:spacing w:after="120"/>
      </w:pPr>
      <w:r>
        <w:rPr>
          <w:rFonts w:ascii="Arial" w:cs="Arial" w:eastAsia="Arial" w:hAnsi="Arial"/>
          <w:i/>
          <w:iCs/>
          <w:color w:val="666666"/>
          <w:sz w:val="22"/>
          <w:szCs w:val="22"/>
        </w:rPr>
        <w:t xml:space="preserve">Generated by Field Shield TRIZ Innovation Engine — Claude Desktop Optimized</w:t>
      </w:r>
    </w:p>
    <w:p>
      <w:pPr>
        <w:spacing w:after="120"/>
      </w:pPr>
      <w:r>
        <w:rPr>
          <w:rFonts w:ascii="Arial" w:cs="Arial" w:eastAsia="Arial" w:hAnsi="Arial"/>
          <w:i/>
          <w:iCs/>
          <w:color w:val="666666"/>
          <w:sz w:val="22"/>
          <w:szCs w:val="22"/>
        </w:rPr>
        <w:t xml:space="preserve">Session conducted: February 13, 2026</w:t>
      </w:r>
    </w:p>
    <w:p>
      <w:pPr>
        <w:spacing w:after="120"/>
      </w:pPr>
      <w:r>
        <w:rPr>
          <w:rFonts w:ascii="Arial" w:cs="Arial" w:eastAsia="Arial" w:hAnsi="Arial"/>
          <w:i/>
          <w:iCs/>
          <w:color w:val="666666"/>
          <w:sz w:val="22"/>
          <w:szCs w:val="22"/>
        </w:rPr>
        <w:t xml:space="preserve">Report compiled: February 13,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FIELD SHIELD — TRIZ Innovation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D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7C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2026-02-13T22:41:39.196Z</dcterms:created>
  <dcterms:modified xsi:type="dcterms:W3CDTF">2026-02-13T22:41:39.196Z</dcterms:modified>
</cp:coreProperties>
</file>

<file path=docProps/custom.xml><?xml version="1.0" encoding="utf-8"?>
<Properties xmlns="http://schemas.openxmlformats.org/officeDocument/2006/custom-properties" xmlns:vt="http://schemas.openxmlformats.org/officeDocument/2006/docPropsVTypes"/>
</file>