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A1A1A"/>
          <w:sz w:val="40"/>
          <w:szCs w:val="40"/>
        </w:rPr>
        <w:t xml:space="preserve">Alfred Daniel Dickson II</w:t>
      </w:r>
    </w:p>
    <w:p>
      <w:pPr>
        <w:spacing w:after="40" w:before="40"/>
      </w:pPr>
      <w:r>
        <w:rPr>
          <w:rFonts w:ascii="Arial" w:cs="Arial" w:eastAsia="Arial" w:hAnsi="Arial"/>
          <w:color w:val="595959"/>
          <w:sz w:val="23"/>
          <w:szCs w:val="23"/>
        </w:rPr>
        <w:t xml:space="preserve">Creative Director  ·  Brand Systems &amp; Design Leadership</w:t>
      </w:r>
    </w:p>
    <w:p>
      <w:pPr>
        <w:spacing w:after="40"/>
      </w:pPr>
      <w:r>
        <w:rPr>
          <w:rFonts w:ascii="Arial" w:cs="Arial" w:eastAsia="Arial" w:hAnsi="Arial"/>
          <w:color w:val="595959"/>
          <w:sz w:val="20"/>
          <w:szCs w:val="20"/>
        </w:rPr>
        <w:t xml:space="preserve">Los Angeles, California  ·  +1.678.575.1695  ·  alfreddaniel@hey.com</w:t>
      </w:r>
    </w:p>
    <w:p>
      <w:pPr>
        <w:pBdr>
          <w:bottom w:val="single" w:color="BFBFBF" w:sz="6" w:space="4"/>
        </w:pBdr>
        <w:spacing w:after="120" w:before="280"/>
      </w:pPr>
      <w:r>
        <w:rPr>
          <w:rFonts w:ascii="Arial" w:cs="Arial" w:eastAsia="Arial" w:hAnsi="Arial"/>
          <w:b/>
          <w:bCs/>
          <w:color w:val="1A1A1A"/>
          <w:sz w:val="22"/>
          <w:szCs w:val="22"/>
        </w:rPr>
        <w:t xml:space="preserve">SUMMARY</w:t>
      </w:r>
    </w:p>
    <w:p>
      <w:pPr>
        <w:spacing w:after="80" w:line="264"/>
      </w:pPr>
      <w:r>
        <w:rPr>
          <w:rFonts w:ascii="Arial" w:cs="Arial" w:eastAsia="Arial" w:hAnsi="Arial"/>
          <w:sz w:val="21"/>
          <w:szCs w:val="21"/>
        </w:rPr>
        <w:t xml:space="preserve">Creative Director and design leader with 20+ years shaping brand systems, creative studios, and high-visibility storytelling across technology, entertainment, music, and culture. I lead teams by translating complex business, product, and executive signals into clear creative direction, scalable systems, and work that earns trust across audiences. My strength is creating the conditions for senior creative teams to do focused, ambitious, world-class work.</w:t>
      </w:r>
    </w:p>
    <w:p>
      <w:pPr>
        <w:pBdr>
          <w:bottom w:val="single" w:color="BFBFBF" w:sz="6" w:space="4"/>
        </w:pBdr>
        <w:spacing w:after="120" w:before="280"/>
      </w:pPr>
      <w:r>
        <w:rPr>
          <w:rFonts w:ascii="Arial" w:cs="Arial" w:eastAsia="Arial" w:hAnsi="Arial"/>
          <w:b/>
          <w:bCs/>
          <w:color w:val="1A1A1A"/>
          <w:sz w:val="22"/>
          <w:szCs w:val="22"/>
        </w:rPr>
        <w:t xml:space="preserve">CORE CAPABILITIES</w:t>
      </w:r>
    </w:p>
    <w:p>
      <w:pPr>
        <w:spacing w:after="50" w:before="60" w:line="264"/>
      </w:pPr>
      <w:r>
        <w:rPr>
          <w:rFonts w:ascii="Arial" w:cs="Arial" w:eastAsia="Arial" w:hAnsi="Arial"/>
          <w:b/>
          <w:bCs/>
          <w:color w:val="1A1A1A"/>
          <w:sz w:val="21"/>
          <w:szCs w:val="21"/>
        </w:rPr>
        <w:t xml:space="preserve">Creative Direction.  </w:t>
      </w:r>
      <w:r>
        <w:rPr>
          <w:rFonts w:ascii="Arial" w:cs="Arial" w:eastAsia="Arial" w:hAnsi="Arial"/>
          <w:sz w:val="21"/>
          <w:szCs w:val="21"/>
        </w:rPr>
        <w:t xml:space="preserve">Translate business, product, and executive priorities into clear direction teams can act on.</w:t>
      </w:r>
    </w:p>
    <w:p>
      <w:pPr>
        <w:spacing w:after="50" w:line="264"/>
      </w:pPr>
      <w:r>
        <w:rPr>
          <w:rFonts w:ascii="Arial" w:cs="Arial" w:eastAsia="Arial" w:hAnsi="Arial"/>
          <w:b/>
          <w:bCs/>
          <w:color w:val="1A1A1A"/>
          <w:sz w:val="21"/>
          <w:szCs w:val="21"/>
        </w:rPr>
        <w:t xml:space="preserve">Brand Systems.  </w:t>
      </w:r>
      <w:r>
        <w:rPr>
          <w:rFonts w:ascii="Arial" w:cs="Arial" w:eastAsia="Arial" w:hAnsi="Arial"/>
          <w:sz w:val="21"/>
          <w:szCs w:val="21"/>
        </w:rPr>
        <w:t xml:space="preserve">Build visual systems, templates, and practices that help creative work travel consistently across channels, launches, events, and regions.</w:t>
      </w:r>
    </w:p>
    <w:p>
      <w:pPr>
        <w:spacing w:after="50" w:line="264"/>
      </w:pPr>
      <w:r>
        <w:rPr>
          <w:rFonts w:ascii="Arial" w:cs="Arial" w:eastAsia="Arial" w:hAnsi="Arial"/>
          <w:b/>
          <w:bCs/>
          <w:color w:val="1A1A1A"/>
          <w:sz w:val="21"/>
          <w:szCs w:val="21"/>
        </w:rPr>
        <w:t xml:space="preserve">Studio Leadership.  </w:t>
      </w:r>
      <w:r>
        <w:rPr>
          <w:rFonts w:ascii="Arial" w:cs="Arial" w:eastAsia="Arial" w:hAnsi="Arial"/>
          <w:sz w:val="21"/>
          <w:szCs w:val="21"/>
        </w:rPr>
        <w:t xml:space="preserve">Protect focus, clarify priorities, and create the conditions for senior designers, motion designers, illustrators, and partners to do their best work.</w:t>
      </w:r>
    </w:p>
    <w:p>
      <w:pPr>
        <w:spacing w:after="50" w:line="264"/>
      </w:pPr>
      <w:r>
        <w:rPr>
          <w:rFonts w:ascii="Arial" w:cs="Arial" w:eastAsia="Arial" w:hAnsi="Arial"/>
          <w:b/>
          <w:bCs/>
          <w:color w:val="1A1A1A"/>
          <w:sz w:val="21"/>
          <w:szCs w:val="21"/>
        </w:rPr>
        <w:t xml:space="preserve">Trust Through Craft.  </w:t>
      </w:r>
      <w:r>
        <w:rPr>
          <w:rFonts w:ascii="Arial" w:cs="Arial" w:eastAsia="Arial" w:hAnsi="Arial"/>
          <w:sz w:val="21"/>
          <w:szCs w:val="21"/>
        </w:rPr>
        <w:t xml:space="preserve">Use clarity, restraint, and coherence to help audiences understand technology, believe in the brand, and connect with the product story.</w:t>
      </w:r>
    </w:p>
    <w:p>
      <w:pPr>
        <w:pBdr>
          <w:bottom w:val="single" w:color="BFBFBF" w:sz="6" w:space="4"/>
        </w:pBdr>
        <w:spacing w:after="120" w:before="280"/>
      </w:pPr>
      <w:r>
        <w:rPr>
          <w:rFonts w:ascii="Arial" w:cs="Arial" w:eastAsia="Arial" w:hAnsi="Arial"/>
          <w:b/>
          <w:bCs/>
          <w:color w:val="1A1A1A"/>
          <w:sz w:val="22"/>
          <w:szCs w:val="22"/>
        </w:rPr>
        <w:t xml:space="preserve">SELECTED EXPERIENCE</w:t>
      </w:r>
    </w:p>
    <w:p>
      <w:pPr>
        <w:spacing w:after="0" w:before="200"/>
      </w:pPr>
      <w:r>
        <w:rPr>
          <w:rFonts w:ascii="Arial" w:cs="Arial" w:eastAsia="Arial" w:hAnsi="Arial"/>
          <w:b/>
          <w:bCs/>
          <w:color w:val="1A1A1A"/>
          <w:sz w:val="23"/>
          <w:szCs w:val="23"/>
        </w:rPr>
        <w:t xml:space="preserve">Creative Director, Apple Music / Apple TV Sports</w:t>
      </w:r>
    </w:p>
    <w:p>
      <w:pPr>
        <w:spacing w:after="60" w:before="10"/>
      </w:pPr>
      <w:r>
        <w:rPr>
          <w:rFonts w:ascii="Arial" w:cs="Arial" w:eastAsia="Arial" w:hAnsi="Arial"/>
          <w:i/>
          <w:iCs/>
          <w:color w:val="595959"/>
          <w:sz w:val="20"/>
          <w:szCs w:val="20"/>
        </w:rPr>
        <w:t xml:space="preserve">Apple  ·  Los Angeles, CA  ·  2021–Present</w:t>
      </w:r>
    </w:p>
    <w:p>
      <w:pPr>
        <w:spacing w:after="80" w:line="264"/>
      </w:pPr>
      <w:r>
        <w:rPr>
          <w:rFonts w:ascii="Arial" w:cs="Arial" w:eastAsia="Arial" w:hAnsi="Arial"/>
          <w:sz w:val="21"/>
          <w:szCs w:val="21"/>
        </w:rPr>
        <w:t xml:space="preserve">Lead brand, product-surface, and production design systems across Apple Music and Apple TV Sports. Set creative direction for high-visibility launches, partner work, and live sports surfaces, and build the modular systems that keep the work coherent as it scales across teams and channels. Partner with product, marketing, production, and editorial to turn complex content into experiences audiences read instantly.</w:t>
      </w:r>
    </w:p>
    <w:p>
      <w:pPr>
        <w:spacing w:after="0" w:before="200"/>
      </w:pPr>
      <w:r>
        <w:rPr>
          <w:rFonts w:ascii="Arial" w:cs="Arial" w:eastAsia="Arial" w:hAnsi="Arial"/>
          <w:b/>
          <w:bCs/>
          <w:color w:val="1A1A1A"/>
          <w:sz w:val="23"/>
          <w:szCs w:val="23"/>
        </w:rPr>
        <w:t xml:space="preserve">Design Director, Google Cloud</w:t>
      </w:r>
    </w:p>
    <w:p>
      <w:pPr>
        <w:spacing w:after="60" w:before="10"/>
      </w:pPr>
      <w:r>
        <w:rPr>
          <w:rFonts w:ascii="Arial" w:cs="Arial" w:eastAsia="Arial" w:hAnsi="Arial"/>
          <w:i/>
          <w:iCs/>
          <w:color w:val="595959"/>
          <w:sz w:val="20"/>
          <w:szCs w:val="20"/>
        </w:rPr>
        <w:t xml:space="preserve">Google  ·  San Francisco, CA  ·  2019–2021</w:t>
      </w:r>
    </w:p>
    <w:p>
      <w:pPr>
        <w:spacing w:after="80" w:line="264"/>
      </w:pPr>
      <w:r>
        <w:rPr>
          <w:rFonts w:ascii="Arial" w:cs="Arial" w:eastAsia="Arial" w:hAnsi="Arial"/>
          <w:sz w:val="21"/>
          <w:szCs w:val="21"/>
        </w:rPr>
        <w:t xml:space="preserve">Led brand and storytelling systems across enterprise cloud, AI, infrastructure, and digital-transformation narratives. Partnered with marketing, sales, product, and executive teams to translate deep technical complexity into creative systems, campaigns, and go-to-market storytelling for cloud-native and traditional enterprise audiences. Improved clarity, consistency, and trust across complex B2B communication.</w:t>
      </w:r>
    </w:p>
    <w:p>
      <w:pPr>
        <w:spacing w:after="0" w:before="200"/>
      </w:pPr>
      <w:r>
        <w:rPr>
          <w:rFonts w:ascii="Arial" w:cs="Arial" w:eastAsia="Arial" w:hAnsi="Arial"/>
          <w:b/>
          <w:bCs/>
          <w:color w:val="1A1A1A"/>
          <w:sz w:val="23"/>
          <w:szCs w:val="23"/>
        </w:rPr>
        <w:t xml:space="preserve">Creative Director, Brand &amp; Marketing</w:t>
      </w:r>
    </w:p>
    <w:p>
      <w:pPr>
        <w:spacing w:after="60" w:before="10"/>
      </w:pPr>
      <w:r>
        <w:rPr>
          <w:rFonts w:ascii="Arial" w:cs="Arial" w:eastAsia="Arial" w:hAnsi="Arial"/>
          <w:i/>
          <w:iCs/>
          <w:color w:val="595959"/>
          <w:sz w:val="20"/>
          <w:szCs w:val="20"/>
        </w:rPr>
        <w:t xml:space="preserve">Vevo  ·  New York, NY  ·  2015–2019</w:t>
      </w:r>
    </w:p>
    <w:p>
      <w:pPr>
        <w:spacing w:after="80" w:line="264"/>
      </w:pPr>
      <w:r>
        <w:rPr>
          <w:rFonts w:ascii="Arial" w:cs="Arial" w:eastAsia="Arial" w:hAnsi="Arial"/>
          <w:sz w:val="21"/>
          <w:szCs w:val="21"/>
        </w:rPr>
        <w:t xml:space="preserve">Led brand and marketing creative across artist franchises, original programming, and product, working with artists and cross-functional teams to strengthen the connection between artist and audience. Introduced operating frameworks that supported growth, efficiency, and creative scale in a high-volume content business.</w:t>
      </w:r>
    </w:p>
    <w:p>
      <w:pPr>
        <w:spacing w:after="0" w:before="200"/>
      </w:pPr>
      <w:r>
        <w:rPr>
          <w:rFonts w:ascii="Arial" w:cs="Arial" w:eastAsia="Arial" w:hAnsi="Arial"/>
          <w:b/>
          <w:bCs/>
          <w:color w:val="1A1A1A"/>
          <w:sz w:val="23"/>
          <w:szCs w:val="23"/>
        </w:rPr>
        <w:t xml:space="preserve">Creative Director</w:t>
      </w:r>
    </w:p>
    <w:p>
      <w:pPr>
        <w:spacing w:after="60" w:before="10"/>
      </w:pPr>
      <w:r>
        <w:rPr>
          <w:rFonts w:ascii="Arial" w:cs="Arial" w:eastAsia="Arial" w:hAnsi="Arial"/>
          <w:i/>
          <w:iCs/>
          <w:color w:val="595959"/>
          <w:sz w:val="20"/>
          <w:szCs w:val="20"/>
        </w:rPr>
        <w:t xml:space="preserve">Tribeca Enterprises  ·  New York, NY  ·  2012–2015</w:t>
      </w:r>
    </w:p>
    <w:p>
      <w:pPr>
        <w:spacing w:after="80" w:line="264"/>
      </w:pPr>
      <w:r>
        <w:rPr>
          <w:rFonts w:ascii="Arial" w:cs="Arial" w:eastAsia="Arial" w:hAnsi="Arial"/>
          <w:sz w:val="21"/>
          <w:szCs w:val="21"/>
        </w:rPr>
        <w:t xml:space="preserve">Directed experience and brand design across Tribeca Film Festival, Tribeca Film, and Tribeca Digital Studios, spanning campaigns, live events, and editorial. Built and developed in-house design and production teams, and strengthened storytelling coherence across every audience touchpoint for a multi-arm cultural institution.</w:t>
      </w:r>
    </w:p>
    <w:p>
      <w:pPr>
        <w:spacing w:after="0" w:before="200"/>
      </w:pPr>
      <w:r>
        <w:rPr>
          <w:rFonts w:ascii="Arial" w:cs="Arial" w:eastAsia="Arial" w:hAnsi="Arial"/>
          <w:b/>
          <w:bCs/>
          <w:color w:val="1A1A1A"/>
          <w:sz w:val="23"/>
          <w:szCs w:val="23"/>
        </w:rPr>
        <w:t xml:space="preserve">Early Career in Media and Brand Design</w:t>
      </w:r>
    </w:p>
    <w:p>
      <w:pPr>
        <w:spacing w:after="60" w:before="10"/>
      </w:pPr>
      <w:r>
        <w:rPr>
          <w:rFonts w:ascii="Arial" w:cs="Arial" w:eastAsia="Arial" w:hAnsi="Arial"/>
          <w:i/>
          <w:iCs/>
          <w:color w:val="595959"/>
          <w:sz w:val="20"/>
          <w:szCs w:val="20"/>
        </w:rPr>
        <w:t xml:space="preserve">Nickelodeon, Cartoon Network, Vertis, Matlock A+PR  ·  2002–2012</w:t>
      </w:r>
    </w:p>
    <w:p>
      <w:pPr>
        <w:spacing w:after="80" w:line="264"/>
      </w:pPr>
      <w:r>
        <w:rPr>
          <w:rFonts w:ascii="Arial" w:cs="Arial" w:eastAsia="Arial" w:hAnsi="Arial"/>
          <w:sz w:val="21"/>
          <w:szCs w:val="21"/>
        </w:rPr>
        <w:t xml:space="preserve">Built the foundation for a systems-based creative practice through broadcast, brand, and identity work across entertainment and corporate environments. Led Nickelodeon campaigns including the Kids’ Choice Awards and World Wide Day of Play, earning record engagement and industry recognition for integrated motion and identity systems. Developed design and marketing systems for brands including Coca-Cola, Delta, and Dell, unifying storytelling across print, packaging, and on-air.</w:t>
      </w:r>
    </w:p>
    <w:p>
      <w:pPr>
        <w:pBdr>
          <w:bottom w:val="single" w:color="BFBFBF" w:sz="6" w:space="4"/>
        </w:pBdr>
        <w:spacing w:after="120" w:before="280"/>
      </w:pPr>
      <w:r>
        <w:rPr>
          <w:rFonts w:ascii="Arial" w:cs="Arial" w:eastAsia="Arial" w:hAnsi="Arial"/>
          <w:b/>
          <w:bCs/>
          <w:color w:val="1A1A1A"/>
          <w:sz w:val="22"/>
          <w:szCs w:val="22"/>
        </w:rPr>
        <w:t xml:space="preserve">EDUCATION &amp; RECOGNITION</w:t>
      </w:r>
    </w:p>
    <w:p>
      <w:pPr>
        <w:spacing w:after="80" w:line="264"/>
      </w:pPr>
      <w:r>
        <w:rPr>
          <w:rFonts w:ascii="Arial" w:cs="Arial" w:eastAsia="Arial" w:hAnsi="Arial"/>
          <w:sz w:val="21"/>
          <w:szCs w:val="21"/>
        </w:rPr>
        <w:t xml:space="preserve">Yale School of Management, Business Perspectives for Creative Leaders</w:t>
      </w:r>
    </w:p>
    <w:p>
      <w:pPr>
        <w:spacing w:after="80" w:line="264"/>
      </w:pPr>
      <w:r>
        <w:rPr>
          <w:rFonts w:ascii="Arial" w:cs="Arial" w:eastAsia="Arial" w:hAnsi="Arial"/>
          <w:sz w:val="21"/>
          <w:szCs w:val="21"/>
        </w:rPr>
        <w:t xml:space="preserve">Georgia State University, BFA, Visual Communication</w:t>
      </w:r>
    </w:p>
    <w:p>
      <w:pPr>
        <w:spacing w:after="80" w:before="40" w:line="264"/>
      </w:pPr>
      <w:r>
        <w:rPr>
          <w:rFonts w:ascii="Arial" w:cs="Arial" w:eastAsia="Arial" w:hAnsi="Arial"/>
          <w:sz w:val="21"/>
          <w:szCs w:val="21"/>
        </w:rPr>
        <w:t xml:space="preserve">Emmy Award  ·  Type Directors Club  ·  AIGA Archives  ·  Communication Arts  ·  BDA Gold &amp; Silver Awards</w:t>
      </w:r>
    </w:p>
    <w:p>
      <w:pPr>
        <w:pBdr>
          <w:bottom w:val="single" w:color="BFBFBF" w:sz="6" w:space="4"/>
        </w:pBdr>
        <w:spacing w:after="120" w:before="280"/>
      </w:pPr>
      <w:r>
        <w:rPr>
          <w:rFonts w:ascii="Arial" w:cs="Arial" w:eastAsia="Arial" w:hAnsi="Arial"/>
          <w:b/>
          <w:bCs/>
          <w:color w:val="1A1A1A"/>
          <w:sz w:val="22"/>
          <w:szCs w:val="22"/>
        </w:rPr>
        <w:t xml:space="preserve">EXPERTISE &amp; TOOLS</w:t>
      </w:r>
    </w:p>
    <w:p>
      <w:pPr>
        <w:spacing w:after="80" w:line="264"/>
      </w:pPr>
      <w:r>
        <w:rPr>
          <w:rFonts w:ascii="Arial" w:cs="Arial" w:eastAsia="Arial" w:hAnsi="Arial"/>
          <w:sz w:val="21"/>
          <w:szCs w:val="21"/>
        </w:rPr>
        <w:t xml:space="preserve">Creative Direction  ·  Brand Systems  ·  Design Systems  ·  Creative Systems Design  ·  Enterprise Storytelling  ·  Brand Frameworks  ·  AI-Assisted Design Workflows  ·  Modular Design Tools  ·  Figma  ·  Adobe Creative Cloud  ·  Leadership Development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2026-06-10T06:51:09.894Z</dcterms:created>
  <dcterms:modified xsi:type="dcterms:W3CDTF">2026-06-10T06:51:09.894Z</dcterms:modified>
</cp:coreProperties>
</file>

<file path=docProps/custom.xml><?xml version="1.0" encoding="utf-8"?>
<Properties xmlns="http://schemas.openxmlformats.org/officeDocument/2006/custom-properties" xmlns:vt="http://schemas.openxmlformats.org/officeDocument/2006/docPropsVTypes"/>
</file>