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E929" w14:textId="16C75FF5" w:rsidR="00EF6A01" w:rsidRDefault="00AE7E62" w:rsidP="00AE7E62">
      <w:pPr>
        <w:pStyle w:val="Titre1"/>
      </w:pPr>
      <w:r>
        <w:t>Définition des tests</w:t>
      </w:r>
      <w:r w:rsidR="005653B8">
        <w:t> :</w:t>
      </w:r>
    </w:p>
    <w:p w14:paraId="13A329EA" w14:textId="4BA2A7C2" w:rsidR="00BF0A5B" w:rsidRPr="00BF0A5B" w:rsidRDefault="00BF0A5B" w:rsidP="00BF0A5B">
      <w:pPr>
        <w:pStyle w:val="Titre3"/>
      </w:pPr>
      <w:r w:rsidRPr="00BF0A5B">
        <w:t>testMinerAtCreation</w:t>
      </w:r>
      <w:r>
        <w:t> :</w:t>
      </w:r>
    </w:p>
    <w:p w14:paraId="351F4A60" w14:textId="21E2FE92" w:rsidR="00BF0A5B" w:rsidRPr="00BF0A5B" w:rsidRDefault="00BF0A5B" w:rsidP="00BF0A5B">
      <w:pPr>
        <w:ind w:left="705"/>
      </w:pPr>
      <w:r>
        <w:t>Ce test valide que, lors de la création d’un mineur, un port respectant les standards d’assignation lui a été assignée et que le mineur peut accéder aux autres mineurs et les autres mineurs peuvent accéder à lui</w:t>
      </w:r>
      <w:r w:rsidR="006F038B">
        <w:t>.</w:t>
      </w:r>
    </w:p>
    <w:p w14:paraId="08F11983" w14:textId="04A172AA" w:rsidR="0097225E" w:rsidRPr="0097225E" w:rsidRDefault="0097225E" w:rsidP="0097225E">
      <w:pPr>
        <w:pStyle w:val="Titre3"/>
      </w:pPr>
      <w:r w:rsidRPr="0097225E">
        <w:t>testTransactionIdUniqueness</w:t>
      </w:r>
      <w:r>
        <w:t> :</w:t>
      </w:r>
    </w:p>
    <w:p w14:paraId="11CC79A3" w14:textId="10235B08" w:rsidR="0097225E" w:rsidRPr="0097225E" w:rsidRDefault="0097225E" w:rsidP="0097225E">
      <w:pPr>
        <w:ind w:left="705"/>
      </w:pPr>
      <w:r>
        <w:t>Ce test valide que chaque transaction possède un id distinct/unique. (pour ne pas qu’il y ait des confusions entre les transactions dans l’algorithme)</w:t>
      </w:r>
    </w:p>
    <w:p w14:paraId="3E726B73" w14:textId="1AF192EF" w:rsidR="00CC404B" w:rsidRPr="00CC404B" w:rsidRDefault="00CC404B" w:rsidP="00CC404B">
      <w:pPr>
        <w:pStyle w:val="Titre3"/>
      </w:pPr>
      <w:r w:rsidRPr="00CC404B">
        <w:t>testSetConfirmed</w:t>
      </w:r>
      <w:r>
        <w:t> :</w:t>
      </w:r>
    </w:p>
    <w:p w14:paraId="02BA546B" w14:textId="29070BE5" w:rsidR="00CC404B" w:rsidRPr="00CC404B" w:rsidRDefault="00CC404B" w:rsidP="00CC404B">
      <w:pPr>
        <w:ind w:left="705"/>
      </w:pPr>
      <w:r>
        <w:t>Ce test valide que la transaction est toujours non confirmé par défaut et qu’appeler la fonction « setConfirmed » de cette transaction confirme celle-ci.</w:t>
      </w:r>
    </w:p>
    <w:p w14:paraId="314161C8" w14:textId="77777777" w:rsidR="0041482B" w:rsidRDefault="0041482B" w:rsidP="0041482B">
      <w:pPr>
        <w:pStyle w:val="Titre3"/>
      </w:pPr>
      <w:r w:rsidRPr="0077510C">
        <w:t>testTransactionSerialization</w:t>
      </w:r>
      <w:r>
        <w:t> :</w:t>
      </w:r>
    </w:p>
    <w:p w14:paraId="77FC9DDF" w14:textId="256785D4" w:rsidR="0041482B" w:rsidRDefault="0041482B" w:rsidP="0041482B">
      <w:pPr>
        <w:ind w:left="705"/>
      </w:pPr>
      <w:r>
        <w:tab/>
        <w:t>Ce test valide qu’on peut sérialiser et désérialiser des transactions en strings tout en conservant leurs données. (Afin de pouvoir passer une version sérialisée des transactions dans des requêtes)</w:t>
      </w:r>
    </w:p>
    <w:p w14:paraId="6168373A" w14:textId="1EE63B2D" w:rsidR="00E32B67" w:rsidRPr="00E32B67" w:rsidRDefault="00E32B67" w:rsidP="00E32B67">
      <w:pPr>
        <w:pStyle w:val="Titre3"/>
      </w:pPr>
      <w:r w:rsidRPr="00E32B67">
        <w:t>testBlockChainInitialization</w:t>
      </w:r>
      <w:r>
        <w:t> :</w:t>
      </w:r>
    </w:p>
    <w:p w14:paraId="55E0218B" w14:textId="71E12599" w:rsidR="00E32B67" w:rsidRPr="00E53764" w:rsidRDefault="00E53764" w:rsidP="00D3663A">
      <w:pPr>
        <w:ind w:left="705"/>
      </w:pPr>
      <w:r w:rsidRPr="00E53764">
        <w:t>Ce test valide que l</w:t>
      </w:r>
      <w:r>
        <w:t>’initialization du blockchain (par un mineur) crée un bloc genèse valide (ne possède pas de previousHash</w:t>
      </w:r>
      <w:r w:rsidR="006D3868">
        <w:t xml:space="preserve"> et est au niveau le moins profond possible</w:t>
      </w:r>
      <w:r>
        <w:t xml:space="preserve">) et </w:t>
      </w:r>
      <w:r w:rsidR="00D3663A">
        <w:t>qu’un</w:t>
      </w:r>
      <w:r>
        <w:t xml:space="preserve"> bloc de genèse est ajouté</w:t>
      </w:r>
      <w:r w:rsidR="00D3663A">
        <w:t xml:space="preserve"> au</w:t>
      </w:r>
      <w:r>
        <w:t>/débute le blockchain</w:t>
      </w:r>
      <w:r w:rsidR="00D3663A">
        <w:t xml:space="preserve"> dans cette opération</w:t>
      </w:r>
      <w:r>
        <w:t>.</w:t>
      </w:r>
    </w:p>
    <w:p w14:paraId="60ACFC9F" w14:textId="4F8CECBC" w:rsidR="000D322C" w:rsidRPr="00E53764" w:rsidRDefault="000D322C" w:rsidP="000D322C">
      <w:pPr>
        <w:pStyle w:val="Titre3"/>
        <w:rPr>
          <w:lang w:val="en-US"/>
        </w:rPr>
      </w:pPr>
      <w:r w:rsidRPr="00E53764">
        <w:rPr>
          <w:lang w:val="en-US"/>
        </w:rPr>
        <w:t>testProofOfWork</w:t>
      </w:r>
      <w:r w:rsidRPr="00E53764">
        <w:rPr>
          <w:lang w:val="en-US"/>
        </w:rPr>
        <w:t> :</w:t>
      </w:r>
    </w:p>
    <w:p w14:paraId="3E0CD975" w14:textId="06CE5075" w:rsidR="000D322C" w:rsidRPr="000D322C" w:rsidRDefault="000D322C" w:rsidP="00E32B67">
      <w:pPr>
        <w:ind w:left="705"/>
      </w:pPr>
      <w:r w:rsidRPr="000D322C">
        <w:t>Ce test valide que l</w:t>
      </w:r>
      <w:r>
        <w:t>e hashage d’un block (son processus de proof-of-work)</w:t>
      </w:r>
      <w:r w:rsidR="00E32B67">
        <w:t xml:space="preserve"> retourne un hashage valide (respecte la difficulté du calcul (avec le nombre de 0))</w:t>
      </w:r>
    </w:p>
    <w:p w14:paraId="466FD9DF" w14:textId="23C36C40" w:rsidR="005653B8" w:rsidRPr="000D322C" w:rsidRDefault="005653B8" w:rsidP="005653B8">
      <w:pPr>
        <w:pStyle w:val="Titre3"/>
      </w:pPr>
      <w:r w:rsidRPr="000D322C">
        <w:t>testBlockSerialization :</w:t>
      </w:r>
    </w:p>
    <w:p w14:paraId="360EE5D3" w14:textId="0F85D0B0" w:rsidR="0077510C" w:rsidRDefault="005653B8" w:rsidP="0041482B">
      <w:pPr>
        <w:ind w:left="705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t>Ce test valide qu’on peut sérialiser et désérialiser des blocks en strings</w:t>
      </w:r>
      <w:r w:rsidR="004164C1">
        <w:t xml:space="preserve"> tout en conservant leurs données</w:t>
      </w:r>
      <w:r>
        <w:t>. (Afin de pouvoir passer une version sérialisée des blocs dans les requêtes entre mineurs</w:t>
      </w:r>
      <w:r w:rsidR="008A3BDF">
        <w:t xml:space="preserve"> (pour échanger des blocs entre les mineurs)</w:t>
      </w:r>
      <w:r>
        <w:t>)</w:t>
      </w:r>
    </w:p>
    <w:p w14:paraId="3078B07B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EC70D8F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4A6DAC35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44A44C35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6EF27D55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2B3044DC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D700CB7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28CC6550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6B7E8C2D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24E9BF9D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682A2858" w14:textId="77777777" w:rsidR="0041482B" w:rsidRDefault="0041482B" w:rsidP="0041482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427E663" w14:textId="77777777" w:rsidR="0041482B" w:rsidRPr="005653B8" w:rsidRDefault="0041482B" w:rsidP="0041482B"/>
    <w:p w14:paraId="07E57A13" w14:textId="7493A6CB" w:rsidR="0077510C" w:rsidRPr="0077510C" w:rsidRDefault="0077510C" w:rsidP="0077510C"/>
    <w:p w14:paraId="07A48BEF" w14:textId="77777777" w:rsidR="00222CEA" w:rsidRPr="00222CEA" w:rsidRDefault="00222CEA" w:rsidP="00222CEA"/>
    <w:sectPr w:rsidR="00222CEA" w:rsidRPr="00222C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DB"/>
    <w:rsid w:val="000D322C"/>
    <w:rsid w:val="000D65DB"/>
    <w:rsid w:val="00105076"/>
    <w:rsid w:val="00222CEA"/>
    <w:rsid w:val="003072F0"/>
    <w:rsid w:val="0041482B"/>
    <w:rsid w:val="004164C1"/>
    <w:rsid w:val="005653B8"/>
    <w:rsid w:val="006D3868"/>
    <w:rsid w:val="006F038B"/>
    <w:rsid w:val="00724978"/>
    <w:rsid w:val="0077510C"/>
    <w:rsid w:val="008A3BDF"/>
    <w:rsid w:val="008F4E49"/>
    <w:rsid w:val="0097225E"/>
    <w:rsid w:val="00AE7E62"/>
    <w:rsid w:val="00BF0A5B"/>
    <w:rsid w:val="00CC404B"/>
    <w:rsid w:val="00D3663A"/>
    <w:rsid w:val="00E32B67"/>
    <w:rsid w:val="00E53764"/>
    <w:rsid w:val="00E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80D7"/>
  <w15:chartTrackingRefBased/>
  <w15:docId w15:val="{81D40F30-04EA-49E1-861E-CB90E8CE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6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6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6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6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6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6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6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6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6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6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D6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D6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65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65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65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65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65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65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6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6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6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6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6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65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65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65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6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65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6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Définition des tests :</vt:lpstr>
      <vt:lpstr>        testTransactionSerialization :</vt:lpstr>
      <vt:lpstr>        testBlockChainInitialization :</vt:lpstr>
      <vt:lpstr>        testProofOfWork :</vt:lpstr>
      <vt:lpstr>        testBlockSerialization :</vt:lpstr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Michon, Philippe</dc:creator>
  <cp:keywords/>
  <dc:description/>
  <cp:lastModifiedBy>Michon, Philippe</cp:lastModifiedBy>
  <cp:revision>15</cp:revision>
  <dcterms:created xsi:type="dcterms:W3CDTF">2024-12-03T23:51:00Z</dcterms:created>
  <dcterms:modified xsi:type="dcterms:W3CDTF">2024-12-04T00:58:00Z</dcterms:modified>
</cp:coreProperties>
</file>