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44275" w14:textId="77777777" w:rsidR="00DF1657" w:rsidRPr="005D4BB2" w:rsidRDefault="005E7B41" w:rsidP="005D4BB2">
      <w:pPr>
        <w:widowControl/>
        <w:autoSpaceDE w:val="0"/>
        <w:autoSpaceDN w:val="0"/>
        <w:adjustRightInd w:val="0"/>
        <w:jc w:val="center"/>
        <w:rPr>
          <w:rFonts w:ascii="Heiti SC Light" w:eastAsia="Heiti SC Light" w:hAnsi="Times" w:cs="Times" w:hint="eastAsia"/>
          <w:kern w:val="0"/>
          <w:sz w:val="50"/>
          <w:szCs w:val="50"/>
        </w:rPr>
      </w:pPr>
      <w:r>
        <w:rPr>
          <w:rFonts w:ascii="Heiti SC Light" w:eastAsia="Heiti SC Light" w:hAnsi="Times" w:cs="Times" w:hint="eastAsia"/>
          <w:kern w:val="0"/>
          <w:sz w:val="50"/>
          <w:szCs w:val="50"/>
        </w:rPr>
        <w:t>太平天国</w:t>
      </w:r>
      <w:bookmarkStart w:id="0" w:name="_GoBack"/>
      <w:bookmarkEnd w:id="0"/>
      <w:r w:rsidR="00DF1657" w:rsidRPr="005D4BB2">
        <w:rPr>
          <w:rFonts w:ascii="Heiti SC Light" w:eastAsia="Heiti SC Light" w:hAnsi="Times" w:cs="Times" w:hint="eastAsia"/>
          <w:kern w:val="0"/>
          <w:sz w:val="50"/>
          <w:szCs w:val="50"/>
        </w:rPr>
        <w:t>的</w:t>
      </w:r>
      <w:hyperlink r:id="rId6" w:history="1">
        <w:r w:rsidR="00DF1657" w:rsidRPr="005D4BB2">
          <w:rPr>
            <w:rFonts w:ascii="Heiti SC Light" w:eastAsia="Heiti SC Light" w:hAnsi="Times" w:cs="Times" w:hint="eastAsia"/>
            <w:kern w:val="0"/>
            <w:sz w:val="50"/>
            <w:szCs w:val="50"/>
          </w:rPr>
          <w:t>政治制度</w:t>
        </w:r>
      </w:hyperlink>
    </w:p>
    <w:p w14:paraId="7B165752" w14:textId="77777777" w:rsidR="00DF1657" w:rsidRPr="005D4BB2" w:rsidRDefault="00DF1657" w:rsidP="00DF1657">
      <w:pPr>
        <w:widowControl/>
        <w:autoSpaceDE w:val="0"/>
        <w:autoSpaceDN w:val="0"/>
        <w:adjustRightInd w:val="0"/>
        <w:jc w:val="left"/>
        <w:rPr>
          <w:rFonts w:ascii="Heiti SC Light" w:eastAsia="Heiti SC Light" w:hAnsi="Times" w:cs="Times" w:hint="eastAsia"/>
          <w:kern w:val="0"/>
          <w:sz w:val="28"/>
          <w:szCs w:val="28"/>
        </w:rPr>
      </w:pPr>
    </w:p>
    <w:p w14:paraId="2320D64F" w14:textId="77777777" w:rsidR="005D4BB2" w:rsidRPr="005D4BB2" w:rsidRDefault="005D4BB2" w:rsidP="005D4BB2">
      <w:pPr>
        <w:pStyle w:val="a3"/>
        <w:widowControl/>
        <w:numPr>
          <w:ilvl w:val="0"/>
          <w:numId w:val="1"/>
        </w:numPr>
        <w:autoSpaceDE w:val="0"/>
        <w:autoSpaceDN w:val="0"/>
        <w:adjustRightInd w:val="0"/>
        <w:ind w:firstLineChars="0"/>
        <w:jc w:val="left"/>
        <w:rPr>
          <w:rFonts w:ascii="Heiti SC Light" w:eastAsia="Heiti SC Light" w:hAnsi="FangSong_GB2312" w:cs="Times" w:hint="eastAsia"/>
          <w:kern w:val="0"/>
          <w:sz w:val="28"/>
          <w:szCs w:val="28"/>
        </w:rPr>
      </w:pPr>
      <w:r>
        <w:rPr>
          <w:rFonts w:ascii="Heiti SC Light" w:eastAsia="Heiti SC Light" w:hAnsi="FangSong_GB2312" w:cs="Times" w:hint="eastAsia"/>
          <w:b/>
          <w:bCs/>
          <w:kern w:val="0"/>
          <w:sz w:val="28"/>
          <w:szCs w:val="28"/>
        </w:rPr>
        <w:t>政权形式</w:t>
      </w:r>
      <w:r w:rsidR="00DF1657" w:rsidRPr="005D4BB2">
        <w:rPr>
          <w:rFonts w:ascii="Heiti SC Light" w:eastAsia="Heiti SC Light" w:hAnsi="FangSong_GB2312" w:cs="Times" w:hint="eastAsia"/>
          <w:b/>
          <w:bCs/>
          <w:kern w:val="0"/>
          <w:sz w:val="28"/>
          <w:szCs w:val="28"/>
        </w:rPr>
        <w:t> </w:t>
      </w:r>
      <w:r w:rsidR="00DF1657" w:rsidRPr="005D4BB2">
        <w:rPr>
          <w:rFonts w:ascii="Heiti SC Light" w:eastAsia="Heiti SC Light" w:hAnsi="FangSong_GB2312" w:cs="Times" w:hint="eastAsia"/>
          <w:kern w:val="0"/>
          <w:sz w:val="28"/>
          <w:szCs w:val="28"/>
        </w:rPr>
        <w:t xml:space="preserve">　</w:t>
      </w:r>
    </w:p>
    <w:p w14:paraId="3DCA4F5E" w14:textId="77777777" w:rsidR="005D4BB2" w:rsidRDefault="00DF1657" w:rsidP="005D4BB2">
      <w:pPr>
        <w:widowControl/>
        <w:autoSpaceDE w:val="0"/>
        <w:autoSpaceDN w:val="0"/>
        <w:adjustRightInd w:val="0"/>
        <w:ind w:firstLine="700"/>
        <w:jc w:val="left"/>
        <w:rPr>
          <w:rFonts w:ascii="FangSong_GB2312" w:eastAsia="FangSong_GB2312" w:hAnsi="FangSong_GB2312" w:cs="Times" w:hint="eastAsia"/>
          <w:kern w:val="0"/>
          <w:sz w:val="28"/>
          <w:szCs w:val="28"/>
        </w:rPr>
      </w:pPr>
      <w:r w:rsidRPr="005D4BB2">
        <w:rPr>
          <w:rFonts w:ascii="FangSong_GB2312" w:eastAsia="FangSong_GB2312" w:hAnsi="FangSong_GB2312" w:cs="Times"/>
          <w:kern w:val="0"/>
          <w:sz w:val="28"/>
          <w:szCs w:val="28"/>
        </w:rPr>
        <w:t xml:space="preserve">以1856～1857年内讧为界，中央政权组织形式前后有所变化。前期实行军师负责制，后期实行天王集权制。 </w:t>
      </w:r>
    </w:p>
    <w:p w14:paraId="1553AB9B" w14:textId="77777777" w:rsidR="005D4BB2" w:rsidRPr="005D4BB2" w:rsidRDefault="005D4BB2" w:rsidP="005D4BB2">
      <w:pPr>
        <w:widowControl/>
        <w:autoSpaceDE w:val="0"/>
        <w:autoSpaceDN w:val="0"/>
        <w:adjustRightInd w:val="0"/>
        <w:jc w:val="left"/>
        <w:rPr>
          <w:rFonts w:ascii="FangSong_GB2312" w:eastAsia="FangSong_GB2312" w:hAnsi="FangSong_GB2312" w:cs="Times" w:hint="eastAsia"/>
          <w:kern w:val="0"/>
          <w:sz w:val="28"/>
          <w:szCs w:val="28"/>
        </w:rPr>
      </w:pPr>
      <w:r w:rsidRPr="005D4BB2">
        <w:rPr>
          <w:rFonts w:ascii="Heiti SC Light" w:eastAsia="Heiti SC Light" w:hAnsi="FangSong_GB2312" w:cs="Times" w:hint="eastAsia"/>
          <w:kern w:val="0"/>
          <w:sz w:val="28"/>
          <w:szCs w:val="28"/>
        </w:rPr>
        <w:t>（一）</w:t>
      </w:r>
      <w:r w:rsidR="00DF1657" w:rsidRPr="005D4BB2">
        <w:rPr>
          <w:rFonts w:ascii="Heiti SC Light" w:eastAsia="Heiti SC Light" w:hAnsi="FangSong_GB2312" w:cs="Times" w:hint="eastAsia"/>
          <w:kern w:val="0"/>
          <w:sz w:val="28"/>
          <w:szCs w:val="28"/>
        </w:rPr>
        <w:t>军师负责制</w:t>
      </w:r>
      <w:r w:rsidR="00DF1657" w:rsidRPr="005D4BB2">
        <w:rPr>
          <w:rFonts w:ascii="Heiti SC Light" w:eastAsia="Heiti SC Light" w:hAnsi="FangSong_GB2312" w:cs="Times" w:hint="eastAsia"/>
          <w:kern w:val="0"/>
          <w:sz w:val="28"/>
          <w:szCs w:val="28"/>
        </w:rPr>
        <w:t> </w:t>
      </w:r>
      <w:r w:rsidR="00DF1657" w:rsidRPr="005D4BB2">
        <w:rPr>
          <w:rFonts w:ascii="FangSong_GB2312" w:eastAsia="FangSong_GB2312" w:hAnsi="FangSong_GB2312" w:cs="Times"/>
          <w:kern w:val="0"/>
          <w:sz w:val="28"/>
          <w:szCs w:val="28"/>
        </w:rPr>
        <w:t xml:space="preserve">　</w:t>
      </w:r>
    </w:p>
    <w:p w14:paraId="45EB26B6" w14:textId="77777777" w:rsidR="00DF1657" w:rsidRPr="005D4BB2" w:rsidRDefault="005D4BB2" w:rsidP="005D4BB2">
      <w:pPr>
        <w:pStyle w:val="a3"/>
        <w:widowControl/>
        <w:autoSpaceDE w:val="0"/>
        <w:autoSpaceDN w:val="0"/>
        <w:adjustRightInd w:val="0"/>
        <w:spacing w:after="100"/>
        <w:ind w:firstLineChars="0" w:firstLine="0"/>
        <w:jc w:val="left"/>
        <w:rPr>
          <w:rFonts w:ascii="FangSong_GB2312" w:eastAsia="FangSong_GB2312" w:hAnsi="FangSong_GB2312" w:cs="宋体"/>
          <w:kern w:val="0"/>
          <w:sz w:val="28"/>
          <w:szCs w:val="28"/>
        </w:rPr>
      </w:pPr>
      <w:r>
        <w:rPr>
          <w:rFonts w:ascii="FangSong_GB2312" w:eastAsia="FangSong_GB2312" w:hAnsi="FangSong_GB2312" w:cs="Times" w:hint="eastAsia"/>
          <w:kern w:val="0"/>
          <w:sz w:val="28"/>
          <w:szCs w:val="28"/>
        </w:rPr>
        <w:t xml:space="preserve">      </w:t>
      </w:r>
      <w:r w:rsidR="00DF1657" w:rsidRPr="005D4BB2">
        <w:rPr>
          <w:rFonts w:ascii="FangSong_GB2312" w:eastAsia="FangSong_GB2312" w:hAnsi="FangSong_GB2312" w:cs="Times"/>
          <w:kern w:val="0"/>
          <w:sz w:val="28"/>
          <w:szCs w:val="28"/>
        </w:rPr>
        <w:t>太平天国前期实行的中央政治制度，以“主”为</w:t>
      </w:r>
      <w:hyperlink r:id="rId7" w:history="1">
        <w:r w:rsidR="00DF1657" w:rsidRPr="005D4BB2">
          <w:rPr>
            <w:rFonts w:ascii="FangSong_GB2312" w:eastAsia="FangSong_GB2312" w:hAnsi="FangSong_GB2312" w:cs="Times"/>
            <w:kern w:val="0"/>
            <w:sz w:val="28"/>
            <w:szCs w:val="28"/>
          </w:rPr>
          <w:t>国家元首</w:t>
        </w:r>
      </w:hyperlink>
      <w:r w:rsidR="00DF1657" w:rsidRPr="005D4BB2">
        <w:rPr>
          <w:rFonts w:ascii="FangSong_GB2312" w:eastAsia="FangSong_GB2312" w:hAnsi="FangSong_GB2312" w:cs="Times"/>
          <w:kern w:val="0"/>
          <w:sz w:val="28"/>
          <w:szCs w:val="28"/>
        </w:rPr>
        <w:t>，“军师”为</w:t>
      </w:r>
      <w:hyperlink r:id="rId8" w:history="1">
        <w:r w:rsidR="00DF1657" w:rsidRPr="005D4BB2">
          <w:rPr>
            <w:rFonts w:ascii="FangSong_GB2312" w:eastAsia="FangSong_GB2312" w:hAnsi="FangSong_GB2312" w:cs="Times"/>
            <w:kern w:val="0"/>
            <w:sz w:val="28"/>
            <w:szCs w:val="28"/>
          </w:rPr>
          <w:t>政府首脑</w:t>
        </w:r>
      </w:hyperlink>
      <w:r w:rsidR="00DF1657" w:rsidRPr="005D4BB2">
        <w:rPr>
          <w:rFonts w:ascii="FangSong_GB2312" w:eastAsia="FangSong_GB2312" w:hAnsi="FangSong_GB2312" w:cs="Times"/>
          <w:kern w:val="0"/>
          <w:sz w:val="28"/>
          <w:szCs w:val="28"/>
        </w:rPr>
        <w:t>。 “主”就是天王。</w:t>
      </w:r>
      <w:r w:rsidR="00DF1657" w:rsidRPr="005D4BB2">
        <w:rPr>
          <w:rFonts w:ascii="FangSong_GB2312" w:eastAsia="FangSong_GB2312" w:hAnsi="FangSong_GB2312" w:cs="宋体" w:hint="eastAsia"/>
          <w:kern w:val="0"/>
          <w:sz w:val="28"/>
          <w:szCs w:val="28"/>
        </w:rPr>
        <w:t>早在金田起义之前，他就自称“太平真主”，并且编造了“上帝授命”的神话。</w:t>
      </w:r>
      <w:r w:rsidR="00DF1657" w:rsidRPr="005D4BB2">
        <w:rPr>
          <w:rFonts w:ascii="FangSong_GB2312" w:eastAsia="FangSong_GB2312" w:hAnsi="FangSong_GB2312" w:cs="Times"/>
          <w:kern w:val="0"/>
          <w:sz w:val="28"/>
          <w:szCs w:val="28"/>
        </w:rPr>
        <w:t xml:space="preserve">太平天国仿照《周礼》，设有六官丞相，但它们只是一般职官，不是协助天王处理国家军政大事的助手。 </w:t>
      </w:r>
      <w:r w:rsidR="00574225" w:rsidRPr="005D4BB2">
        <w:rPr>
          <w:rFonts w:ascii="FangSong_GB2312" w:eastAsia="FangSong_GB2312" w:hAnsi="FangSong_GB2312" w:cs="宋体" w:hint="eastAsia"/>
          <w:kern w:val="0"/>
          <w:sz w:val="28"/>
          <w:szCs w:val="28"/>
        </w:rPr>
        <w:t>。但在太平天国前期，天王并不过问国务活动，天王府并不负责国务，虽置有</w:t>
      </w:r>
      <w:r w:rsidR="00574225" w:rsidRPr="005D4BB2">
        <w:rPr>
          <w:rFonts w:ascii="FangSong_GB2312" w:eastAsia="FangSong_GB2312" w:hAnsi="FangSong_GB2312" w:cs="宋体"/>
          <w:kern w:val="0"/>
          <w:sz w:val="28"/>
          <w:szCs w:val="28"/>
        </w:rPr>
        <w:t>1673</w:t>
      </w:r>
      <w:r w:rsidR="00574225" w:rsidRPr="005D4BB2">
        <w:rPr>
          <w:rFonts w:ascii="FangSong_GB2312" w:eastAsia="FangSong_GB2312" w:hAnsi="FangSong_GB2312" w:cs="宋体" w:hint="eastAsia"/>
          <w:kern w:val="0"/>
          <w:sz w:val="28"/>
          <w:szCs w:val="28"/>
        </w:rPr>
        <w:t>名典官，却只管天王宫廷的日常生活。</w:t>
      </w:r>
    </w:p>
    <w:p w14:paraId="6938DFF1" w14:textId="77777777" w:rsidR="002D2375" w:rsidRPr="005D4BB2" w:rsidRDefault="00DF1657" w:rsidP="002D2375">
      <w:pPr>
        <w:widowControl/>
        <w:autoSpaceDE w:val="0"/>
        <w:autoSpaceDN w:val="0"/>
        <w:adjustRightInd w:val="0"/>
        <w:ind w:firstLine="560"/>
        <w:jc w:val="left"/>
        <w:rPr>
          <w:rFonts w:ascii="FangSong_GB2312" w:eastAsia="FangSong_GB2312" w:hAnsi="FangSong_GB2312" w:cs="Times" w:hint="eastAsia"/>
          <w:kern w:val="0"/>
          <w:sz w:val="28"/>
          <w:szCs w:val="28"/>
        </w:rPr>
      </w:pPr>
      <w:r w:rsidRPr="005D4BB2">
        <w:rPr>
          <w:rFonts w:ascii="FangSong_GB2312" w:eastAsia="FangSong_GB2312" w:hAnsi="FangSong_GB2312" w:cs="Times"/>
          <w:kern w:val="0"/>
          <w:sz w:val="28"/>
          <w:szCs w:val="28"/>
        </w:rPr>
        <w:t>太平天国的国务由军师总理。军师具有统率其他各王及各级官员的权力，为“朝纲之首领”。</w:t>
      </w:r>
      <w:r w:rsidR="002D2375" w:rsidRPr="005D4BB2">
        <w:rPr>
          <w:rFonts w:ascii="FangSong_GB2312" w:eastAsia="FangSong_GB2312" w:hAnsi="FangSong_GB2312" w:cs="宋体" w:hint="eastAsia"/>
          <w:kern w:val="0"/>
          <w:sz w:val="28"/>
          <w:szCs w:val="28"/>
        </w:rPr>
        <w:t>《天朝田亩制度》规定，天国的一切行政、军事、司法和人事大事，均由天王“降旨”军事“遵行”。这就从法律上确定了天王至高无上的君主地位。</w:t>
      </w:r>
      <w:r w:rsidRPr="005D4BB2">
        <w:rPr>
          <w:rFonts w:ascii="FangSong_GB2312" w:eastAsia="FangSong_GB2312" w:hAnsi="FangSong_GB2312" w:cs="Times"/>
          <w:kern w:val="0"/>
          <w:sz w:val="28"/>
          <w:szCs w:val="28"/>
        </w:rPr>
        <w:t>《天朝田亩制度》还规定，一切重大决策既由军师议定，也由军师组织实施。</w:t>
      </w:r>
      <w:r w:rsidR="002D2375" w:rsidRPr="005D4BB2">
        <w:rPr>
          <w:rFonts w:ascii="FangSong_GB2312" w:eastAsia="FangSong_GB2312" w:hAnsi="FangSong_GB2312" w:cs="宋体" w:hint="eastAsia"/>
          <w:kern w:val="0"/>
          <w:sz w:val="28"/>
          <w:szCs w:val="28"/>
        </w:rPr>
        <w:t>作为农民政权，太平天国的国家机构打上了战争的烙印，使行政、军事、宗教组织合而为一，即军政教合一的体制，权力集中与中央。天王是国家元首，太平军最高统帅，拜上帝会最高教主，掌握着太平天</w:t>
      </w:r>
      <w:r w:rsidR="002D2375" w:rsidRPr="005D4BB2">
        <w:rPr>
          <w:rFonts w:ascii="FangSong_GB2312" w:eastAsia="FangSong_GB2312" w:hAnsi="FangSong_GB2312" w:cs="宋体" w:hint="eastAsia"/>
          <w:kern w:val="0"/>
          <w:sz w:val="28"/>
          <w:szCs w:val="28"/>
        </w:rPr>
        <w:lastRenderedPageBreak/>
        <w:t>国政治、军事、宗教、司法等权力。分封王、侯，任命官吏，调动军队，所有军国大事不经天王批准不能贯彻实施。</w:t>
      </w:r>
    </w:p>
    <w:p w14:paraId="45F419DC" w14:textId="77777777" w:rsidR="00DF1657" w:rsidRPr="005D4BB2" w:rsidRDefault="00DF1657" w:rsidP="00DF1657">
      <w:pPr>
        <w:widowControl/>
        <w:autoSpaceDE w:val="0"/>
        <w:autoSpaceDN w:val="0"/>
        <w:adjustRightInd w:val="0"/>
        <w:jc w:val="left"/>
        <w:rPr>
          <w:rFonts w:ascii="FangSong_GB2312" w:eastAsia="FangSong_GB2312" w:hAnsi="FangSong_GB2312" w:cs="Times"/>
          <w:kern w:val="0"/>
          <w:sz w:val="28"/>
          <w:szCs w:val="28"/>
        </w:rPr>
      </w:pPr>
      <w:r w:rsidRPr="005D4BB2">
        <w:rPr>
          <w:rFonts w:ascii="FangSong_GB2312" w:eastAsia="FangSong_GB2312" w:hAnsi="FangSong_GB2312" w:cs="Times"/>
          <w:kern w:val="0"/>
          <w:sz w:val="28"/>
          <w:szCs w:val="28"/>
        </w:rPr>
        <w:t xml:space="preserve">　　太平天国宣称洪秀全是奉天命下凡救世，认为君位是天授的。君主虽然不亲理国务，但太平天国以主为核心，军师仍要恪守君臣之道。这种政治制度具有浓厚的</w:t>
      </w:r>
      <w:hyperlink r:id="rId9" w:history="1">
        <w:r w:rsidRPr="005D4BB2">
          <w:rPr>
            <w:rFonts w:ascii="FangSong_GB2312" w:eastAsia="FangSong_GB2312" w:hAnsi="FangSong_GB2312" w:cs="Times"/>
            <w:kern w:val="0"/>
            <w:sz w:val="28"/>
            <w:szCs w:val="28"/>
          </w:rPr>
          <w:t>封</w:t>
        </w:r>
        <w:r w:rsidRPr="005D4BB2">
          <w:rPr>
            <w:rFonts w:ascii="FangSong_GB2312" w:eastAsia="FangSong_GB2312" w:hAnsi="FangSong_GB2312" w:cs="Times"/>
            <w:kern w:val="0"/>
            <w:sz w:val="28"/>
            <w:szCs w:val="28"/>
          </w:rPr>
          <w:t>建</w:t>
        </w:r>
      </w:hyperlink>
      <w:r w:rsidRPr="005D4BB2">
        <w:rPr>
          <w:rFonts w:ascii="FangSong_GB2312" w:eastAsia="FangSong_GB2312" w:hAnsi="FangSong_GB2312" w:cs="Times"/>
          <w:kern w:val="0"/>
          <w:sz w:val="28"/>
          <w:szCs w:val="28"/>
        </w:rPr>
        <w:t xml:space="preserve">性。 </w:t>
      </w:r>
    </w:p>
    <w:p w14:paraId="4090E9AF" w14:textId="77777777" w:rsidR="005D4BB2" w:rsidRPr="005D4BB2" w:rsidRDefault="005D4BB2" w:rsidP="005D4BB2">
      <w:pPr>
        <w:widowControl/>
        <w:autoSpaceDE w:val="0"/>
        <w:autoSpaceDN w:val="0"/>
        <w:adjustRightInd w:val="0"/>
        <w:jc w:val="left"/>
        <w:rPr>
          <w:rFonts w:ascii="FangSong_GB2312" w:eastAsia="FangSong_GB2312" w:hAnsi="FangSong_GB2312" w:cs="Times" w:hint="eastAsia"/>
          <w:kern w:val="0"/>
          <w:sz w:val="28"/>
          <w:szCs w:val="28"/>
        </w:rPr>
      </w:pPr>
      <w:r w:rsidRPr="005D4BB2">
        <w:rPr>
          <w:rFonts w:ascii="Heiti SC Light" w:eastAsia="Heiti SC Light" w:hAnsi="FangSong_GB2312" w:cs="Times" w:hint="eastAsia"/>
          <w:kern w:val="0"/>
          <w:sz w:val="28"/>
          <w:szCs w:val="28"/>
        </w:rPr>
        <w:t>（二）</w:t>
      </w:r>
      <w:r w:rsidR="00DF1657" w:rsidRPr="005D4BB2">
        <w:rPr>
          <w:rFonts w:ascii="Heiti SC Light" w:eastAsia="Heiti SC Light" w:hAnsi="FangSong_GB2312" w:cs="Times" w:hint="eastAsia"/>
          <w:kern w:val="0"/>
          <w:sz w:val="28"/>
          <w:szCs w:val="28"/>
        </w:rPr>
        <w:t>天王集权制</w:t>
      </w:r>
      <w:r w:rsidR="00DF1657" w:rsidRPr="005D4BB2">
        <w:rPr>
          <w:rFonts w:ascii="FangSong_GB2312" w:eastAsia="FangSong_GB2312" w:hAnsi="FangSong_GB2312" w:cs="Times"/>
          <w:kern w:val="0"/>
          <w:sz w:val="28"/>
          <w:szCs w:val="28"/>
        </w:rPr>
        <w:t xml:space="preserve"> 　</w:t>
      </w:r>
    </w:p>
    <w:p w14:paraId="1261B379" w14:textId="77777777" w:rsidR="00DF1657" w:rsidRPr="005D4BB2" w:rsidRDefault="005D4BB2" w:rsidP="005D4BB2">
      <w:pPr>
        <w:pStyle w:val="a3"/>
        <w:widowControl/>
        <w:autoSpaceDE w:val="0"/>
        <w:autoSpaceDN w:val="0"/>
        <w:adjustRightInd w:val="0"/>
        <w:ind w:firstLineChars="0" w:firstLine="0"/>
        <w:jc w:val="left"/>
        <w:rPr>
          <w:rFonts w:ascii="FangSong_GB2312" w:eastAsia="FangSong_GB2312" w:hAnsi="FangSong_GB2312" w:cs="Times"/>
          <w:kern w:val="0"/>
          <w:sz w:val="28"/>
          <w:szCs w:val="28"/>
        </w:rPr>
      </w:pPr>
      <w:r>
        <w:rPr>
          <w:rFonts w:ascii="FangSong_GB2312" w:eastAsia="FangSong_GB2312" w:hAnsi="FangSong_GB2312" w:cs="Times" w:hint="eastAsia"/>
          <w:kern w:val="0"/>
          <w:sz w:val="28"/>
          <w:szCs w:val="28"/>
        </w:rPr>
        <w:t xml:space="preserve">    </w:t>
      </w:r>
      <w:r w:rsidR="00DF1657" w:rsidRPr="005D4BB2">
        <w:rPr>
          <w:rFonts w:ascii="FangSong_GB2312" w:eastAsia="FangSong_GB2312" w:hAnsi="FangSong_GB2312" w:cs="Times"/>
          <w:kern w:val="0"/>
          <w:sz w:val="28"/>
          <w:szCs w:val="28"/>
        </w:rPr>
        <w:t>太平天国后期实行的中央政治制度，天王独揽大权，亲理国务。1856年天京发生内讧，东王正军师杨秀清、北王</w:t>
      </w:r>
      <w:hyperlink r:id="rId10" w:history="1">
        <w:r w:rsidR="00DF1657" w:rsidRPr="005D4BB2">
          <w:rPr>
            <w:rFonts w:ascii="FangSong_GB2312" w:eastAsia="FangSong_GB2312" w:hAnsi="FangSong_GB2312" w:cs="Times"/>
            <w:kern w:val="0"/>
            <w:sz w:val="28"/>
            <w:szCs w:val="28"/>
          </w:rPr>
          <w:t>韦昌辉</w:t>
        </w:r>
      </w:hyperlink>
      <w:r w:rsidR="00DF1657" w:rsidRPr="005D4BB2">
        <w:rPr>
          <w:rFonts w:ascii="FangSong_GB2312" w:eastAsia="FangSong_GB2312" w:hAnsi="FangSong_GB2312" w:cs="Times"/>
          <w:kern w:val="0"/>
          <w:sz w:val="28"/>
          <w:szCs w:val="28"/>
        </w:rPr>
        <w:t>相继被杀。翼王石达开承接杨秀清军师职权，但受洪秀全猜忌，次年夏带兵出走。从此，结束了军师负责制，一切权力收归洪秀全在洪秀全的直接领导下，中央设置吏、户、礼、兵、刑、工六部，分别掌管国务。六部主管官员各设正、又正、副、又副，共计24员。六部正官分别称天官(吏部)、地官(户部)、春官(礼部)、夏官(兵部)、秋官(刑部)、冬官（工部）。六部主管官员只向天王洪秀全和幼主负责。这时期，举凡调兵遣将、减征钱粮、安民均由天王降诏。在集中权力实行中央专制制度的同时，洪秀全还重用亲人</w:t>
      </w:r>
      <w:r w:rsidR="000F2CAE" w:rsidRPr="005D4BB2">
        <w:rPr>
          <w:rFonts w:ascii="FangSong_GB2312" w:eastAsia="FangSong_GB2312" w:hAnsi="FangSong_GB2312" w:cs="Times" w:hint="eastAsia"/>
          <w:kern w:val="0"/>
          <w:sz w:val="28"/>
          <w:szCs w:val="28"/>
        </w:rPr>
        <w:t>。</w:t>
      </w:r>
      <w:r w:rsidR="00DF1657" w:rsidRPr="005D4BB2">
        <w:rPr>
          <w:rFonts w:ascii="FangSong_GB2312" w:eastAsia="FangSong_GB2312" w:hAnsi="FangSong_GB2312" w:cs="Times"/>
          <w:kern w:val="0"/>
          <w:sz w:val="28"/>
          <w:szCs w:val="28"/>
        </w:rPr>
        <w:t>1859年4月,洪秀全封其从香港到天京的族弟</w:t>
      </w:r>
      <w:hyperlink r:id="rId11" w:history="1">
        <w:r w:rsidR="00DF1657" w:rsidRPr="005D4BB2">
          <w:rPr>
            <w:rFonts w:ascii="FangSong_GB2312" w:eastAsia="FangSong_GB2312" w:hAnsi="FangSong_GB2312" w:cs="Times"/>
            <w:kern w:val="0"/>
            <w:sz w:val="28"/>
            <w:szCs w:val="28"/>
          </w:rPr>
          <w:t>洪仁</w:t>
        </w:r>
        <w:r w:rsidR="00DF1657" w:rsidRPr="005D4BB2">
          <w:rPr>
            <w:rFonts w:ascii="宋体" w:eastAsia="宋体" w:hAnsi="宋体" w:cs="宋体" w:hint="eastAsia"/>
            <w:kern w:val="0"/>
            <w:sz w:val="28"/>
            <w:szCs w:val="28"/>
          </w:rPr>
          <w:t>玕</w:t>
        </w:r>
      </w:hyperlink>
      <w:r w:rsidR="00DF1657" w:rsidRPr="005D4BB2">
        <w:rPr>
          <w:rFonts w:ascii="FangSong_GB2312" w:eastAsia="FangSong_GB2312" w:hAnsi="FangSong_GB2312" w:cs="Times"/>
          <w:kern w:val="0"/>
          <w:sz w:val="28"/>
          <w:szCs w:val="28"/>
        </w:rPr>
        <w:t xml:space="preserve">为干王，“晋位军师”。这时军师已没有实权，权力仍集中在洪秀全手中。 </w:t>
      </w:r>
    </w:p>
    <w:p w14:paraId="492ED4B7" w14:textId="77777777" w:rsidR="005D4BB2" w:rsidRPr="005D4BB2" w:rsidRDefault="00DF1657" w:rsidP="005D4BB2">
      <w:pPr>
        <w:pStyle w:val="a3"/>
        <w:widowControl/>
        <w:numPr>
          <w:ilvl w:val="0"/>
          <w:numId w:val="1"/>
        </w:numPr>
        <w:autoSpaceDE w:val="0"/>
        <w:autoSpaceDN w:val="0"/>
        <w:adjustRightInd w:val="0"/>
        <w:ind w:firstLineChars="0"/>
        <w:jc w:val="left"/>
        <w:rPr>
          <w:rFonts w:ascii="Heiti SC Light" w:eastAsia="Heiti SC Light" w:hAnsi="FangSong_GB2312" w:cs="Times" w:hint="eastAsia"/>
          <w:kern w:val="0"/>
          <w:sz w:val="28"/>
          <w:szCs w:val="28"/>
        </w:rPr>
      </w:pPr>
      <w:r w:rsidRPr="005D4BB2">
        <w:rPr>
          <w:rFonts w:ascii="Heiti SC Light" w:eastAsia="Heiti SC Light" w:hAnsi="FangSong_GB2312" w:cs="Times" w:hint="eastAsia"/>
          <w:kern w:val="0"/>
          <w:sz w:val="28"/>
          <w:szCs w:val="28"/>
        </w:rPr>
        <w:t>职官设置</w:t>
      </w:r>
      <w:r w:rsidRPr="005D4BB2">
        <w:rPr>
          <w:rFonts w:ascii="Heiti SC Light" w:eastAsia="Heiti SC Light" w:hAnsi="FangSong_GB2312" w:cs="Times" w:hint="eastAsia"/>
          <w:kern w:val="0"/>
          <w:sz w:val="28"/>
          <w:szCs w:val="28"/>
        </w:rPr>
        <w:t> </w:t>
      </w:r>
      <w:r w:rsidRPr="005D4BB2">
        <w:rPr>
          <w:rFonts w:ascii="Heiti SC Light" w:eastAsia="Heiti SC Light" w:hAnsi="FangSong_GB2312" w:cs="Times" w:hint="eastAsia"/>
          <w:kern w:val="0"/>
          <w:sz w:val="28"/>
          <w:szCs w:val="28"/>
        </w:rPr>
        <w:t xml:space="preserve">　</w:t>
      </w:r>
    </w:p>
    <w:p w14:paraId="24A34D52" w14:textId="77777777" w:rsidR="00DF1657" w:rsidRPr="005D4BB2" w:rsidRDefault="005D4BB2" w:rsidP="005D4BB2">
      <w:pPr>
        <w:pStyle w:val="a3"/>
        <w:widowControl/>
        <w:autoSpaceDE w:val="0"/>
        <w:autoSpaceDN w:val="0"/>
        <w:adjustRightInd w:val="0"/>
        <w:ind w:firstLineChars="0" w:firstLine="0"/>
        <w:jc w:val="left"/>
        <w:rPr>
          <w:rFonts w:ascii="FangSong_GB2312" w:eastAsia="FangSong_GB2312" w:hAnsi="FangSong_GB2312" w:cs="Times" w:hint="eastAsia"/>
          <w:kern w:val="0"/>
          <w:sz w:val="28"/>
          <w:szCs w:val="28"/>
        </w:rPr>
      </w:pPr>
      <w:r>
        <w:rPr>
          <w:rFonts w:ascii="FangSong_GB2312" w:eastAsia="FangSong_GB2312" w:hAnsi="FangSong_GB2312" w:cs="Times" w:hint="eastAsia"/>
          <w:kern w:val="0"/>
          <w:sz w:val="28"/>
          <w:szCs w:val="28"/>
        </w:rPr>
        <w:t xml:space="preserve">    </w:t>
      </w:r>
      <w:r w:rsidR="00DF1657" w:rsidRPr="005D4BB2">
        <w:rPr>
          <w:rFonts w:ascii="FangSong_GB2312" w:eastAsia="FangSong_GB2312" w:hAnsi="FangSong_GB2312" w:cs="Times"/>
          <w:kern w:val="0"/>
          <w:sz w:val="28"/>
          <w:szCs w:val="28"/>
        </w:rPr>
        <w:t>天京事变前，职官设置有两个特点：</w:t>
      </w:r>
      <w:r>
        <w:rPr>
          <w:rFonts w:ascii="FangSong_GB2312" w:eastAsia="FangSong_GB2312" w:hAnsi="FangSong_GB2312" w:cs="Microsoft Yi Baiti" w:hint="eastAsia"/>
          <w:kern w:val="0"/>
          <w:sz w:val="28"/>
          <w:szCs w:val="28"/>
        </w:rPr>
        <w:t>1.</w:t>
      </w:r>
      <w:r w:rsidR="00DF1657" w:rsidRPr="005D4BB2">
        <w:rPr>
          <w:rFonts w:ascii="FangSong_GB2312" w:eastAsia="FangSong_GB2312" w:hAnsi="FangSong_GB2312" w:cs="Times"/>
          <w:kern w:val="0"/>
          <w:sz w:val="28"/>
          <w:szCs w:val="28"/>
        </w:rPr>
        <w:t>爵职混一。在很多情况下，爵职代表官员的级别。爵职级别依次为：王、侯、丞相、检点、侍卫、将军、总制、监军。其中,王又分四等：东王、西王为一等,南王、北王为二等，翼王为三等，燕王、豫王为四等。</w:t>
      </w:r>
      <w:r>
        <w:rPr>
          <w:rFonts w:ascii="FangSong_GB2312" w:eastAsia="FangSong_GB2312" w:hAnsi="FangSong_GB2312" w:cs="Microsoft Yi Baiti" w:hint="eastAsia"/>
          <w:kern w:val="0"/>
          <w:sz w:val="28"/>
          <w:szCs w:val="28"/>
        </w:rPr>
        <w:t>2.</w:t>
      </w:r>
      <w:r w:rsidR="00DF1657" w:rsidRPr="005D4BB2">
        <w:rPr>
          <w:rFonts w:ascii="FangSong_GB2312" w:eastAsia="FangSong_GB2312" w:hAnsi="FangSong_GB2312" w:cs="Times"/>
          <w:kern w:val="0"/>
          <w:sz w:val="28"/>
          <w:szCs w:val="28"/>
        </w:rPr>
        <w:t xml:space="preserve">高级官员府衙合一。东王及其他各王,甚至检点、指挥,均设由人数不等的属官组成的办事机构。这些机构和属官既办公务又负责高级官员的私人生活事务。如东殿(东王府)实际上是总理国务的机关，既设有负责国家事务的东殿六部尚书等职官，又设有负责东王服食起居的东殿仆射等职官。这些职官职同检点。 </w:t>
      </w:r>
    </w:p>
    <w:p w14:paraId="27D9F84A" w14:textId="77777777" w:rsidR="00DF1657" w:rsidRPr="005D4BB2" w:rsidRDefault="00DF1657" w:rsidP="00DF1657">
      <w:pPr>
        <w:widowControl/>
        <w:autoSpaceDE w:val="0"/>
        <w:autoSpaceDN w:val="0"/>
        <w:adjustRightInd w:val="0"/>
        <w:jc w:val="left"/>
        <w:rPr>
          <w:rFonts w:ascii="FangSong_GB2312" w:eastAsia="FangSong_GB2312" w:hAnsi="FangSong_GB2312" w:cs="Times" w:hint="eastAsia"/>
          <w:kern w:val="0"/>
          <w:sz w:val="28"/>
          <w:szCs w:val="28"/>
        </w:rPr>
      </w:pPr>
      <w:r w:rsidRPr="005D4BB2">
        <w:rPr>
          <w:rFonts w:ascii="FangSong_GB2312" w:eastAsia="FangSong_GB2312" w:hAnsi="FangSong_GB2312" w:cs="Times"/>
          <w:kern w:val="0"/>
          <w:sz w:val="28"/>
          <w:szCs w:val="28"/>
        </w:rPr>
        <w:t xml:space="preserve">　　太平天国主管各种事务的官员通称典官，有专为天王及诸王服务的，也有办理</w:t>
      </w:r>
      <w:hyperlink r:id="rId12" w:history="1">
        <w:r w:rsidRPr="005D4BB2">
          <w:rPr>
            <w:rFonts w:ascii="FangSong_GB2312" w:eastAsia="FangSong_GB2312" w:hAnsi="FangSong_GB2312" w:cs="Times"/>
            <w:kern w:val="0"/>
            <w:sz w:val="28"/>
            <w:szCs w:val="28"/>
          </w:rPr>
          <w:t>政府</w:t>
        </w:r>
      </w:hyperlink>
      <w:r w:rsidRPr="005D4BB2">
        <w:rPr>
          <w:rFonts w:ascii="FangSong_GB2312" w:eastAsia="FangSong_GB2312" w:hAnsi="FangSong_GB2312" w:cs="Times"/>
          <w:kern w:val="0"/>
          <w:sz w:val="28"/>
          <w:szCs w:val="28"/>
        </w:rPr>
        <w:t>事务及管理</w:t>
      </w:r>
      <w:hyperlink r:id="rId13" w:history="1">
        <w:r w:rsidRPr="005D4BB2">
          <w:rPr>
            <w:rFonts w:ascii="FangSong_GB2312" w:eastAsia="FangSong_GB2312" w:hAnsi="FangSong_GB2312" w:cs="Times"/>
            <w:kern w:val="0"/>
            <w:sz w:val="28"/>
            <w:szCs w:val="28"/>
          </w:rPr>
          <w:t>工商业</w:t>
        </w:r>
      </w:hyperlink>
      <w:r w:rsidRPr="005D4BB2">
        <w:rPr>
          <w:rFonts w:ascii="FangSong_GB2312" w:eastAsia="FangSong_GB2312" w:hAnsi="FangSong_GB2312" w:cs="Times"/>
          <w:kern w:val="0"/>
          <w:sz w:val="28"/>
          <w:szCs w:val="28"/>
        </w:rPr>
        <w:t xml:space="preserve">的。名目繁多，职级高低不一，有的职同检点，有的职同总制，也有的职同监军。 </w:t>
      </w:r>
    </w:p>
    <w:p w14:paraId="7016FCE1" w14:textId="77777777" w:rsidR="00DF1657" w:rsidRPr="005D4BB2" w:rsidRDefault="00DF1657" w:rsidP="00DF1657">
      <w:pPr>
        <w:widowControl/>
        <w:autoSpaceDE w:val="0"/>
        <w:autoSpaceDN w:val="0"/>
        <w:adjustRightInd w:val="0"/>
        <w:jc w:val="left"/>
        <w:rPr>
          <w:rFonts w:ascii="FangSong_GB2312" w:eastAsia="FangSong_GB2312" w:hAnsi="FangSong_GB2312" w:cs="Times"/>
          <w:kern w:val="0"/>
          <w:sz w:val="28"/>
          <w:szCs w:val="28"/>
        </w:rPr>
      </w:pPr>
      <w:r w:rsidRPr="005D4BB2">
        <w:rPr>
          <w:rFonts w:ascii="FangSong_GB2312" w:eastAsia="FangSong_GB2312" w:hAnsi="FangSong_GB2312" w:cs="Times"/>
          <w:kern w:val="0"/>
          <w:sz w:val="28"/>
          <w:szCs w:val="28"/>
        </w:rPr>
        <w:t xml:space="preserve">　　1856年天京事变后，爵、职趋滥。先是在王爵之下，逐渐形成义、安、福、燕、豫、侯六等爵。后来又增加天将、掌率、统管、尽管、神策朝将、护京神将、神使、主将、佐将等官职，其级别似在王爵之下，义爵之上。到了晚期，封王日多，竟达2700余名。这些王没有专名，统称列王。 </w:t>
      </w:r>
    </w:p>
    <w:p w14:paraId="3CF04750" w14:textId="77777777" w:rsidR="005D4BB2" w:rsidRPr="005D4BB2" w:rsidRDefault="00DF1657" w:rsidP="005D4BB2">
      <w:pPr>
        <w:pStyle w:val="a3"/>
        <w:widowControl/>
        <w:numPr>
          <w:ilvl w:val="0"/>
          <w:numId w:val="1"/>
        </w:numPr>
        <w:autoSpaceDE w:val="0"/>
        <w:autoSpaceDN w:val="0"/>
        <w:adjustRightInd w:val="0"/>
        <w:ind w:firstLineChars="0"/>
        <w:jc w:val="left"/>
        <w:rPr>
          <w:rFonts w:ascii="Heiti SC Light" w:eastAsia="Heiti SC Light" w:hAnsi="FangSong_GB2312" w:cs="Times" w:hint="eastAsia"/>
          <w:kern w:val="0"/>
          <w:sz w:val="28"/>
          <w:szCs w:val="28"/>
        </w:rPr>
      </w:pPr>
      <w:r w:rsidRPr="005D4BB2">
        <w:rPr>
          <w:rFonts w:ascii="Heiti SC Light" w:eastAsia="Heiti SC Light" w:hAnsi="FangSong_GB2312" w:cs="Times" w:hint="eastAsia"/>
          <w:b/>
          <w:bCs/>
          <w:kern w:val="0"/>
          <w:sz w:val="28"/>
          <w:szCs w:val="28"/>
        </w:rPr>
        <w:t>地方各级政权</w:t>
      </w:r>
      <w:r w:rsidRPr="005D4BB2">
        <w:rPr>
          <w:rFonts w:ascii="Heiti SC Light" w:eastAsia="Heiti SC Light" w:hAnsi="FangSong_GB2312" w:cs="Times" w:hint="eastAsia"/>
          <w:b/>
          <w:bCs/>
          <w:kern w:val="0"/>
          <w:sz w:val="28"/>
          <w:szCs w:val="28"/>
        </w:rPr>
        <w:t> </w:t>
      </w:r>
      <w:r w:rsidRPr="005D4BB2">
        <w:rPr>
          <w:rFonts w:ascii="Heiti SC Light" w:eastAsia="Heiti SC Light" w:hAnsi="FangSong_GB2312" w:cs="Times" w:hint="eastAsia"/>
          <w:kern w:val="0"/>
          <w:sz w:val="28"/>
          <w:szCs w:val="28"/>
        </w:rPr>
        <w:t xml:space="preserve">　</w:t>
      </w:r>
    </w:p>
    <w:p w14:paraId="68ECA067" w14:textId="77777777" w:rsidR="00071520" w:rsidRPr="005D4BB2" w:rsidRDefault="005D4BB2" w:rsidP="005D4BB2">
      <w:pPr>
        <w:widowControl/>
        <w:autoSpaceDE w:val="0"/>
        <w:autoSpaceDN w:val="0"/>
        <w:adjustRightInd w:val="0"/>
        <w:jc w:val="left"/>
        <w:rPr>
          <w:rFonts w:ascii="FangSong_GB2312" w:eastAsia="FangSong_GB2312" w:hAnsi="FangSong_GB2312" w:cs="Times" w:hint="eastAsia"/>
          <w:kern w:val="0"/>
          <w:sz w:val="28"/>
          <w:szCs w:val="28"/>
        </w:rPr>
      </w:pPr>
      <w:r>
        <w:rPr>
          <w:rFonts w:ascii="FangSong_GB2312" w:eastAsia="FangSong_GB2312" w:hAnsi="FangSong_GB2312" w:cs="Times" w:hint="eastAsia"/>
          <w:kern w:val="0"/>
          <w:sz w:val="28"/>
          <w:szCs w:val="28"/>
        </w:rPr>
        <w:t xml:space="preserve">    </w:t>
      </w:r>
      <w:r w:rsidR="00DF1657" w:rsidRPr="005D4BB2">
        <w:rPr>
          <w:rFonts w:ascii="FangSong_GB2312" w:eastAsia="FangSong_GB2312" w:hAnsi="FangSong_GB2312" w:cs="Times"/>
          <w:kern w:val="0"/>
          <w:sz w:val="28"/>
          <w:szCs w:val="28"/>
        </w:rPr>
        <w:t xml:space="preserve">太平天国的地方行政单位分为省、郡、县三级。 </w:t>
      </w:r>
      <w:r w:rsidR="00071520" w:rsidRPr="005D4BB2">
        <w:rPr>
          <w:rFonts w:ascii="FangSong_GB2312" w:eastAsia="FangSong_GB2312" w:hAnsi="FangSong_GB2312" w:cs="宋体" w:hint="eastAsia"/>
          <w:kern w:val="0"/>
          <w:sz w:val="28"/>
          <w:szCs w:val="28"/>
        </w:rPr>
        <w:t>为了适应战争环境，加强中央集权，省、郡、县三级地方长官均由中央委派，被称为“守土官”。县以下设有各级乡官。《天朝田亩制度》规定，县按居民户数分为若干军。一军为五师，一师为五旅，一旅为五卒，一卒为四两，一两为两伍，一伍为五家。郡设总制</w:t>
      </w:r>
      <w:r w:rsidR="00071520" w:rsidRPr="005D4BB2">
        <w:rPr>
          <w:rFonts w:ascii="FangSong_GB2312" w:eastAsia="FangSong_GB2312" w:hAnsi="FangSong_GB2312" w:cs="宋体"/>
          <w:kern w:val="0"/>
          <w:sz w:val="28"/>
          <w:szCs w:val="28"/>
        </w:rPr>
        <w:t>1</w:t>
      </w:r>
      <w:r w:rsidR="00071520" w:rsidRPr="005D4BB2">
        <w:rPr>
          <w:rFonts w:ascii="FangSong_GB2312" w:eastAsia="FangSong_GB2312" w:hAnsi="FangSong_GB2312" w:cs="宋体" w:hint="eastAsia"/>
          <w:kern w:val="0"/>
          <w:sz w:val="28"/>
          <w:szCs w:val="28"/>
        </w:rPr>
        <w:t>人，县设监军</w:t>
      </w:r>
      <w:r w:rsidR="00071520" w:rsidRPr="005D4BB2">
        <w:rPr>
          <w:rFonts w:ascii="FangSong_GB2312" w:eastAsia="FangSong_GB2312" w:hAnsi="FangSong_GB2312" w:cs="宋体"/>
          <w:kern w:val="0"/>
          <w:sz w:val="28"/>
          <w:szCs w:val="28"/>
        </w:rPr>
        <w:t>1</w:t>
      </w:r>
      <w:r w:rsidR="00071520" w:rsidRPr="005D4BB2">
        <w:rPr>
          <w:rFonts w:ascii="FangSong_GB2312" w:eastAsia="FangSong_GB2312" w:hAnsi="FangSong_GB2312" w:cs="宋体" w:hint="eastAsia"/>
          <w:kern w:val="0"/>
          <w:sz w:val="28"/>
          <w:szCs w:val="28"/>
        </w:rPr>
        <w:t>人（小县未设），军、师、旅、卒、两、伍，分别设军帅（是乡官最高长官，受监军领导），师帅、旅帅、卒长、两司马、伍长。太平天国遵守君臣之道，并规定了一整套宫廷礼仪，建立了严格的等级制度。实行嫡长世袭制，是帝王万世一系的家天下。洪秀全的儿子洪天贵福，在起义之初就被封为幼天王，臣下要称幼主为“万岁”，并造出“代代幼主上帝子”，“父子公孙同做主”的舆论。同时，其他诸王也世袭。东王儿子称东世子，为九千岁，其他各王的儿子也逐次继承。</w:t>
      </w:r>
    </w:p>
    <w:p w14:paraId="58D26F2D" w14:textId="77777777" w:rsidR="005D4BB2" w:rsidRPr="005D4BB2" w:rsidRDefault="00DF1657" w:rsidP="005D4BB2">
      <w:pPr>
        <w:pStyle w:val="a3"/>
        <w:widowControl/>
        <w:numPr>
          <w:ilvl w:val="0"/>
          <w:numId w:val="1"/>
        </w:numPr>
        <w:autoSpaceDE w:val="0"/>
        <w:autoSpaceDN w:val="0"/>
        <w:adjustRightInd w:val="0"/>
        <w:ind w:firstLineChars="0"/>
        <w:jc w:val="left"/>
        <w:rPr>
          <w:rFonts w:ascii="Heiti SC Light" w:eastAsia="Heiti SC Light" w:hAnsi="FangSong_GB2312" w:cs="Times" w:hint="eastAsia"/>
          <w:kern w:val="0"/>
          <w:sz w:val="28"/>
          <w:szCs w:val="28"/>
        </w:rPr>
      </w:pPr>
      <w:r w:rsidRPr="005D4BB2">
        <w:rPr>
          <w:rFonts w:ascii="Heiti SC Light" w:eastAsia="Heiti SC Light" w:hAnsi="FangSong_GB2312" w:cs="Times" w:hint="eastAsia"/>
          <w:b/>
          <w:bCs/>
          <w:kern w:val="0"/>
          <w:sz w:val="28"/>
          <w:szCs w:val="28"/>
        </w:rPr>
        <w:t>司法制度</w:t>
      </w:r>
      <w:r w:rsidRPr="005D4BB2">
        <w:rPr>
          <w:rFonts w:ascii="Heiti SC Light" w:eastAsia="Heiti SC Light" w:hAnsi="FangSong_GB2312" w:cs="Times" w:hint="eastAsia"/>
          <w:b/>
          <w:bCs/>
          <w:kern w:val="0"/>
          <w:sz w:val="28"/>
          <w:szCs w:val="28"/>
        </w:rPr>
        <w:t> </w:t>
      </w:r>
      <w:r w:rsidRPr="005D4BB2">
        <w:rPr>
          <w:rFonts w:ascii="Heiti SC Light" w:eastAsia="Heiti SC Light" w:hAnsi="FangSong_GB2312" w:cs="Times" w:hint="eastAsia"/>
          <w:kern w:val="0"/>
          <w:sz w:val="28"/>
          <w:szCs w:val="28"/>
        </w:rPr>
        <w:t xml:space="preserve">　</w:t>
      </w:r>
    </w:p>
    <w:p w14:paraId="1BFFF06F" w14:textId="77777777" w:rsidR="00DF1657" w:rsidRPr="005D4BB2" w:rsidRDefault="005D4BB2" w:rsidP="005D4BB2">
      <w:pPr>
        <w:widowControl/>
        <w:autoSpaceDE w:val="0"/>
        <w:autoSpaceDN w:val="0"/>
        <w:adjustRightInd w:val="0"/>
        <w:jc w:val="left"/>
        <w:rPr>
          <w:rFonts w:ascii="FangSong_GB2312" w:eastAsia="FangSong_GB2312" w:hAnsi="FangSong_GB2312" w:cs="Times" w:hint="eastAsia"/>
          <w:kern w:val="0"/>
          <w:sz w:val="28"/>
          <w:szCs w:val="28"/>
        </w:rPr>
      </w:pPr>
      <w:r>
        <w:rPr>
          <w:rFonts w:ascii="FangSong_GB2312" w:eastAsia="FangSong_GB2312" w:hAnsi="FangSong_GB2312" w:cs="Times" w:hint="eastAsia"/>
          <w:kern w:val="0"/>
          <w:sz w:val="28"/>
          <w:szCs w:val="28"/>
        </w:rPr>
        <w:t xml:space="preserve">    </w:t>
      </w:r>
      <w:r w:rsidR="00DF1657" w:rsidRPr="005D4BB2">
        <w:rPr>
          <w:rFonts w:ascii="FangSong_GB2312" w:eastAsia="FangSong_GB2312" w:hAnsi="FangSong_GB2312" w:cs="Times"/>
          <w:kern w:val="0"/>
          <w:sz w:val="28"/>
          <w:szCs w:val="28"/>
        </w:rPr>
        <w:t>太平天国实行的是司法和行政官员合一的制度。民间诉讼均由各地乡官和郡县行政长官审理。自师帅至两司马皆设公堂刑具，另设</w:t>
      </w:r>
      <w:hyperlink r:id="rId14" w:history="1">
        <w:r w:rsidR="00DF1657" w:rsidRPr="005D4BB2">
          <w:rPr>
            <w:rFonts w:ascii="FangSong_GB2312" w:eastAsia="FangSong_GB2312" w:hAnsi="FangSong_GB2312" w:cs="Times"/>
            <w:kern w:val="0"/>
            <w:sz w:val="28"/>
            <w:szCs w:val="28"/>
          </w:rPr>
          <w:t>典执法</w:t>
        </w:r>
      </w:hyperlink>
      <w:r w:rsidR="00DF1657" w:rsidRPr="005D4BB2">
        <w:rPr>
          <w:rFonts w:ascii="FangSong_GB2312" w:eastAsia="FangSong_GB2312" w:hAnsi="FangSong_GB2312" w:cs="Times"/>
          <w:kern w:val="0"/>
          <w:sz w:val="28"/>
          <w:szCs w:val="28"/>
        </w:rPr>
        <w:t xml:space="preserve">为刑罚执行官。 </w:t>
      </w:r>
    </w:p>
    <w:p w14:paraId="44B7990E" w14:textId="77777777" w:rsidR="00071520" w:rsidRPr="007017EC" w:rsidRDefault="005D4BB2" w:rsidP="005D4BB2">
      <w:pPr>
        <w:widowControl/>
        <w:autoSpaceDE w:val="0"/>
        <w:autoSpaceDN w:val="0"/>
        <w:adjustRightInd w:val="0"/>
        <w:jc w:val="left"/>
        <w:rPr>
          <w:rFonts w:ascii="Heiti SC Light" w:eastAsia="Heiti SC Light" w:hAnsi="FangSong_GB2312" w:cs="Times" w:hint="eastAsia"/>
          <w:kern w:val="0"/>
          <w:sz w:val="28"/>
          <w:szCs w:val="28"/>
        </w:rPr>
      </w:pPr>
      <w:r w:rsidRPr="007017EC">
        <w:rPr>
          <w:rFonts w:ascii="Heiti SC Light" w:eastAsia="Heiti SC Light" w:hAnsi="FangSong_GB2312" w:cs="Times" w:hint="eastAsia"/>
          <w:kern w:val="0"/>
          <w:sz w:val="28"/>
          <w:szCs w:val="28"/>
        </w:rPr>
        <w:t>五</w:t>
      </w:r>
      <w:r w:rsidR="007017EC" w:rsidRPr="007017EC">
        <w:rPr>
          <w:rFonts w:ascii="Heiti SC Light" w:eastAsia="Heiti SC Light" w:hAnsi="FangSong_GB2312" w:cs="Times" w:hint="eastAsia"/>
          <w:kern w:val="0"/>
          <w:sz w:val="28"/>
          <w:szCs w:val="28"/>
        </w:rPr>
        <w:t>、制度文件</w:t>
      </w:r>
    </w:p>
    <w:p w14:paraId="527799E8" w14:textId="77777777" w:rsidR="00DF1657" w:rsidRPr="005D4BB2" w:rsidRDefault="00DF1657" w:rsidP="000F2CAE">
      <w:pPr>
        <w:ind w:firstLineChars="200" w:firstLine="560"/>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作为太平天国运动的政治纲领的《天朝田亩制度》在中国近代发展史上具有重大的启发和指导作用，其中提出的要建立“有田同耕，有饭同食，有衣同穿，有钱同使，无处不均匀，无人不保暖”的理想社会。反映了农民的土地要求，具有一定的先进性和积极意义。但是不可否认，它的空想性和超前性，平均分配一切土地和财富的方案是空想的、错误的。而《资政新篇》作为向西方学习的最早的</w:t>
      </w:r>
      <w:r w:rsidRPr="005D4BB2">
        <w:rPr>
          <w:rFonts w:ascii="FangSong_GB2312" w:eastAsia="FangSong_GB2312" w:hAnsi="FangSong_GB2312"/>
          <w:color w:val="000000"/>
          <w:sz w:val="28"/>
          <w:szCs w:val="28"/>
        </w:rPr>
        <w:t>发展资本主义的方案，</w:t>
      </w:r>
      <w:r w:rsidRPr="005D4BB2">
        <w:rPr>
          <w:rFonts w:ascii="FangSong_GB2312" w:eastAsia="FangSong_GB2312" w:hAnsi="FangSong_GB2312" w:hint="eastAsia"/>
          <w:color w:val="000000"/>
          <w:sz w:val="28"/>
          <w:szCs w:val="28"/>
        </w:rPr>
        <w:t>带</w:t>
      </w:r>
      <w:r w:rsidRPr="005D4BB2">
        <w:rPr>
          <w:rFonts w:ascii="FangSong_GB2312" w:eastAsia="FangSong_GB2312" w:hAnsi="FangSong_GB2312"/>
          <w:color w:val="000000"/>
          <w:sz w:val="28"/>
          <w:szCs w:val="28"/>
        </w:rPr>
        <w:t>有鲜明的资本主义性质</w:t>
      </w:r>
      <w:r w:rsidRPr="005D4BB2">
        <w:rPr>
          <w:rFonts w:ascii="FangSong_GB2312" w:eastAsia="FangSong_GB2312" w:hAnsi="FangSong_GB2312" w:hint="eastAsia"/>
          <w:color w:val="000000"/>
          <w:sz w:val="28"/>
          <w:szCs w:val="28"/>
        </w:rPr>
        <w:t>，由于缺乏实际推行的基础，根本就没有实行。从根本上说，农民阶级的狭隘自私保守的劣根性，使之不能代表先进思想和先进的生产力。革命性质和政权性质出现转折导致了这场轰轰烈烈的农民运动走向失败。</w:t>
      </w:r>
    </w:p>
    <w:p w14:paraId="515841BB" w14:textId="77777777" w:rsidR="00DF1657" w:rsidRDefault="00DF1657" w:rsidP="000F2CAE">
      <w:pPr>
        <w:ind w:firstLineChars="200" w:firstLine="560"/>
        <w:rPr>
          <w:rFonts w:hint="eastAsia"/>
          <w:color w:val="000000"/>
          <w:sz w:val="28"/>
          <w:szCs w:val="28"/>
        </w:rPr>
      </w:pPr>
    </w:p>
    <w:p w14:paraId="41DE84B7" w14:textId="77777777" w:rsidR="00DF1657" w:rsidRPr="005D4BB2" w:rsidRDefault="00DF1657" w:rsidP="00DF1657">
      <w:pPr>
        <w:rPr>
          <w:rFonts w:ascii="FangSong_GB2312" w:eastAsia="FangSong_GB2312" w:hAnsi="FangSong_GB2312" w:hint="eastAsia"/>
          <w:b/>
          <w:color w:val="000000"/>
          <w:sz w:val="28"/>
          <w:szCs w:val="28"/>
        </w:rPr>
      </w:pPr>
      <w:r w:rsidRPr="005D4BB2">
        <w:rPr>
          <w:rFonts w:ascii="FangSong_GB2312" w:eastAsia="FangSong_GB2312" w:hAnsi="FangSong_GB2312" w:hint="eastAsia"/>
          <w:b/>
          <w:color w:val="000000"/>
          <w:sz w:val="28"/>
          <w:szCs w:val="28"/>
        </w:rPr>
        <w:t>参考文献</w:t>
      </w:r>
    </w:p>
    <w:p w14:paraId="10963BE5" w14:textId="77777777" w:rsidR="000F2CAE" w:rsidRPr="005D4BB2" w:rsidRDefault="000F2CAE" w:rsidP="00DF1657">
      <w:pPr>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[1]沈嘉荣，太平天国政权性质问题的探索，重庆出版社，1985（05）</w:t>
      </w:r>
      <w:r w:rsidRPr="005D4BB2">
        <w:rPr>
          <w:rFonts w:ascii="FangSong_GB2312" w:eastAsia="FangSong_GB2312" w:hAnsi="FangSong_GB2312"/>
          <w:color w:val="000000"/>
          <w:sz w:val="28"/>
          <w:szCs w:val="28"/>
        </w:rPr>
        <w:t>.</w:t>
      </w:r>
    </w:p>
    <w:p w14:paraId="6E848ABE" w14:textId="77777777" w:rsidR="00DF1657" w:rsidRPr="005D4BB2" w:rsidRDefault="000F2CAE" w:rsidP="00DF1657">
      <w:pPr>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 xml:space="preserve"> </w:t>
      </w:r>
      <w:r w:rsidR="00DF1657" w:rsidRPr="005D4BB2">
        <w:rPr>
          <w:rFonts w:ascii="FangSong_GB2312" w:eastAsia="FangSong_GB2312" w:hAnsi="FangSong_GB2312" w:hint="eastAsia"/>
          <w:color w:val="000000"/>
          <w:sz w:val="28"/>
          <w:szCs w:val="28"/>
        </w:rPr>
        <w:t>[2] 徐修宜，凌卫．论太平天国运动的两重性．合肥师范学院学报，2008（03）．</w:t>
      </w:r>
    </w:p>
    <w:p w14:paraId="6DCB90F5" w14:textId="77777777" w:rsidR="000F2CAE" w:rsidRPr="005D4BB2" w:rsidRDefault="00DF1657" w:rsidP="00DF1657">
      <w:pPr>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[3] 杨世英．太平天国失败原因探讨，濮阳职业技术学院学报，2007（03）．</w:t>
      </w:r>
      <w:r w:rsidR="000F2CAE" w:rsidRPr="005D4BB2">
        <w:rPr>
          <w:rFonts w:ascii="FangSong_GB2312" w:eastAsia="FangSong_GB2312" w:hAnsi="FangSong_GB2312" w:hint="eastAsia"/>
          <w:color w:val="000000"/>
          <w:sz w:val="28"/>
          <w:szCs w:val="28"/>
        </w:rPr>
        <w:t xml:space="preserve">  </w:t>
      </w:r>
    </w:p>
    <w:p w14:paraId="3585039C" w14:textId="77777777" w:rsidR="00DF1657" w:rsidRPr="005D4BB2" w:rsidRDefault="000F2CAE" w:rsidP="00DF1657">
      <w:pPr>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 xml:space="preserve"> [4</w:t>
      </w:r>
      <w:r w:rsidR="00DF1657" w:rsidRPr="005D4BB2">
        <w:rPr>
          <w:rFonts w:ascii="FangSong_GB2312" w:eastAsia="FangSong_GB2312" w:hAnsi="FangSong_GB2312" w:hint="eastAsia"/>
          <w:color w:val="000000"/>
          <w:sz w:val="28"/>
          <w:szCs w:val="28"/>
        </w:rPr>
        <w:t>] 王明前．上帝家庭与太平天国政治．桂林师范高等专科学校学报，2005（09）．</w:t>
      </w:r>
    </w:p>
    <w:p w14:paraId="4AE85435" w14:textId="77777777" w:rsidR="000F2CAE" w:rsidRPr="005D4BB2" w:rsidRDefault="000F2CAE" w:rsidP="00DF1657">
      <w:pPr>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[5]托马斯</w:t>
      </w:r>
      <w:r w:rsidRPr="005D4BB2">
        <w:rPr>
          <w:rFonts w:ascii="FangSong_GB2312" w:eastAsia="FangSong_GB2312" w:hAnsi="FangSong_GB2312"/>
          <w:color w:val="000000"/>
          <w:sz w:val="28"/>
          <w:szCs w:val="28"/>
        </w:rPr>
        <w:t>H.</w:t>
      </w:r>
      <w:r w:rsidRPr="005D4BB2">
        <w:rPr>
          <w:rFonts w:ascii="FangSong_GB2312" w:eastAsia="FangSong_GB2312" w:hAnsi="FangSong_GB2312" w:hint="eastAsia"/>
          <w:color w:val="000000"/>
          <w:sz w:val="28"/>
          <w:szCs w:val="28"/>
        </w:rPr>
        <w:t>赖利</w:t>
      </w:r>
      <w:r w:rsidRPr="005D4BB2">
        <w:rPr>
          <w:rFonts w:ascii="FangSong_GB2312" w:eastAsia="FangSong_GB2312" w:hAnsi="FangSong_GB2312"/>
          <w:color w:val="000000"/>
          <w:sz w:val="28"/>
          <w:szCs w:val="28"/>
        </w:rPr>
        <w:t>.</w:t>
      </w:r>
      <w:r w:rsidRPr="005D4BB2">
        <w:rPr>
          <w:rFonts w:ascii="FangSong_GB2312" w:eastAsia="FangSong_GB2312" w:hAnsi="FangSong_GB2312" w:hint="eastAsia"/>
          <w:color w:val="000000"/>
          <w:sz w:val="28"/>
          <w:szCs w:val="28"/>
        </w:rPr>
        <w:t>李勇，肖军霞，田芳 译，上帝与皇帝之争——太平天国的宗教与政治，上海人大出版社，2011（09）</w:t>
      </w:r>
      <w:r w:rsidRPr="005D4BB2">
        <w:rPr>
          <w:rFonts w:ascii="FangSong_GB2312" w:eastAsia="FangSong_GB2312" w:hAnsi="FangSong_GB2312"/>
          <w:color w:val="000000"/>
          <w:sz w:val="28"/>
          <w:szCs w:val="28"/>
        </w:rPr>
        <w:t>.</w:t>
      </w:r>
    </w:p>
    <w:p w14:paraId="4DF35B9B" w14:textId="77777777" w:rsidR="000F2CAE" w:rsidRPr="005D4BB2" w:rsidRDefault="000F2CAE" w:rsidP="00DF1657">
      <w:pPr>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[6]刘仁坤，贾诚先，太平天国兴亡，</w:t>
      </w:r>
      <w:r w:rsidR="005D4BB2" w:rsidRPr="005D4BB2">
        <w:rPr>
          <w:rFonts w:ascii="FangSong_GB2312" w:eastAsia="FangSong_GB2312" w:hAnsi="FangSong_GB2312" w:hint="eastAsia"/>
          <w:color w:val="000000"/>
          <w:sz w:val="28"/>
          <w:szCs w:val="28"/>
        </w:rPr>
        <w:t>哈尔滨出版社，2000（07）</w:t>
      </w:r>
      <w:r w:rsidR="005D4BB2" w:rsidRPr="005D4BB2">
        <w:rPr>
          <w:rFonts w:ascii="FangSong_GB2312" w:eastAsia="FangSong_GB2312" w:hAnsi="FangSong_GB2312"/>
          <w:color w:val="000000"/>
          <w:sz w:val="28"/>
          <w:szCs w:val="28"/>
        </w:rPr>
        <w:t>.</w:t>
      </w:r>
    </w:p>
    <w:p w14:paraId="0C0E27CC" w14:textId="77777777" w:rsidR="005D4BB2" w:rsidRPr="005D4BB2" w:rsidRDefault="005D4BB2" w:rsidP="00DF1657">
      <w:pPr>
        <w:rPr>
          <w:rFonts w:ascii="FangSong_GB2312" w:eastAsia="FangSong_GB2312" w:hAnsi="FangSong_GB2312"/>
          <w:color w:val="000000"/>
          <w:sz w:val="28"/>
          <w:szCs w:val="28"/>
        </w:rPr>
      </w:pPr>
      <w:r w:rsidRPr="005D4BB2">
        <w:rPr>
          <w:rFonts w:ascii="FangSong_GB2312" w:eastAsia="FangSong_GB2312" w:hAnsi="FangSong_GB2312" w:hint="eastAsia"/>
          <w:color w:val="000000"/>
          <w:sz w:val="28"/>
          <w:szCs w:val="28"/>
        </w:rPr>
        <w:t>[7]易家胜，太平天国历史博物馆建馆五十周年论文集，江苏教育出版社，2006（</w:t>
      </w:r>
      <w:r w:rsidRPr="005D4BB2">
        <w:rPr>
          <w:rFonts w:ascii="FangSong_GB2312" w:eastAsia="FangSong_GB2312" w:hAnsi="FangSong_GB2312"/>
          <w:color w:val="000000"/>
          <w:sz w:val="28"/>
          <w:szCs w:val="28"/>
        </w:rPr>
        <w:t>10</w:t>
      </w:r>
      <w:r w:rsidRPr="005D4BB2">
        <w:rPr>
          <w:rFonts w:ascii="FangSong_GB2312" w:eastAsia="FangSong_GB2312" w:hAnsi="FangSong_GB2312" w:hint="eastAsia"/>
          <w:color w:val="000000"/>
          <w:sz w:val="28"/>
          <w:szCs w:val="28"/>
        </w:rPr>
        <w:t>）</w:t>
      </w:r>
      <w:r w:rsidRPr="005D4BB2">
        <w:rPr>
          <w:rFonts w:ascii="FangSong_GB2312" w:eastAsia="FangSong_GB2312" w:hAnsi="FangSong_GB2312"/>
          <w:color w:val="000000"/>
          <w:sz w:val="28"/>
          <w:szCs w:val="28"/>
        </w:rPr>
        <w:t>.</w:t>
      </w:r>
    </w:p>
    <w:p w14:paraId="16197276" w14:textId="77777777" w:rsidR="005D4BB2" w:rsidRPr="005D4BB2" w:rsidRDefault="005D4BB2" w:rsidP="00DF1657">
      <w:pPr>
        <w:rPr>
          <w:rFonts w:ascii="FangSong_GB2312" w:eastAsia="FangSong_GB2312" w:hAnsi="FangSong_GB2312"/>
          <w:color w:val="000000"/>
          <w:sz w:val="28"/>
          <w:szCs w:val="28"/>
        </w:rPr>
      </w:pPr>
      <w:r w:rsidRPr="005D4BB2">
        <w:rPr>
          <w:rFonts w:ascii="FangSong_GB2312" w:eastAsia="FangSong_GB2312" w:hAnsi="FangSong_GB2312" w:hint="eastAsia"/>
          <w:color w:val="000000"/>
          <w:sz w:val="28"/>
          <w:szCs w:val="28"/>
        </w:rPr>
        <w:t>[8]茅家琦，太平天国通史，南京大学出版社，1991（</w:t>
      </w:r>
      <w:r w:rsidRPr="005D4BB2">
        <w:rPr>
          <w:rFonts w:ascii="FangSong_GB2312" w:eastAsia="FangSong_GB2312" w:hAnsi="FangSong_GB2312"/>
          <w:color w:val="000000"/>
          <w:sz w:val="28"/>
          <w:szCs w:val="28"/>
        </w:rPr>
        <w:t>08</w:t>
      </w:r>
      <w:r w:rsidRPr="005D4BB2">
        <w:rPr>
          <w:rFonts w:ascii="FangSong_GB2312" w:eastAsia="FangSong_GB2312" w:hAnsi="FangSong_GB2312" w:hint="eastAsia"/>
          <w:color w:val="000000"/>
          <w:sz w:val="28"/>
          <w:szCs w:val="28"/>
        </w:rPr>
        <w:t>）</w:t>
      </w:r>
      <w:r w:rsidRPr="005D4BB2">
        <w:rPr>
          <w:rFonts w:ascii="FangSong_GB2312" w:eastAsia="FangSong_GB2312" w:hAnsi="FangSong_GB2312"/>
          <w:color w:val="000000"/>
          <w:sz w:val="28"/>
          <w:szCs w:val="28"/>
        </w:rPr>
        <w:t>.</w:t>
      </w:r>
    </w:p>
    <w:p w14:paraId="6948D8EE" w14:textId="77777777" w:rsidR="00DF1657" w:rsidRPr="005D4BB2" w:rsidRDefault="000F2CAE" w:rsidP="00DF1657">
      <w:pPr>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 xml:space="preserve"> </w:t>
      </w:r>
      <w:r w:rsidR="00DF1657" w:rsidRPr="005D4BB2">
        <w:rPr>
          <w:rFonts w:ascii="FangSong_GB2312" w:eastAsia="FangSong_GB2312" w:hAnsi="FangSong_GB2312" w:hint="eastAsia"/>
          <w:color w:val="000000"/>
          <w:sz w:val="28"/>
          <w:szCs w:val="28"/>
        </w:rPr>
        <w:t xml:space="preserve">[9] 荣佳．太平天国农业空想社会主义的局限性，今日南国，2009（07）．  </w:t>
      </w:r>
    </w:p>
    <w:p w14:paraId="2AB707EA" w14:textId="77777777" w:rsidR="00DF1657" w:rsidRPr="005D4BB2" w:rsidRDefault="000F2CAE" w:rsidP="00DF1657">
      <w:pPr>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 xml:space="preserve"> </w:t>
      </w:r>
      <w:r w:rsidR="005D4BB2" w:rsidRPr="005D4BB2">
        <w:rPr>
          <w:rFonts w:ascii="FangSong_GB2312" w:eastAsia="FangSong_GB2312" w:hAnsi="FangSong_GB2312" w:hint="eastAsia"/>
          <w:color w:val="000000"/>
          <w:sz w:val="28"/>
          <w:szCs w:val="28"/>
        </w:rPr>
        <w:t>[10</w:t>
      </w:r>
      <w:r w:rsidR="00DF1657" w:rsidRPr="005D4BB2">
        <w:rPr>
          <w:rFonts w:ascii="FangSong_GB2312" w:eastAsia="FangSong_GB2312" w:hAnsi="FangSong_GB2312" w:hint="eastAsia"/>
          <w:color w:val="000000"/>
          <w:sz w:val="28"/>
          <w:szCs w:val="28"/>
        </w:rPr>
        <w:t>] 华强．也谈对太平天国的两个纲领及洪秀全的评价．学术争鸣，2005（08）．</w:t>
      </w:r>
    </w:p>
    <w:p w14:paraId="4AB77399" w14:textId="77777777" w:rsidR="00DF1657" w:rsidRPr="005D4BB2" w:rsidRDefault="000F2CAE" w:rsidP="00DF1657">
      <w:pPr>
        <w:rPr>
          <w:rFonts w:ascii="FangSong_GB2312" w:eastAsia="FangSong_GB2312" w:hAnsi="FangSong_GB2312" w:hint="eastAsia"/>
          <w:color w:val="000000"/>
          <w:sz w:val="28"/>
          <w:szCs w:val="28"/>
        </w:rPr>
      </w:pPr>
      <w:r w:rsidRPr="005D4BB2">
        <w:rPr>
          <w:rFonts w:ascii="FangSong_GB2312" w:eastAsia="FangSong_GB2312" w:hAnsi="FangSong_GB2312" w:hint="eastAsia"/>
          <w:color w:val="000000"/>
          <w:sz w:val="28"/>
          <w:szCs w:val="28"/>
        </w:rPr>
        <w:t xml:space="preserve"> </w:t>
      </w:r>
      <w:r w:rsidR="005D4BB2" w:rsidRPr="005D4BB2">
        <w:rPr>
          <w:rFonts w:ascii="FangSong_GB2312" w:eastAsia="FangSong_GB2312" w:hAnsi="FangSong_GB2312" w:hint="eastAsia"/>
          <w:color w:val="000000"/>
          <w:sz w:val="28"/>
          <w:szCs w:val="28"/>
        </w:rPr>
        <w:t>[11</w:t>
      </w:r>
      <w:r w:rsidR="00DF1657" w:rsidRPr="005D4BB2">
        <w:rPr>
          <w:rFonts w:ascii="FangSong_GB2312" w:eastAsia="FangSong_GB2312" w:hAnsi="FangSong_GB2312" w:hint="eastAsia"/>
          <w:color w:val="000000"/>
          <w:sz w:val="28"/>
          <w:szCs w:val="28"/>
        </w:rPr>
        <w:t>] 王明前．太平天国政治的文化继承．学术探索，2005（10）．</w:t>
      </w:r>
    </w:p>
    <w:p w14:paraId="7ADA9B61" w14:textId="77777777" w:rsidR="00DF1657" w:rsidRPr="005D4BB2" w:rsidRDefault="000F2CAE">
      <w:pPr>
        <w:rPr>
          <w:rFonts w:ascii="宋体" w:hAnsi="宋体"/>
          <w:color w:val="000000"/>
          <w:sz w:val="28"/>
          <w:szCs w:val="28"/>
        </w:rPr>
      </w:pPr>
      <w:r w:rsidRPr="005D4BB2">
        <w:rPr>
          <w:rFonts w:ascii="FangSong_GB2312" w:eastAsia="FangSong_GB2312" w:hAnsi="FangSong_GB2312" w:hint="eastAsia"/>
          <w:color w:val="000000"/>
          <w:sz w:val="28"/>
          <w:szCs w:val="28"/>
        </w:rPr>
        <w:t xml:space="preserve"> </w:t>
      </w:r>
      <w:r w:rsidR="005D4BB2" w:rsidRPr="005D4BB2">
        <w:rPr>
          <w:rFonts w:ascii="FangSong_GB2312" w:eastAsia="FangSong_GB2312" w:hAnsi="FangSong_GB2312" w:hint="eastAsia"/>
          <w:color w:val="000000"/>
          <w:sz w:val="28"/>
          <w:szCs w:val="28"/>
        </w:rPr>
        <w:t>[12</w:t>
      </w:r>
      <w:r w:rsidR="00DF1657" w:rsidRPr="005D4BB2">
        <w:rPr>
          <w:rFonts w:ascii="FangSong_GB2312" w:eastAsia="FangSong_GB2312" w:hAnsi="FangSong_GB2312" w:hint="eastAsia"/>
          <w:color w:val="000000"/>
          <w:sz w:val="28"/>
          <w:szCs w:val="28"/>
        </w:rPr>
        <w:t xml:space="preserve">] 庄福铭．太平天国史若干问题研究综述，中学历史教学研究，2009（02）．  </w:t>
      </w:r>
    </w:p>
    <w:sectPr w:rsidR="00DF1657" w:rsidRPr="005D4BB2" w:rsidSect="00EF22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FangSong_GB2312">
    <w:panose1 w:val="02010609030101010101"/>
    <w:charset w:val="00"/>
    <w:family w:val="auto"/>
    <w:pitch w:val="variable"/>
    <w:sig w:usb0="00000003" w:usb1="080E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686A"/>
    <w:multiLevelType w:val="hybridMultilevel"/>
    <w:tmpl w:val="107EFD22"/>
    <w:lvl w:ilvl="0" w:tplc="146CF00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AEB7770"/>
    <w:multiLevelType w:val="hybridMultilevel"/>
    <w:tmpl w:val="3438C256"/>
    <w:lvl w:ilvl="0" w:tplc="518A8A96">
      <w:start w:val="1"/>
      <w:numFmt w:val="decimal"/>
      <w:lvlText w:val="%1."/>
      <w:lvlJc w:val="left"/>
      <w:pPr>
        <w:ind w:left="360" w:hanging="360"/>
      </w:pPr>
      <w:rPr>
        <w:rFonts w:ascii="Heiti SC Light" w:eastAsia="Heiti SC Light"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657"/>
    <w:rsid w:val="00071520"/>
    <w:rsid w:val="000F2CAE"/>
    <w:rsid w:val="002D2375"/>
    <w:rsid w:val="00486EA3"/>
    <w:rsid w:val="00574225"/>
    <w:rsid w:val="005D4BB2"/>
    <w:rsid w:val="005E7B41"/>
    <w:rsid w:val="007017EC"/>
    <w:rsid w:val="00DF1657"/>
    <w:rsid w:val="00EF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BDAA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BB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B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aike.com/wiki/%E6%B4%AA%E4%BB%81%E7%8E%95" TargetMode="External"/><Relationship Id="rId12" Type="http://schemas.openxmlformats.org/officeDocument/2006/relationships/hyperlink" Target="http://www.baike.com/wiki/%E6%94%BF%E5%BA%9C" TargetMode="External"/><Relationship Id="rId13" Type="http://schemas.openxmlformats.org/officeDocument/2006/relationships/hyperlink" Target="javascript:linkredwin('%E5%B7%A5%E5%95%86%E4%B8%9A');" TargetMode="External"/><Relationship Id="rId14" Type="http://schemas.openxmlformats.org/officeDocument/2006/relationships/hyperlink" Target="http://www.baike.com/wiki/%E5%85%B8%E6%89%A7%E6%B3%9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ike.com/wiki/%E6%94%BF%E6%B2%BB%E5%88%B6%E5%BA%A6" TargetMode="External"/><Relationship Id="rId7" Type="http://schemas.openxmlformats.org/officeDocument/2006/relationships/hyperlink" Target="http://www.baike.com/wiki/%E5%9B%BD%E5%AE%B6%E5%85%83%E9%A6%96" TargetMode="External"/><Relationship Id="rId8" Type="http://schemas.openxmlformats.org/officeDocument/2006/relationships/hyperlink" Target="http://www.baike.com/wiki/%E6%94%BF%E5%BA%9C%E9%A6%96%E8%84%91" TargetMode="External"/><Relationship Id="rId9" Type="http://schemas.openxmlformats.org/officeDocument/2006/relationships/hyperlink" Target="http://www.baike.com/wiki/%E5%B0%81%E5%BB%BA" TargetMode="External"/><Relationship Id="rId10" Type="http://schemas.openxmlformats.org/officeDocument/2006/relationships/hyperlink" Target="http://www.baike.com/wiki/%E9%9F%A6%E6%98%8C%E8%BE%89"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1651</Words>
  <Characters>1718</Characters>
  <Application>Microsoft Macintosh Word</Application>
  <DocSecurity>0</DocSecurity>
  <Lines>71</Lines>
  <Paragraphs>40</Paragraphs>
  <ScaleCrop>false</ScaleCrop>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yanhao xu</dc:creator>
  <cp:keywords/>
  <dc:description/>
  <cp:lastModifiedBy>yanhao xu</cp:lastModifiedBy>
  <cp:revision>2</cp:revision>
  <dcterms:created xsi:type="dcterms:W3CDTF">2013-11-07T05:50:00Z</dcterms:created>
  <dcterms:modified xsi:type="dcterms:W3CDTF">2013-11-07T06:58:00Z</dcterms:modified>
</cp:coreProperties>
</file>