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VitalCure Pharmaceuticals</w:t>
      </w:r>
    </w:p>
    <w:p>
      <w:pPr>
        <w:pStyle w:val="Heading1"/>
      </w:pPr>
      <w:r>
        <w:t>Company Background &amp; Overview</w:t>
      </w:r>
    </w:p>
    <w:p>
      <w:r>
        <w:rPr>
          <w:b/>
        </w:rPr>
        <w:t xml:space="preserve">Company Name: </w:t>
      </w:r>
      <w:r>
        <w:t>VitalCure Pharmaceuticals Inc.</w:t>
        <w:br/>
      </w:r>
      <w:r>
        <w:rPr>
          <w:b/>
        </w:rPr>
        <w:t xml:space="preserve">Industry: </w:t>
      </w:r>
      <w:r>
        <w:t>Pharmaceutical Manufacturing &amp; Research</w:t>
        <w:br/>
      </w:r>
      <w:r>
        <w:rPr>
          <w:b/>
        </w:rPr>
        <w:t xml:space="preserve">Headquarters: </w:t>
      </w:r>
      <w:r>
        <w:t>Cambridge, Massachusetts, USA</w:t>
        <w:br/>
      </w:r>
      <w:r>
        <w:rPr>
          <w:b/>
        </w:rPr>
        <w:t xml:space="preserve">Employees: </w:t>
      </w:r>
      <w:r>
        <w:t>2,850 globally</w:t>
        <w:br/>
      </w:r>
      <w:r>
        <w:rPr>
          <w:b/>
        </w:rPr>
        <w:t xml:space="preserve">Founded: </w:t>
      </w:r>
      <w:r>
        <w:t>2008</w:t>
        <w:br/>
      </w:r>
      <w:r>
        <w:rPr>
          <w:b/>
        </w:rPr>
        <w:t xml:space="preserve">Revenue (2025): </w:t>
      </w:r>
      <w:r>
        <w:t>$1.8 billion USD</w:t>
        <w:br/>
      </w:r>
    </w:p>
    <w:p>
      <w:pPr>
        <w:pStyle w:val="Heading2"/>
      </w:pPr>
      <w:r>
        <w:t>Business Description</w:t>
      </w:r>
    </w:p>
    <w:p>
      <w:r>
        <w:t>VitalCure Pharmaceuticals is a mid-sized biopharmaceutical company specializing in oncology and rare disease treatments. The company has three FDA-approved drugs in market and a robust pipeline of 12 candidates in various stages of clinical trials. VitalCure operates manufacturing facilities in Massachusetts and New Jersey, with research centers in Cambridge, San Diego, and a satellite office in Basel, Switzerland.</w:t>
      </w:r>
    </w:p>
    <w:p>
      <w:pPr>
        <w:pStyle w:val="Heading2"/>
      </w:pPr>
      <w:r>
        <w:t>Current Organizational Structure</w:t>
      </w:r>
    </w:p>
    <w:p>
      <w:r>
        <w:t>The organization is divided into five major divisions:</w:t>
      </w:r>
    </w:p>
    <w:p>
      <w:pPr>
        <w:pStyle w:val="ListBullet"/>
      </w:pPr>
      <w:r>
        <w:t>Research &amp; Development (R&amp;D) - 820 employees</w:t>
      </w:r>
    </w:p>
    <w:p>
      <w:pPr>
        <w:pStyle w:val="ListBullet"/>
      </w:pPr>
      <w:r>
        <w:t>Clinical Operations - 450 employees</w:t>
      </w:r>
    </w:p>
    <w:p>
      <w:pPr>
        <w:pStyle w:val="ListBullet"/>
      </w:pPr>
      <w:r>
        <w:t>Manufacturing &amp; Quality Assurance - 680 employees</w:t>
      </w:r>
    </w:p>
    <w:p>
      <w:pPr>
        <w:pStyle w:val="ListBullet"/>
      </w:pPr>
      <w:r>
        <w:t>Commercial Operations (Sales &amp; Marketing) - 520 employees</w:t>
      </w:r>
    </w:p>
    <w:p>
      <w:pPr>
        <w:pStyle w:val="ListBullet"/>
      </w:pPr>
      <w:r>
        <w:t>Corporate Functions (HR, Finance, Legal, IT) - 380 employees</w:t>
      </w:r>
    </w:p>
    <w:p>
      <w:pPr>
        <w:pStyle w:val="Heading2"/>
      </w:pPr>
      <w:r>
        <w:t>Recent Challenges &amp; Growth Context</w:t>
      </w:r>
    </w:p>
    <w:p>
      <w:r>
        <w:t>VitalCure has experienced rapid growth over the past 18 months following the successful launch of its flagship oncology drug, OncoBlock-7. The company headcount increased by 35% year-over-year, creating significant integration challenges. Additionally, VitalCure recently acquired a smaller biotech firm (NeuraPharma) to expand into neurodegenerative diseases, adding 180 employees with different work cultures and processes.</w:t>
      </w:r>
    </w:p>
    <w:p>
      <w:pPr>
        <w:pStyle w:val="Heading2"/>
      </w:pPr>
      <w:r>
        <w:t>Why Training is Needed Now</w:t>
      </w:r>
    </w:p>
    <w:p>
      <w:r>
        <w:rPr>
          <w:b/>
        </w:rPr>
        <w:t xml:space="preserve">Integration Issues: </w:t>
      </w:r>
      <w:r>
        <w:t>Legacy VitalCure employees and NeuraPharma acquisitions have shown poor collaboration and communication gaps, leading to project delays.</w:t>
        <w:br/>
        <w:br/>
      </w:r>
    </w:p>
    <w:p>
      <w:r>
        <w:rPr>
          <w:b/>
        </w:rPr>
        <w:t xml:space="preserve">Leadership Gaps: </w:t>
      </w:r>
      <w:r>
        <w:t>Many scientists and researchers were promoted to managerial roles without formal leadership training, resulting in low team morale scores (58% satisfaction in Q4 2025 internal survey).</w:t>
        <w:br/>
        <w:br/>
      </w:r>
    </w:p>
    <w:p>
      <w:r>
        <w:rPr>
          <w:b/>
        </w:rPr>
        <w:t xml:space="preserve">Compliance &amp; Quality Concerns: </w:t>
      </w:r>
      <w:r>
        <w:t>FDA inspection in November 2025 identified procedural deviations in documentation practices across three departments. While no major violations occurred, the company needs immediate remediation through training.</w:t>
        <w:br/>
        <w:br/>
      </w:r>
    </w:p>
    <w:p>
      <w:r>
        <w:rPr>
          <w:b/>
        </w:rPr>
        <w:t xml:space="preserve">Cross-functional Collaboration: </w:t>
      </w:r>
      <w:r>
        <w:t>Siloed departments (especially R&amp;D and Commercial) struggle to align on priorities, causing friction in product development timelines.</w:t>
      </w:r>
    </w:p>
    <w:p>
      <w:pPr>
        <w:pStyle w:val="Heading2"/>
      </w:pPr>
      <w:r>
        <w:t>Key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Involvement</w:t>
            </w:r>
          </w:p>
        </w:tc>
      </w:tr>
      <w:tr>
        <w:tc>
          <w:tcPr>
            <w:tcW w:type="dxa" w:w="2880"/>
          </w:tcPr>
          <w:p>
            <w:r>
              <w:t>Dr. Elizabeth Chen</w:t>
            </w:r>
          </w:p>
        </w:tc>
        <w:tc>
          <w:tcPr>
            <w:tcW w:type="dxa" w:w="2880"/>
          </w:tcPr>
          <w:p>
            <w:r>
              <w:t>Chief Executive Officer</w:t>
            </w:r>
          </w:p>
        </w:tc>
        <w:tc>
          <w:tcPr>
            <w:tcW w:type="dxa" w:w="2880"/>
          </w:tcPr>
          <w:p>
            <w:r>
              <w:t>Executive sponsor - final approver</w:t>
            </w:r>
          </w:p>
        </w:tc>
      </w:tr>
      <w:tr>
        <w:tc>
          <w:tcPr>
            <w:tcW w:type="dxa" w:w="2880"/>
          </w:tcPr>
          <w:p>
            <w:r>
              <w:t>Marcus Williams</w:t>
            </w:r>
          </w:p>
        </w:tc>
        <w:tc>
          <w:tcPr>
            <w:tcW w:type="dxa" w:w="2880"/>
          </w:tcPr>
          <w:p>
            <w:r>
              <w:t>Chief Human Resources Officer</w:t>
            </w:r>
          </w:p>
        </w:tc>
        <w:tc>
          <w:tcPr>
            <w:tcW w:type="dxa" w:w="2880"/>
          </w:tcPr>
          <w:p>
            <w:r>
              <w:t>Project lead for training initiative</w:t>
            </w:r>
          </w:p>
        </w:tc>
      </w:tr>
      <w:tr>
        <w:tc>
          <w:tcPr>
            <w:tcW w:type="dxa" w:w="2880"/>
          </w:tcPr>
          <w:p>
            <w:r>
              <w:t>Dr. Raj Patel</w:t>
            </w:r>
          </w:p>
        </w:tc>
        <w:tc>
          <w:tcPr>
            <w:tcW w:type="dxa" w:w="2880"/>
          </w:tcPr>
          <w:p>
            <w:r>
              <w:t>SVP Research &amp; Development</w:t>
            </w:r>
          </w:p>
        </w:tc>
        <w:tc>
          <w:tcPr>
            <w:tcW w:type="dxa" w:w="2880"/>
          </w:tcPr>
          <w:p>
            <w:r>
              <w:t>Stakeholder - R&amp;D training needs</w:t>
            </w:r>
          </w:p>
        </w:tc>
      </w:tr>
      <w:tr>
        <w:tc>
          <w:tcPr>
            <w:tcW w:type="dxa" w:w="2880"/>
          </w:tcPr>
          <w:p>
            <w:r>
              <w:t>Jennifer Moore</w:t>
            </w:r>
          </w:p>
        </w:tc>
        <w:tc>
          <w:tcPr>
            <w:tcW w:type="dxa" w:w="2880"/>
          </w:tcPr>
          <w:p>
            <w:r>
              <w:t>VP Clinical Operations</w:t>
            </w:r>
          </w:p>
        </w:tc>
        <w:tc>
          <w:tcPr>
            <w:tcW w:type="dxa" w:w="2880"/>
          </w:tcPr>
          <w:p>
            <w:r>
              <w:t>Stakeholder - compliance training advocate</w:t>
            </w:r>
          </w:p>
        </w:tc>
      </w:tr>
      <w:tr>
        <w:tc>
          <w:tcPr>
            <w:tcW w:type="dxa" w:w="2880"/>
          </w:tcPr>
          <w:p>
            <w:r>
              <w:t>David Kowalski</w:t>
            </w:r>
          </w:p>
        </w:tc>
        <w:tc>
          <w:tcPr>
            <w:tcW w:type="dxa" w:w="2880"/>
          </w:tcPr>
          <w:p>
            <w:r>
              <w:t>VP Manufacturing</w:t>
            </w:r>
          </w:p>
        </w:tc>
        <w:tc>
          <w:tcPr>
            <w:tcW w:type="dxa" w:w="2880"/>
          </w:tcPr>
          <w:p>
            <w:r>
              <w:t>Stakeholder - technical skills development</w:t>
            </w:r>
          </w:p>
        </w:tc>
      </w:tr>
      <w:tr>
        <w:tc>
          <w:tcPr>
            <w:tcW w:type="dxa" w:w="2880"/>
          </w:tcPr>
          <w:p>
            <w:r>
              <w:t>Sarah Thompson</w:t>
            </w:r>
          </w:p>
        </w:tc>
        <w:tc>
          <w:tcPr>
            <w:tcW w:type="dxa" w:w="2880"/>
          </w:tcPr>
          <w:p>
            <w:r>
              <w:t>Chief Commercial Officer</w:t>
            </w:r>
          </w:p>
        </w:tc>
        <w:tc>
          <w:tcPr>
            <w:tcW w:type="dxa" w:w="2880"/>
          </w:tcPr>
          <w:p>
            <w:r>
              <w:t>Stakeholder - commercial capability building</w:t>
            </w:r>
          </w:p>
        </w:tc>
      </w:tr>
    </w:tbl>
    <w:p>
      <w:pPr>
        <w:pStyle w:val="Heading2"/>
      </w:pPr>
      <w:r>
        <w:t>Desired Training Outcomes</w:t>
      </w:r>
    </w:p>
    <w:p>
      <w:r>
        <w:t>VitalCure leadership has identified the following priority outcomes:</w:t>
      </w:r>
    </w:p>
    <w:p>
      <w:pPr>
        <w:pStyle w:val="ListNumber"/>
      </w:pPr>
      <w:r>
        <w:t>Develop a unified leadership framework across all divisions to ensure consistent management practices</w:t>
      </w:r>
    </w:p>
    <w:p>
      <w:pPr>
        <w:pStyle w:val="ListNumber"/>
      </w:pPr>
      <w:r>
        <w:t>Bridge cultural gaps between legacy VitalCure and NeuraPharma employees through team-building interventions</w:t>
      </w:r>
    </w:p>
    <w:p>
      <w:pPr>
        <w:pStyle w:val="ListNumber"/>
      </w:pPr>
      <w:r>
        <w:t>Strengthen FDA compliance knowledge specifically around GMP (Good Manufacturing Practice) and GCP (Good Clinical Practice)</w:t>
      </w:r>
    </w:p>
    <w:p>
      <w:pPr>
        <w:pStyle w:val="ListNumber"/>
      </w:pPr>
      <w:r>
        <w:t>Improve cross-functional project management capabilities to reduce product development cycle times by 20%</w:t>
      </w:r>
    </w:p>
    <w:p>
      <w:pPr>
        <w:pStyle w:val="ListNumber"/>
      </w:pPr>
      <w:r>
        <w:t>Build change management capabilities to prepare organization for upcoming digital transformation initiatives</w:t>
      </w:r>
    </w:p>
    <w:p>
      <w:pPr>
        <w:pStyle w:val="Heading2"/>
      </w:pPr>
      <w:r>
        <w:t>Budget &amp; Timeline Expectations</w:t>
      </w:r>
    </w:p>
    <w:p>
      <w:r>
        <w:rPr>
          <w:b/>
        </w:rPr>
        <w:t xml:space="preserve">Allocated Budget: </w:t>
      </w:r>
      <w:r>
        <w:t>$2.4 million for FY 2026 training programs</w:t>
        <w:br/>
      </w:r>
      <w:r>
        <w:rPr>
          <w:b/>
        </w:rPr>
        <w:t xml:space="preserve">Timeline: </w:t>
      </w:r>
      <w:r>
        <w:t>Program design and pilot by Q2 2026, full rollout by Q4 2026</w:t>
        <w:br/>
      </w:r>
      <w:r>
        <w:rPr>
          <w:b/>
        </w:rPr>
        <w:t xml:space="preserve">Success Metrics: </w:t>
      </w:r>
      <w:r>
        <w:t>Employee engagement scores increase to 75%+, compliance audit scores improve to 95%+, cross-functional project delivery on-time rate reaches 80%+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