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1a2e"/>
          <w:sz w:val="36"/>
          <w:szCs w:val="36"/>
        </w:rPr>
        <w:t xml:space="preserve">NexaBridge Technologies PLC</w:t>
      </w:r>
    </w:p>
    <w:p>
      <w:pPr>
        <w:spacing w:after="120"/>
        <w:jc w:val="center"/>
      </w:pPr>
      <w:r>
        <w:rPr>
          <w:b/>
          <w:bCs/>
          <w:color w:val="2c2c6e"/>
          <w:sz w:val="48"/>
          <w:szCs w:val="48"/>
        </w:rPr>
        <w:t xml:space="preserve">Learning &amp; Development Strategy 2025</w:t>
      </w:r>
    </w:p>
    <w:p>
      <w:pPr>
        <w:spacing w:after="480"/>
        <w:jc w:val="center"/>
      </w:pPr>
      <w:r>
        <w:rPr>
          <w:i/>
          <w:iCs/>
          <w:color w:val="555555"/>
          <w:sz w:val="26"/>
          <w:szCs w:val="26"/>
        </w:rPr>
        <w:t xml:space="preserve">Training Objectives, Cohort Plans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Sandra Okafor, Chief People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Prepared with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Elevate Learning Consultants Ltd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 — 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February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CONFIDENTIAL — Internal Distribution Only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document sets out NexaBridge Technologies PLC's Learning &amp; Development (L&amp;D) Strategy for 2025, developed in partnership with Elevate Learning Consultants Ltd following a comprehensive Training Needs Analysis (TNA) conducted in January–February 2025.</w:t>
      </w:r>
    </w:p>
    <w:p>
      <w:pPr>
        <w:spacing w:after="120"/>
      </w:pPr>
      <w:r>
        <w:rPr>
          <w:sz w:val="22"/>
          <w:szCs w:val="22"/>
        </w:rPr>
        <w:t xml:space="preserve">NexaBridge is at a critical growth stage. The business has committed to ambitious targets — including Investors in People Gold accreditation by December 2025 and an uplift in client NPS from 42 to 60+ — that are only achievable if the organisation's people capability keeps pace with its commercial ambitions.</w:t>
      </w:r>
    </w:p>
    <w:p>
      <w:pPr>
        <w:spacing w:after="120"/>
      </w:pPr>
      <w:r>
        <w:rPr>
          <w:sz w:val="22"/>
          <w:szCs w:val="22"/>
        </w:rPr>
        <w:t xml:space="preserve">The strategy addresses three priority cohorts: Engineering &amp; Delivery (Cohort A), Data &amp; AI Practice (Cohort B), and Client Services &amp; Corporate Functions (Cohort C). Additionally, two company-wide programmes — AI Literacy and Leadership Pipeline — will span all staff.</w:t>
      </w:r>
    </w:p>
    <w:p>
      <w:pPr>
        <w:spacing w:after="120"/>
      </w:pPr>
      <w:r>
        <w:rPr>
          <w:sz w:val="22"/>
          <w:szCs w:val="22"/>
        </w:rPr>
        <w:t xml:space="preserve">Total approved budget: £380,000. Additional £14,000 has been requested to cover the full recommended scope.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2. Strategic Objectives for 2025</w:t>
      </w:r>
    </w:p>
    <w:p>
      <w:pPr>
        <w:spacing w:after="120"/>
      </w:pPr>
      <w:r>
        <w:rPr>
          <w:sz w:val="22"/>
          <w:szCs w:val="22"/>
        </w:rPr>
        <w:t xml:space="preserve">The L&amp;D Strategy is aligned to five Board-approved organisational objectives: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6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 Outcome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reliance on contract staff by upskilling permanent engineers in cloud-native technologies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 reduction in contract spend by Q4 2025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 all staff to understand and responsibly use AI 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 of staff complete AI Essentials module by Q2 2025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Improve client satisfaction and commercial outcomes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NPS from 42 to 60+ by December 2025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 12 high-potential employees for senior leadership 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participants in Leadership Pipeline by March 2025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Achieve Investors in People Gold accreditation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IIP Gold assessed and awarded by December 2025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3. Cohort A — Engineering &amp; Delivery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3.1 Overview</w:t>
      </w:r>
    </w:p>
    <w:p>
      <w:pPr>
        <w:spacing w:after="120"/>
      </w:pPr>
      <w:r>
        <w:rPr>
          <w:sz w:val="22"/>
          <w:szCs w:val="22"/>
        </w:rPr>
        <w:t xml:space="preserve">Cohort A comprises approximately 60 staff in the Engineering &amp; Delivery division, including 12 Team Leads, 30 Senior/Mid Engineers, and 18 Junior Engineers. The TNA identified three priority gaps: cloud-native infrastructure skills, people management for Team Leads, and Agile delivery at scale.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3.2 Priority Learning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Achieve AWS Solutions Architect Associate (SAA-C03) certification for 20 senior engineers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12 Team Leads to complete New Manager Essentials programme with coaching by Q2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 engineers to achieve Certified Kubernetes Administrator (CKA)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Engineering staff to complete SAFe Agile training by Q4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8 junior engineers to complete Python Fundamentals by Q2 2025</w:t>
      </w:r>
    </w:p>
    <w:p>
      <w:pPr>
        <w:spacing w:after="120"/>
      </w:pPr>
      <w:r>
        <w:t xml:space="preserve"/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3.3 KPIs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Certifications achieved vs. target (tracked monthly)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Team Lead 360-degree feedback scores at 3 and 6 months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Staff retention rate in Engineering (baseline: 82%, target: 90%)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Delivery velocity improvement measured via sprint metrics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4. Cohort B — Data &amp; AI Practice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4.1 Overview</w:t>
      </w:r>
    </w:p>
    <w:p>
      <w:pPr>
        <w:spacing w:after="120"/>
      </w:pPr>
      <w:r>
        <w:rPr>
          <w:sz w:val="22"/>
          <w:szCs w:val="22"/>
        </w:rPr>
        <w:t xml:space="preserve">Cohort B comprises 55 staff in the Data &amp; AI Practice. Core technical skills are strong; gaps exist in ML operationalisation (MLOps), responsible AI, stakeholder communication, and regulatory awareness (EU AI Act, FCA model risk guidance). A company-wide data literacy programme is also recommended.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4.2 Priority Learning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 ML Engineers to complete MLOps certification programme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55 Data &amp; AI staff to complete Responsible AI &amp; Explainability module by Q2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 analysts and data scientists to complete Data Storytelling programme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Company-wide Data Literacy e-learning programme (approx. 300 staff) launched by Q2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Leads and managers to attend EU AI Act Compliance Briefing by Q2 2025</w:t>
      </w:r>
    </w:p>
    <w:p>
      <w:pPr>
        <w:spacing w:after="120"/>
      </w:pPr>
      <w:r>
        <w:t xml:space="preserve"/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4.3 KPIs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% of business stakeholders who use data outputs in decision making (survey, baseline vs. 6 months)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 of AI/data projects that proceed to production (MLOps metric)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Stakeholder satisfaction score with data team outputs</w:t>
      </w:r>
    </w:p>
    <w:p>
      <w:pPr>
        <w:spacing w:after="120"/>
      </w:pPr>
      <w:r>
        <w:t xml:space="preserv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5. Cohort C — Client Services &amp; Corporate Functions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5.1 Overview</w:t>
      </w:r>
    </w:p>
    <w:p>
      <w:pPr>
        <w:spacing w:after="120"/>
      </w:pPr>
      <w:r>
        <w:rPr>
          <w:sz w:val="22"/>
          <w:szCs w:val="22"/>
        </w:rPr>
        <w:t xml:space="preserve">Cohort C covers approximately 40 managers and staff in Client Services and Corporate Functions. Key gaps include client facilitation, commercial negotiation, financial literacy, coaching skills (HR), and financial reporting efficiency (Finance).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5.2 Priority Learning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Client Services staff to complete Facilitation Skills workshop by Q2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managers and client leads to complete Commercial Negotiation programme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HR BPs to complete ILM-accredited Coaching Fundamentals by Q3 2025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Finance team to complete Power BI / Advanced Excel programme by Q2 2025</w:t>
      </w:r>
    </w:p>
    <w:p>
      <w:pPr>
        <w:spacing w:after="120"/>
      </w:pPr>
      <w:r>
        <w:t xml:space="preserv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6. Company-Wide Initiatives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6.1 AI Essentials for All Staff</w:t>
      </w:r>
    </w:p>
    <w:p>
      <w:pPr>
        <w:spacing w:after="120"/>
      </w:pPr>
      <w:r>
        <w:rPr>
          <w:sz w:val="22"/>
          <w:szCs w:val="22"/>
        </w:rPr>
        <w:t xml:space="preserve">A mandatory, 4-hour online AI Essentials module will be rolled out to all 420 NexaBridge employees by end of Q2 2025. The module covers: what AI is and is not, how to use AI tools responsibly in the workplace, data privacy considerations, and NexaBridge's internal AI acceptable use policy. Executive sponsor: Marcus Delgado (CTO).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6.2 Leadership Pipeline Programme</w:t>
      </w:r>
    </w:p>
    <w:p>
      <w:pPr>
        <w:spacing w:after="120"/>
      </w:pPr>
      <w:r>
        <w:rPr>
          <w:sz w:val="22"/>
          <w:szCs w:val="22"/>
        </w:rPr>
        <w:t xml:space="preserve">A 12-person cohort of high-potential employees (identified by the CPO and divisional heads) will enter a structured 18-month leadership development programme starting March 2025. The programme includes psychometric profiling, 1:1 executive coaching, leadership workshops, 360-degree feedback, cross-divisional project rotations, and a final leadership challenge presentation to the Board.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7. Governance and Review</w:t>
      </w:r>
    </w:p>
    <w:p>
      <w:pPr>
        <w:spacing w:after="120"/>
      </w:pPr>
      <w:r>
        <w:rPr>
          <w:sz w:val="22"/>
          <w:szCs w:val="22"/>
        </w:rPr>
        <w:t xml:space="preserve">The L&amp;D programme will be governed by a Learning &amp; Development Steering Group, chaired by Sandra Okafor and meeting monthly. Membership includes divisional heads and a representative from Elevate Learning Consultants for the first 12 months.</w:t>
      </w:r>
    </w:p>
    <w:p>
      <w:pPr>
        <w:spacing w:after="120"/>
      </w:pPr>
      <w:r>
        <w:rPr>
          <w:sz w:val="22"/>
          <w:szCs w:val="22"/>
        </w:rPr>
        <w:t xml:space="preserve">Quarterly progress reviews will be presented to the Executive Team. A full programme review will be conducted in October 2025 ahead of the IIP Gold assessment.</w:t>
      </w:r>
    </w:p>
    <w:p>
      <w:pPr>
        <w:pStyle w:val="Heading2"/>
        <w:spacing w:before="160" w:after="80"/>
      </w:pPr>
      <w:r>
        <w:rPr>
          <w:b/>
          <w:bCs/>
          <w:color w:val="2c2c6e"/>
          <w:sz w:val="24"/>
          <w:szCs w:val="24"/>
        </w:rPr>
        <w:t xml:space="preserve">Escalation Path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Programme Manager: Leonard Hughes (HR BP), responsible for day-to-day coordination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Executive Sponsor: Sandra Okafor (CPO), accountable for budget and Board reporting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External Partner: Dr. Yasmin Osei-Bonsu (Elevate Learning Consultants), responsible for programme design and delivery quality</w:t>
      </w:r>
    </w:p>
    <w:p>
      <w:pPr>
        <w:spacing w:after="120"/>
      </w:pPr>
      <w:r>
        <w:t xml:space="preserve"/>
      </w:r>
    </w:p>
    <w:p>
      <w:pPr>
        <w:pStyle w:val="Heading1"/>
        <w:spacing w:before="240" w:after="120"/>
      </w:pPr>
      <w:r>
        <w:rPr>
          <w:b/>
          <w:bCs/>
          <w:color w:val="1a1a2e"/>
          <w:sz w:val="30"/>
          <w:szCs w:val="30"/>
        </w:rPr>
        <w:t xml:space="preserve">8.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872"/>
        <w:gridCol w:w="163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Sandra Okafor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 People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 Okafor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14/02/2025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Marcus Delgado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 Technology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M. Delgado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14/02/2025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Priya Kandiah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Chief Executive Officer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P. Kandiah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17/02/2025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c2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2026-02-25T11:55:48.163Z</dcterms:created>
  <dcterms:modified xsi:type="dcterms:W3CDTF">2026-02-25T11:55:48.165Z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