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Pinnacle Financial Services</w:t>
      </w:r>
    </w:p>
    <w:p>
      <w:r>
        <w:rPr>
          <w:b/>
        </w:rPr>
        <w:t xml:space="preserve">Company: </w:t>
      </w:r>
      <w:r>
        <w:t>Pinnacle Financial Services</w:t>
        <w:br/>
      </w:r>
      <w:r>
        <w:rPr>
          <w:b/>
        </w:rPr>
        <w:t xml:space="preserve">Industry: </w:t>
      </w:r>
      <w:r>
        <w:t>Wealth Management, Private Banking, Investment Advisory</w:t>
        <w:br/>
      </w:r>
      <w:r>
        <w:rPr>
          <w:b/>
        </w:rPr>
        <w:t xml:space="preserve">Headquarters: </w:t>
      </w:r>
      <w:r>
        <w:t>New York City, USA</w:t>
        <w:br/>
      </w:r>
      <w:r>
        <w:rPr>
          <w:b/>
        </w:rPr>
        <w:t xml:space="preserve">Employees: </w:t>
      </w:r>
      <w:r>
        <w:t>4,200</w:t>
        <w:br/>
      </w:r>
      <w:r>
        <w:rPr>
          <w:b/>
        </w:rPr>
        <w:t xml:space="preserve">AUM: </w:t>
      </w:r>
      <w:r>
        <w:t>$420 billion</w:t>
        <w:br/>
      </w:r>
      <w:r>
        <w:rPr>
          <w:b/>
        </w:rPr>
        <w:t xml:space="preserve">Founded: </w:t>
      </w:r>
      <w:r>
        <w:t>1952</w:t>
        <w:br/>
      </w:r>
    </w:p>
    <w:p>
      <w:pPr>
        <w:pStyle w:val="Heading2"/>
      </w:pPr>
      <w:r>
        <w:t>Business Overview</w:t>
      </w:r>
    </w:p>
    <w:p>
      <w:r>
        <w:t>Pinnacle is prestigious wealth management firm serving ultra-high-net-worth individuals, family offices, and institutions. Known for white-glove service, sophisticated investment strategies, multi-generational wealth planning. Client minimum: $10M investable assets. Average client: $85M AUM.</w:t>
      </w:r>
    </w:p>
    <w:p>
      <w:pPr>
        <w:pStyle w:val="Heading2"/>
      </w:pPr>
      <w:r>
        <w:t>Organizational Structure</w:t>
      </w:r>
    </w:p>
    <w:p>
      <w:pPr>
        <w:pStyle w:val="ListBullet"/>
      </w:pPr>
      <w:r>
        <w:t>Wealth Advisors &amp; Private Bankers - 850</w:t>
      </w:r>
    </w:p>
    <w:p>
      <w:pPr>
        <w:pStyle w:val="ListBullet"/>
      </w:pPr>
      <w:r>
        <w:t>Investment Management &amp; Research - 620</w:t>
      </w:r>
    </w:p>
    <w:p>
      <w:pPr>
        <w:pStyle w:val="ListBullet"/>
      </w:pPr>
      <w:r>
        <w:t>Client Service &amp; Operations - 980</w:t>
      </w:r>
    </w:p>
    <w:p>
      <w:pPr>
        <w:pStyle w:val="ListBullet"/>
      </w:pPr>
      <w:r>
        <w:t>Technology &amp; Digital - 450</w:t>
      </w:r>
    </w:p>
    <w:p>
      <w:pPr>
        <w:pStyle w:val="ListBullet"/>
      </w:pPr>
      <w:r>
        <w:t>Risk &amp; Compliance - 380</w:t>
      </w:r>
    </w:p>
    <w:p>
      <w:pPr>
        <w:pStyle w:val="ListBullet"/>
      </w:pPr>
      <w:r>
        <w:t>Corporate Functions - 420</w:t>
      </w:r>
    </w:p>
    <w:p>
      <w:pPr>
        <w:pStyle w:val="ListBullet"/>
      </w:pPr>
      <w:r>
        <w:t>Business Development - 500</w:t>
      </w:r>
    </w:p>
    <w:p>
      <w:pPr>
        <w:pStyle w:val="Heading2"/>
      </w:pPr>
      <w:r>
        <w:t>Training Imperatives</w:t>
      </w:r>
    </w:p>
    <w:p>
      <w:r>
        <w:t>Pinnacle faces generational wealth transfer ($30T moving from Boomers to Millennials/Gen Z), fintech disruption threatening traditional model, regulatory complexity increasing, DEI pressure in historically homogeneous industry, and need to modernize while preserving relationship-based approach that built firm.</w:t>
      </w:r>
    </w:p>
    <w:p>
      <w:pPr>
        <w:pStyle w:val="Heading2"/>
      </w:pPr>
      <w:r>
        <w:t>Priority Training Needs</w:t>
      </w:r>
    </w:p>
    <w:p>
      <w:r>
        <w:rPr>
          <w:b/>
        </w:rPr>
        <w:t xml:space="preserve">1. </w:t>
      </w:r>
      <w:r>
        <w:t>NEXT-GEN CLIENT ENGAGEMENT: Millennial/Gen Z heirs want digital-first, values-aligned, transparent experiences. Traditional advisors (avg age 54) struggle to connect. Risk losing $200B AUM as wealth transfers.</w:t>
      </w:r>
    </w:p>
    <w:p>
      <w:r>
        <w:rPr>
          <w:b/>
        </w:rPr>
        <w:t xml:space="preserve">2. </w:t>
      </w:r>
      <w:r>
        <w:t>TECHNICAL EXPERTISE GAPS: Complex products (alternatives, crypto, ESG, tax strategies) require deep expertise. Many advisors generalists without specialized knowledge. Competitors attracting clients with technical sophistication.</w:t>
      </w:r>
    </w:p>
    <w:p>
      <w:r>
        <w:rPr>
          <w:b/>
        </w:rPr>
        <w:t xml:space="preserve">3. </w:t>
      </w:r>
      <w:r>
        <w:t>DIGITAL TRANSFORMATION: Robo-advisors, mobile apps, AI-powered insights expected. Firm invested $180M in technology but adoption is slow. Advisors prefer face-to-face, resist digital tools. Need cultural and skills shift.</w:t>
      </w:r>
    </w:p>
    <w:p>
      <w:r>
        <w:rPr>
          <w:b/>
        </w:rPr>
        <w:t xml:space="preserve">4. </w:t>
      </w:r>
      <w:r>
        <w:t>COMPLIANCE &amp; ETHICS: Regulatory environment increasingly complex (SEC, FINRA, state). Average 18 hours/year required training but treated as checkbox. Need genuine ethical culture beyond rule-following.</w:t>
      </w:r>
    </w:p>
    <w:p>
      <w:r>
        <w:rPr>
          <w:b/>
        </w:rPr>
        <w:t xml:space="preserve">5. </w:t>
      </w:r>
      <w:r>
        <w:t>INCLUSIVE LEADERSHIP &amp; DEI: Firm is 78% white, 71% male. Clients increasingly diverse. Studies show diverse teams perform better. Need to build inclusive culture and diverse talent pipeline.</w:t>
      </w:r>
    </w:p>
    <w:p>
      <w:r>
        <w:rPr>
          <w:b/>
        </w:rPr>
        <w:t xml:space="preserve">6. </w:t>
      </w:r>
      <w:r>
        <w:t>BUSINESS DEVELOPMENT: Organic growth slowing. Need sophisticated BD capabilities. Current approach: relationship-based referrals (informal). Need strategic approach to client acquisition, COI partnerships, digital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