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06"/>
      </w:tblGrid>
      <w:tr w:rsidR="00214A41" w:rsidRPr="000B325E" w14:paraId="2189A2C0" w14:textId="77777777">
        <w:tblPrEx>
          <w:tblCellMar>
            <w:top w:w="0" w:type="dxa"/>
            <w:bottom w:w="0" w:type="dxa"/>
          </w:tblCellMar>
        </w:tblPrEx>
        <w:trPr>
          <w:trHeight w:val="16838"/>
        </w:trPr>
        <w:tc>
          <w:tcPr>
            <w:tcW w:w="11906" w:type="dxa"/>
            <w:shd w:val="clear" w:color="auto" w:fill="0E2240"/>
            <w:tcMar>
              <w:top w:w="200" w:type="dxa"/>
              <w:left w:w="900" w:type="dxa"/>
              <w:bottom w:w="200" w:type="dxa"/>
              <w:right w:w="900" w:type="dxa"/>
            </w:tcMar>
          </w:tcPr>
          <w:p w14:paraId="74A1088A" w14:textId="77777777" w:rsidR="00214A41" w:rsidRPr="000B325E" w:rsidRDefault="00214A41">
            <w:pPr>
              <w:spacing w:before="1600"/>
              <w:rPr>
                <w:rFonts w:ascii="Arial" w:hAnsi="Arial" w:cs="Arial"/>
              </w:rPr>
            </w:pPr>
          </w:p>
          <w:p w14:paraId="60D184BA" w14:textId="7B85F05B" w:rsidR="00214A41" w:rsidRPr="000B325E" w:rsidRDefault="00000000">
            <w:pPr>
              <w:jc w:val="center"/>
              <w:rPr>
                <w:rFonts w:ascii="Arial" w:hAnsi="Arial" w:cs="Arial"/>
              </w:rPr>
            </w:pPr>
            <w:r w:rsidRPr="000B325E">
              <w:rPr>
                <w:rFonts w:ascii="Arial" w:hAnsi="Arial" w:cs="Arial"/>
                <w:b/>
                <w:bCs/>
                <w:color w:val="A98B4D"/>
              </w:rPr>
              <w:t xml:space="preserve">NOTA DE INVERSIÓN </w:t>
            </w:r>
          </w:p>
          <w:p w14:paraId="60DDB14E" w14:textId="77777777" w:rsidR="00214A41" w:rsidRPr="000B325E" w:rsidRDefault="00000000">
            <w:pPr>
              <w:spacing w:before="200"/>
              <w:jc w:val="center"/>
              <w:rPr>
                <w:rFonts w:ascii="Arial" w:hAnsi="Arial" w:cs="Arial"/>
              </w:rPr>
            </w:pPr>
            <w:r w:rsidRPr="000B325E">
              <w:rPr>
                <w:rFonts w:ascii="Arial" w:hAnsi="Arial" w:cs="Arial"/>
                <w:b/>
                <w:bCs/>
                <w:color w:val="FFFFFF"/>
                <w:sz w:val="56"/>
                <w:szCs w:val="56"/>
              </w:rPr>
              <w:t>Colonial SFL, SOCIMI, S.A.</w:t>
            </w:r>
          </w:p>
          <w:p w14:paraId="33E7E018" w14:textId="77777777" w:rsidR="00214A41" w:rsidRPr="000B325E" w:rsidRDefault="00000000">
            <w:pPr>
              <w:spacing w:before="100" w:after="400"/>
              <w:jc w:val="center"/>
              <w:rPr>
                <w:rFonts w:ascii="Arial" w:hAnsi="Arial" w:cs="Arial"/>
              </w:rPr>
            </w:pPr>
            <w:r w:rsidRPr="000B325E">
              <w:rPr>
                <w:rFonts w:ascii="Arial" w:hAnsi="Arial" w:cs="Arial"/>
                <w:color w:val="D9D9D9"/>
                <w:sz w:val="22"/>
                <w:szCs w:val="22"/>
              </w:rPr>
              <w:t>BME: COL   ·   ISIN ES0139140174   ·   REIT Oficinas Prime Europa</w:t>
            </w:r>
          </w:p>
          <w:p w14:paraId="618CBBA1" w14:textId="2816FA1E" w:rsidR="00214A41" w:rsidRPr="000B325E" w:rsidRDefault="00000000">
            <w:pPr>
              <w:spacing w:after="100"/>
              <w:jc w:val="center"/>
              <w:rPr>
                <w:rFonts w:ascii="Arial" w:hAnsi="Arial" w:cs="Arial"/>
              </w:rPr>
            </w:pPr>
            <w:r w:rsidRPr="000B325E">
              <w:rPr>
                <w:rFonts w:ascii="Arial" w:hAnsi="Arial" w:cs="Arial"/>
                <w:i/>
                <w:iCs/>
                <w:color w:val="D9D9D9"/>
                <w:sz w:val="24"/>
                <w:szCs w:val="24"/>
              </w:rPr>
              <w:t>Descuento vs</w:t>
            </w:r>
            <w:r w:rsidR="000B325E">
              <w:rPr>
                <w:rFonts w:ascii="Arial" w:hAnsi="Arial" w:cs="Arial"/>
                <w:i/>
                <w:iCs/>
                <w:color w:val="D9D9D9"/>
                <w:sz w:val="24"/>
                <w:szCs w:val="24"/>
              </w:rPr>
              <w:t xml:space="preserve"> a</w:t>
            </w:r>
            <w:r w:rsidR="000B325E" w:rsidRPr="000B325E">
              <w:rPr>
                <w:rFonts w:ascii="Arial" w:hAnsi="Arial" w:cs="Arial"/>
                <w:i/>
                <w:iCs/>
                <w:color w:val="D9D9D9"/>
                <w:sz w:val="24"/>
                <w:szCs w:val="24"/>
              </w:rPr>
              <w:t>ctivos</w:t>
            </w:r>
            <w:r w:rsidRPr="000B325E">
              <w:rPr>
                <w:rFonts w:ascii="Arial" w:hAnsi="Arial" w:cs="Arial"/>
                <w:i/>
                <w:iCs/>
                <w:color w:val="D9D9D9"/>
                <w:sz w:val="24"/>
                <w:szCs w:val="24"/>
              </w:rPr>
              <w:t xml:space="preserve"> </w:t>
            </w:r>
            <w:r w:rsidR="000B325E">
              <w:rPr>
                <w:rFonts w:ascii="Arial" w:hAnsi="Arial" w:cs="Arial"/>
                <w:i/>
                <w:iCs/>
                <w:color w:val="D9D9D9"/>
                <w:sz w:val="24"/>
                <w:szCs w:val="24"/>
              </w:rPr>
              <w:t>r</w:t>
            </w:r>
            <w:r w:rsidRPr="000B325E">
              <w:rPr>
                <w:rFonts w:ascii="Arial" w:hAnsi="Arial" w:cs="Arial"/>
                <w:i/>
                <w:iCs/>
                <w:color w:val="D9D9D9"/>
                <w:sz w:val="24"/>
                <w:szCs w:val="24"/>
              </w:rPr>
              <w:t xml:space="preserve">eales: ¿Ineficiencia de </w:t>
            </w:r>
            <w:r w:rsidR="000B325E">
              <w:rPr>
                <w:rFonts w:ascii="Arial" w:hAnsi="Arial" w:cs="Arial"/>
                <w:i/>
                <w:iCs/>
                <w:color w:val="D9D9D9"/>
                <w:sz w:val="24"/>
                <w:szCs w:val="24"/>
              </w:rPr>
              <w:t>m</w:t>
            </w:r>
            <w:r w:rsidRPr="000B325E">
              <w:rPr>
                <w:rFonts w:ascii="Arial" w:hAnsi="Arial" w:cs="Arial"/>
                <w:i/>
                <w:iCs/>
                <w:color w:val="D9D9D9"/>
                <w:sz w:val="24"/>
                <w:szCs w:val="24"/>
              </w:rPr>
              <w:t xml:space="preserve">ercado o </w:t>
            </w:r>
            <w:proofErr w:type="spellStart"/>
            <w:r w:rsidRPr="000B325E">
              <w:rPr>
                <w:rFonts w:ascii="Arial" w:hAnsi="Arial" w:cs="Arial"/>
                <w:i/>
                <w:iCs/>
                <w:color w:val="D9D9D9"/>
                <w:sz w:val="24"/>
                <w:szCs w:val="24"/>
              </w:rPr>
              <w:t>Value</w:t>
            </w:r>
            <w:proofErr w:type="spellEnd"/>
            <w:r w:rsidRPr="000B325E">
              <w:rPr>
                <w:rFonts w:ascii="Arial" w:hAnsi="Arial" w:cs="Arial"/>
                <w:i/>
                <w:iCs/>
                <w:color w:val="D9D9D9"/>
                <w:sz w:val="24"/>
                <w:szCs w:val="24"/>
              </w:rPr>
              <w:t xml:space="preserve"> </w:t>
            </w:r>
            <w:proofErr w:type="spellStart"/>
            <w:r w:rsidRPr="000B325E">
              <w:rPr>
                <w:rFonts w:ascii="Arial" w:hAnsi="Arial" w:cs="Arial"/>
                <w:i/>
                <w:iCs/>
                <w:color w:val="D9D9D9"/>
                <w:sz w:val="24"/>
                <w:szCs w:val="24"/>
              </w:rPr>
              <w:t>Trap</w:t>
            </w:r>
            <w:proofErr w:type="spellEnd"/>
            <w:r w:rsidRPr="000B325E">
              <w:rPr>
                <w:rFonts w:ascii="Arial" w:hAnsi="Arial" w:cs="Arial"/>
                <w:i/>
                <w:iCs/>
                <w:color w:val="D9D9D9"/>
                <w:sz w:val="24"/>
                <w:szCs w:val="24"/>
              </w:rPr>
              <w:t>?</w:t>
            </w:r>
          </w:p>
          <w:p w14:paraId="6F06F131" w14:textId="77777777" w:rsidR="00214A41" w:rsidRPr="000B325E" w:rsidRDefault="00214A41">
            <w:pPr>
              <w:spacing w:before="700"/>
              <w:rPr>
                <w:rFonts w:ascii="Arial" w:hAnsi="Arial" w:cs="Arial"/>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214A41" w:rsidRPr="000B325E" w14:paraId="5169BCCB" w14:textId="77777777">
              <w:tblPrEx>
                <w:tblCellMar>
                  <w:top w:w="0" w:type="dxa"/>
                  <w:bottom w:w="0" w:type="dxa"/>
                </w:tblCellMar>
              </w:tblPrEx>
              <w:tc>
                <w:tcPr>
                  <w:tcW w:w="3116" w:type="dxa"/>
                  <w:shd w:val="clear" w:color="auto" w:fill="16305C"/>
                  <w:tcMar>
                    <w:top w:w="200" w:type="dxa"/>
                    <w:left w:w="160" w:type="dxa"/>
                    <w:bottom w:w="200" w:type="dxa"/>
                    <w:right w:w="160" w:type="dxa"/>
                  </w:tcMar>
                </w:tcPr>
                <w:p w14:paraId="785FDF9B" w14:textId="77777777" w:rsidR="00214A41" w:rsidRPr="000B325E" w:rsidRDefault="00000000">
                  <w:pPr>
                    <w:jc w:val="center"/>
                    <w:rPr>
                      <w:rFonts w:ascii="Arial" w:hAnsi="Arial" w:cs="Arial"/>
                    </w:rPr>
                  </w:pPr>
                  <w:r w:rsidRPr="000B325E">
                    <w:rPr>
                      <w:rFonts w:ascii="Arial" w:hAnsi="Arial" w:cs="Arial"/>
                      <w:color w:val="9FB3D9"/>
                      <w:sz w:val="16"/>
                      <w:szCs w:val="16"/>
                    </w:rPr>
                    <w:t>PRECIO ACTUAL</w:t>
                  </w:r>
                </w:p>
                <w:p w14:paraId="1112326D" w14:textId="77777777" w:rsidR="00214A41" w:rsidRPr="000B325E" w:rsidRDefault="00000000">
                  <w:pPr>
                    <w:spacing w:before="60"/>
                    <w:jc w:val="center"/>
                    <w:rPr>
                      <w:rFonts w:ascii="Arial" w:hAnsi="Arial" w:cs="Arial"/>
                    </w:rPr>
                  </w:pPr>
                  <w:r w:rsidRPr="000B325E">
                    <w:rPr>
                      <w:rFonts w:ascii="Arial" w:hAnsi="Arial" w:cs="Arial"/>
                      <w:b/>
                      <w:bCs/>
                      <w:color w:val="FFFFFF"/>
                      <w:sz w:val="30"/>
                      <w:szCs w:val="30"/>
                    </w:rPr>
                    <w:t>5,30 €</w:t>
                  </w:r>
                </w:p>
              </w:tc>
              <w:tc>
                <w:tcPr>
                  <w:tcW w:w="3117" w:type="dxa"/>
                  <w:shd w:val="clear" w:color="auto" w:fill="16305C"/>
                  <w:tcMar>
                    <w:top w:w="200" w:type="dxa"/>
                    <w:left w:w="160" w:type="dxa"/>
                    <w:bottom w:w="200" w:type="dxa"/>
                    <w:right w:w="160" w:type="dxa"/>
                  </w:tcMar>
                </w:tcPr>
                <w:p w14:paraId="02252F7B" w14:textId="77777777" w:rsidR="00214A41" w:rsidRPr="000B325E" w:rsidRDefault="00000000">
                  <w:pPr>
                    <w:jc w:val="center"/>
                    <w:rPr>
                      <w:rFonts w:ascii="Arial" w:hAnsi="Arial" w:cs="Arial"/>
                    </w:rPr>
                  </w:pPr>
                  <w:r w:rsidRPr="000B325E">
                    <w:rPr>
                      <w:rFonts w:ascii="Arial" w:hAnsi="Arial" w:cs="Arial"/>
                      <w:color w:val="9FB3D9"/>
                      <w:sz w:val="16"/>
                      <w:szCs w:val="16"/>
                    </w:rPr>
                    <w:t>EPRA NTA / ACC.</w:t>
                  </w:r>
                </w:p>
                <w:p w14:paraId="679B37C8" w14:textId="77777777" w:rsidR="00214A41" w:rsidRPr="000B325E" w:rsidRDefault="00000000">
                  <w:pPr>
                    <w:spacing w:before="60"/>
                    <w:jc w:val="center"/>
                    <w:rPr>
                      <w:rFonts w:ascii="Arial" w:hAnsi="Arial" w:cs="Arial"/>
                    </w:rPr>
                  </w:pPr>
                  <w:r w:rsidRPr="000B325E">
                    <w:rPr>
                      <w:rFonts w:ascii="Arial" w:hAnsi="Arial" w:cs="Arial"/>
                      <w:b/>
                      <w:bCs/>
                      <w:color w:val="FFFFFF"/>
                      <w:sz w:val="30"/>
                      <w:szCs w:val="30"/>
                    </w:rPr>
                    <w:t>9,70 €</w:t>
                  </w:r>
                </w:p>
              </w:tc>
              <w:tc>
                <w:tcPr>
                  <w:tcW w:w="3117" w:type="dxa"/>
                  <w:shd w:val="clear" w:color="auto" w:fill="16305C"/>
                  <w:tcMar>
                    <w:top w:w="200" w:type="dxa"/>
                    <w:left w:w="160" w:type="dxa"/>
                    <w:bottom w:w="200" w:type="dxa"/>
                    <w:right w:w="160" w:type="dxa"/>
                  </w:tcMar>
                </w:tcPr>
                <w:p w14:paraId="48B7D30B" w14:textId="77777777" w:rsidR="00214A41" w:rsidRPr="000B325E" w:rsidRDefault="00000000">
                  <w:pPr>
                    <w:jc w:val="center"/>
                    <w:rPr>
                      <w:rFonts w:ascii="Arial" w:hAnsi="Arial" w:cs="Arial"/>
                    </w:rPr>
                  </w:pPr>
                  <w:r w:rsidRPr="000B325E">
                    <w:rPr>
                      <w:rFonts w:ascii="Arial" w:hAnsi="Arial" w:cs="Arial"/>
                      <w:color w:val="9FB3D9"/>
                      <w:sz w:val="16"/>
                      <w:szCs w:val="16"/>
                    </w:rPr>
                    <w:t>DESCUENTO S/NAV</w:t>
                  </w:r>
                </w:p>
                <w:p w14:paraId="4F28203E" w14:textId="77777777" w:rsidR="00214A41" w:rsidRPr="000B325E" w:rsidRDefault="00000000">
                  <w:pPr>
                    <w:spacing w:before="60"/>
                    <w:jc w:val="center"/>
                    <w:rPr>
                      <w:rFonts w:ascii="Arial" w:hAnsi="Arial" w:cs="Arial"/>
                    </w:rPr>
                  </w:pPr>
                  <w:r w:rsidRPr="000B325E">
                    <w:rPr>
                      <w:rFonts w:ascii="Arial" w:hAnsi="Arial" w:cs="Arial"/>
                      <w:b/>
                      <w:bCs/>
                      <w:color w:val="F2B84B"/>
                      <w:sz w:val="30"/>
                      <w:szCs w:val="30"/>
                    </w:rPr>
                    <w:t>≈ -45 %</w:t>
                  </w:r>
                </w:p>
              </w:tc>
            </w:tr>
          </w:tbl>
          <w:p w14:paraId="607CA284" w14:textId="77777777" w:rsidR="00214A41" w:rsidRPr="000B325E" w:rsidRDefault="00214A41">
            <w:pPr>
              <w:spacing w:before="900"/>
              <w:rPr>
                <w:rFonts w:ascii="Arial" w:hAnsi="Arial" w:cs="Arial"/>
              </w:rPr>
            </w:pPr>
          </w:p>
          <w:p w14:paraId="28739BF0" w14:textId="77777777" w:rsidR="00214A41" w:rsidRPr="000B325E" w:rsidRDefault="00000000">
            <w:pPr>
              <w:pBdr>
                <w:top w:val="single" w:sz="4" w:space="8" w:color="2E7D32"/>
                <w:left w:val="single" w:sz="4" w:space="8" w:color="2E7D32"/>
                <w:bottom w:val="single" w:sz="4" w:space="8" w:color="2E7D32"/>
                <w:right w:val="single" w:sz="4" w:space="8" w:color="2E7D32"/>
              </w:pBdr>
              <w:shd w:val="clear" w:color="auto" w:fill="2E7D32"/>
              <w:spacing w:before="150" w:after="150"/>
              <w:jc w:val="center"/>
              <w:rPr>
                <w:rFonts w:ascii="Arial" w:hAnsi="Arial" w:cs="Arial"/>
              </w:rPr>
            </w:pPr>
            <w:r w:rsidRPr="000B325E">
              <w:rPr>
                <w:rFonts w:ascii="Arial" w:hAnsi="Arial" w:cs="Arial"/>
                <w:b/>
                <w:bCs/>
                <w:color w:val="FFFFFF"/>
                <w:sz w:val="24"/>
                <w:szCs w:val="24"/>
              </w:rPr>
              <w:t>RECOMENDACIÓN: SOBREPONDERAR (con vigilancia activa del coste de refinanciación)</w:t>
            </w:r>
          </w:p>
          <w:p w14:paraId="763214EF" w14:textId="77777777" w:rsidR="00214A41" w:rsidRPr="000B325E" w:rsidRDefault="00214A41">
            <w:pPr>
              <w:spacing w:before="700"/>
              <w:rPr>
                <w:rFonts w:ascii="Arial" w:hAnsi="Arial" w:cs="Arial"/>
              </w:rPr>
            </w:pPr>
          </w:p>
          <w:p w14:paraId="7A5A115A" w14:textId="77777777" w:rsidR="00214A41" w:rsidRPr="000B325E" w:rsidRDefault="00000000">
            <w:pPr>
              <w:jc w:val="center"/>
              <w:rPr>
                <w:rFonts w:ascii="Arial" w:hAnsi="Arial" w:cs="Arial"/>
              </w:rPr>
            </w:pPr>
            <w:r w:rsidRPr="000B325E">
              <w:rPr>
                <w:rFonts w:ascii="Arial" w:hAnsi="Arial" w:cs="Arial"/>
                <w:color w:val="C9D3E3"/>
                <w:sz w:val="18"/>
                <w:szCs w:val="18"/>
              </w:rPr>
              <w:t xml:space="preserve">Elaborado por: Jaime Danus — Análisis Fundamental </w:t>
            </w:r>
            <w:proofErr w:type="spellStart"/>
            <w:r w:rsidRPr="000B325E">
              <w:rPr>
                <w:rFonts w:ascii="Arial" w:hAnsi="Arial" w:cs="Arial"/>
                <w:color w:val="C9D3E3"/>
                <w:sz w:val="18"/>
                <w:szCs w:val="18"/>
              </w:rPr>
              <w:t>Value</w:t>
            </w:r>
            <w:proofErr w:type="spellEnd"/>
            <w:r w:rsidRPr="000B325E">
              <w:rPr>
                <w:rFonts w:ascii="Arial" w:hAnsi="Arial" w:cs="Arial"/>
                <w:color w:val="C9D3E3"/>
                <w:sz w:val="18"/>
                <w:szCs w:val="18"/>
              </w:rPr>
              <w:t xml:space="preserve"> / Deep </w:t>
            </w:r>
            <w:proofErr w:type="spellStart"/>
            <w:r w:rsidRPr="000B325E">
              <w:rPr>
                <w:rFonts w:ascii="Arial" w:hAnsi="Arial" w:cs="Arial"/>
                <w:color w:val="C9D3E3"/>
                <w:sz w:val="18"/>
                <w:szCs w:val="18"/>
              </w:rPr>
              <w:t>Value</w:t>
            </w:r>
            <w:proofErr w:type="spellEnd"/>
            <w:r w:rsidRPr="000B325E">
              <w:rPr>
                <w:rFonts w:ascii="Arial" w:hAnsi="Arial" w:cs="Arial"/>
                <w:color w:val="C9D3E3"/>
                <w:sz w:val="18"/>
                <w:szCs w:val="18"/>
              </w:rPr>
              <w:t xml:space="preserve"> </w:t>
            </w:r>
            <w:proofErr w:type="spellStart"/>
            <w:r w:rsidRPr="000B325E">
              <w:rPr>
                <w:rFonts w:ascii="Arial" w:hAnsi="Arial" w:cs="Arial"/>
                <w:color w:val="C9D3E3"/>
                <w:sz w:val="18"/>
                <w:szCs w:val="18"/>
              </w:rPr>
              <w:t>SOCIMIs</w:t>
            </w:r>
            <w:proofErr w:type="spellEnd"/>
          </w:p>
          <w:p w14:paraId="6C58A58D" w14:textId="77777777" w:rsidR="00214A41" w:rsidRPr="000B325E" w:rsidRDefault="00000000">
            <w:pPr>
              <w:spacing w:before="60"/>
              <w:jc w:val="center"/>
              <w:rPr>
                <w:rFonts w:ascii="Arial" w:hAnsi="Arial" w:cs="Arial"/>
              </w:rPr>
            </w:pPr>
            <w:r w:rsidRPr="000B325E">
              <w:rPr>
                <w:rFonts w:ascii="Arial" w:hAnsi="Arial" w:cs="Arial"/>
                <w:color w:val="C9D3E3"/>
                <w:sz w:val="18"/>
                <w:szCs w:val="18"/>
              </w:rPr>
              <w:t>4 de septiembre de 2026</w:t>
            </w:r>
          </w:p>
          <w:p w14:paraId="1FD3F5CE" w14:textId="77777777" w:rsidR="00214A41" w:rsidRPr="000B325E" w:rsidRDefault="00000000">
            <w:pPr>
              <w:spacing w:before="60"/>
              <w:jc w:val="center"/>
              <w:rPr>
                <w:rFonts w:ascii="Arial" w:hAnsi="Arial" w:cs="Arial"/>
              </w:rPr>
            </w:pPr>
            <w:r w:rsidRPr="000B325E">
              <w:rPr>
                <w:rFonts w:ascii="Arial" w:hAnsi="Arial" w:cs="Arial"/>
                <w:i/>
                <w:iCs/>
                <w:color w:val="8FA0BE"/>
                <w:sz w:val="14"/>
                <w:szCs w:val="14"/>
              </w:rPr>
              <w:t>Uso interno · No constituye asesoramiento de inversión regulado</w:t>
            </w:r>
          </w:p>
        </w:tc>
      </w:tr>
    </w:tbl>
    <w:p w14:paraId="38355B18" w14:textId="5A46FD26" w:rsidR="00214A41" w:rsidRPr="000B325E" w:rsidRDefault="00274871">
      <w:pPr>
        <w:rPr>
          <w:rFonts w:ascii="Arial" w:hAnsi="Arial" w:cs="Arial"/>
        </w:rPr>
        <w:sectPr w:rsidR="00214A41" w:rsidRPr="000B325E">
          <w:pgSz w:w="11906" w:h="16838"/>
          <w:pgMar w:top="0" w:right="0" w:bottom="0" w:left="0" w:header="708" w:footer="708" w:gutter="0"/>
          <w:cols w:space="720"/>
          <w:docGrid w:linePitch="360"/>
        </w:sectPr>
      </w:pPr>
      <w:r w:rsidRPr="000B325E">
        <w:rPr>
          <w:rFonts w:ascii="Arial" w:hAnsi="Arial" w:cs="Arial"/>
          <w:noProof/>
        </w:rPr>
        <w:lastRenderedPageBreak/>
        <w:drawing>
          <wp:anchor distT="0" distB="0" distL="114300" distR="114300" simplePos="0" relativeHeight="251658240" behindDoc="0" locked="0" layoutInCell="1" allowOverlap="1" wp14:anchorId="0DEE4492" wp14:editId="4B8CF7BE">
            <wp:simplePos x="0" y="0"/>
            <wp:positionH relativeFrom="column">
              <wp:posOffset>0</wp:posOffset>
            </wp:positionH>
            <wp:positionV relativeFrom="paragraph">
              <wp:posOffset>3501525</wp:posOffset>
            </wp:positionV>
            <wp:extent cx="7560310" cy="3970655"/>
            <wp:effectExtent l="0" t="0" r="0" b="4445"/>
            <wp:wrapSquare wrapText="bothSides"/>
            <wp:docPr id="56356658" name="Imagen 1" descr="Inmobiliaria de referencia en el mercado de oficinas de calidad de la zona  euro | Colon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mobiliaria de referencia en el mercado de oficinas de calidad de la zona  euro | Coloni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60310" cy="39706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B325E">
        <w:rPr>
          <w:rFonts w:ascii="Arial" w:hAnsi="Arial" w:cs="Arial"/>
        </w:rPr>
        <w:fldChar w:fldCharType="begin"/>
      </w:r>
      <w:r w:rsidRPr="000B325E">
        <w:rPr>
          <w:rFonts w:ascii="Arial" w:hAnsi="Arial" w:cs="Arial"/>
        </w:rPr>
        <w:instrText xml:space="preserve"> INCLUDEPICTURE "/Users/jaimedanus/Library/Group Containers/UBF8T346G9.ms/WebArchiveCopyPasteTempFiles/com.microsoft.Word/colonial-og-image.png" \* MERGEFORMATINET </w:instrText>
      </w:r>
      <w:r w:rsidRPr="000B325E">
        <w:rPr>
          <w:rFonts w:ascii="Arial" w:hAnsi="Arial" w:cs="Arial"/>
        </w:rPr>
        <w:fldChar w:fldCharType="separate"/>
      </w:r>
      <w:r w:rsidRPr="000B325E">
        <w:rPr>
          <w:rFonts w:ascii="Arial" w:hAnsi="Arial" w:cs="Arial"/>
        </w:rPr>
        <w:fldChar w:fldCharType="end"/>
      </w:r>
    </w:p>
    <w:p w14:paraId="71F47C29" w14:textId="77777777" w:rsidR="00214A41" w:rsidRPr="000B325E" w:rsidRDefault="00000000">
      <w:pPr>
        <w:pStyle w:val="Ttulo1"/>
        <w:pBdr>
          <w:bottom w:val="single" w:sz="8" w:space="4" w:color="1F3864"/>
        </w:pBdr>
        <w:spacing w:before="400" w:after="200"/>
        <w:rPr>
          <w:rFonts w:ascii="Arial" w:hAnsi="Arial" w:cs="Arial"/>
        </w:rPr>
      </w:pPr>
      <w:r w:rsidRPr="000B325E">
        <w:rPr>
          <w:rFonts w:ascii="Arial" w:hAnsi="Arial" w:cs="Arial"/>
          <w:b/>
          <w:bCs/>
          <w:color w:val="1F3864"/>
          <w:sz w:val="26"/>
          <w:szCs w:val="26"/>
        </w:rPr>
        <w:lastRenderedPageBreak/>
        <w:t>1. TESIS DE INVERSIÓN</w:t>
      </w:r>
    </w:p>
    <w:p w14:paraId="4B4C25EF" w14:textId="77777777" w:rsidR="00214A41" w:rsidRPr="000B325E" w:rsidRDefault="00000000">
      <w:pPr>
        <w:pStyle w:val="Ttulo2"/>
        <w:spacing w:before="300" w:after="120"/>
        <w:rPr>
          <w:rFonts w:ascii="Arial" w:hAnsi="Arial" w:cs="Arial"/>
        </w:rPr>
      </w:pPr>
      <w:r w:rsidRPr="000B325E">
        <w:rPr>
          <w:rFonts w:ascii="Arial" w:hAnsi="Arial" w:cs="Arial"/>
          <w:b/>
          <w:bCs/>
          <w:color w:val="0E2240"/>
          <w:sz w:val="22"/>
          <w:szCs w:val="22"/>
        </w:rPr>
        <w:t>1.1 Resumen ejecutivo</w:t>
      </w:r>
    </w:p>
    <w:p w14:paraId="43581106" w14:textId="77777777" w:rsidR="00214A41" w:rsidRPr="000B325E" w:rsidRDefault="00000000">
      <w:pPr>
        <w:spacing w:after="160" w:line="276" w:lineRule="auto"/>
        <w:jc w:val="both"/>
        <w:rPr>
          <w:rFonts w:ascii="Arial" w:hAnsi="Arial" w:cs="Arial"/>
        </w:rPr>
      </w:pPr>
      <w:r w:rsidRPr="000B325E">
        <w:rPr>
          <w:rFonts w:ascii="Arial" w:hAnsi="Arial" w:cs="Arial"/>
          <w:color w:val="262626"/>
        </w:rPr>
        <w:t xml:space="preserve">Colonial SFL cotiza a ~5,30€/acción frente a un EPRA NTA de 9,70€/acción, un descuento cercano al 45% que se sitúa en la parte alta de su rango histórico. La tesis central es que el mercado está aplicando a Colonial una prima de riesgo propia de "oficinas genéricas" pese a que la compañía opera un </w:t>
      </w:r>
      <w:proofErr w:type="gramStart"/>
      <w:r w:rsidRPr="000B325E">
        <w:rPr>
          <w:rFonts w:ascii="Arial" w:hAnsi="Arial" w:cs="Arial"/>
          <w:color w:val="262626"/>
        </w:rPr>
        <w:t>portfolio</w:t>
      </w:r>
      <w:proofErr w:type="gramEnd"/>
      <w:r w:rsidRPr="000B325E">
        <w:rPr>
          <w:rFonts w:ascii="Arial" w:hAnsi="Arial" w:cs="Arial"/>
          <w:color w:val="262626"/>
        </w:rPr>
        <w:t xml:space="preserve"> 100% prime CBD en tres de los mercados de oficinas más resilientes de Europa (París, Madrid, Barcelona, con expansión reciente a Berlín). Los fundamentales operativos —crecimiento </w:t>
      </w:r>
      <w:proofErr w:type="spellStart"/>
      <w:r w:rsidRPr="000B325E">
        <w:rPr>
          <w:rFonts w:ascii="Arial" w:hAnsi="Arial" w:cs="Arial"/>
          <w:color w:val="262626"/>
        </w:rPr>
        <w:t>like-for-like</w:t>
      </w:r>
      <w:proofErr w:type="spellEnd"/>
      <w:r w:rsidRPr="000B325E">
        <w:rPr>
          <w:rFonts w:ascii="Arial" w:hAnsi="Arial" w:cs="Arial"/>
          <w:color w:val="262626"/>
        </w:rPr>
        <w:t xml:space="preserve"> de rentas, ocupación, </w:t>
      </w:r>
      <w:proofErr w:type="spellStart"/>
      <w:r w:rsidRPr="000B325E">
        <w:rPr>
          <w:rFonts w:ascii="Arial" w:hAnsi="Arial" w:cs="Arial"/>
          <w:color w:val="262626"/>
        </w:rPr>
        <w:t>release</w:t>
      </w:r>
      <w:proofErr w:type="spellEnd"/>
      <w:r w:rsidRPr="000B325E">
        <w:rPr>
          <w:rFonts w:ascii="Arial" w:hAnsi="Arial" w:cs="Arial"/>
          <w:color w:val="262626"/>
        </w:rPr>
        <w:t xml:space="preserve"> spreads y disciplina de capital— están mejorando de forma consistente trimestre a trimestre, mientras que la cotización permanece anclada por el sentimiento generalista hacia el sector oficinas y por la incertidumbre sobre el coste futuro de la deuda. Consideramos que existe una asimetría atractiva entre el riesgo real (compresión de márgenes por refinanciación a tipos más altos) y el descuento actual, que en nuestra opinión sobre-penaliza a la compañía.</w:t>
      </w:r>
    </w:p>
    <w:p w14:paraId="2491ECCC" w14:textId="77777777" w:rsidR="00214A41" w:rsidRPr="000B325E" w:rsidRDefault="00000000">
      <w:pPr>
        <w:pStyle w:val="Ttulo2"/>
        <w:spacing w:before="300" w:after="120"/>
        <w:rPr>
          <w:rFonts w:ascii="Arial" w:hAnsi="Arial" w:cs="Arial"/>
        </w:rPr>
      </w:pPr>
      <w:r w:rsidRPr="000B325E">
        <w:rPr>
          <w:rFonts w:ascii="Arial" w:hAnsi="Arial" w:cs="Arial"/>
          <w:b/>
          <w:bCs/>
          <w:color w:val="0E2240"/>
          <w:sz w:val="22"/>
          <w:szCs w:val="22"/>
        </w:rPr>
        <w:t>1.2 Catalizadores de re-rating</w:t>
      </w:r>
    </w:p>
    <w:p w14:paraId="0D360AE1" w14:textId="77777777" w:rsidR="00214A41" w:rsidRPr="000B325E" w:rsidRDefault="00000000">
      <w:pPr>
        <w:pStyle w:val="Prrafodelista"/>
        <w:numPr>
          <w:ilvl w:val="0"/>
          <w:numId w:val="2"/>
        </w:numPr>
        <w:spacing w:after="90"/>
        <w:rPr>
          <w:rFonts w:ascii="Arial" w:hAnsi="Arial" w:cs="Arial"/>
        </w:rPr>
      </w:pPr>
      <w:r w:rsidRPr="000B325E">
        <w:rPr>
          <w:rFonts w:ascii="Arial" w:hAnsi="Arial" w:cs="Arial"/>
          <w:color w:val="262626"/>
        </w:rPr>
        <w:t>Continuidad del ciclo de bajadas de tipos del BCE, que reduciría el diferencial entre coste medio de deuda (1,99%) y coste marginal de mercado (~3,9%).</w:t>
      </w:r>
    </w:p>
    <w:p w14:paraId="6D4C1920" w14:textId="77777777" w:rsidR="00214A41" w:rsidRPr="000B325E" w:rsidRDefault="00000000">
      <w:pPr>
        <w:pStyle w:val="Prrafodelista"/>
        <w:numPr>
          <w:ilvl w:val="0"/>
          <w:numId w:val="2"/>
        </w:numPr>
        <w:spacing w:after="90"/>
        <w:rPr>
          <w:rFonts w:ascii="Arial" w:hAnsi="Arial" w:cs="Arial"/>
        </w:rPr>
      </w:pPr>
      <w:r w:rsidRPr="000B325E">
        <w:rPr>
          <w:rFonts w:ascii="Arial" w:hAnsi="Arial" w:cs="Arial"/>
          <w:color w:val="262626"/>
        </w:rPr>
        <w:t>Validación del suelo de tasaciones vía desinversiones ejecutadas por encima de valor de tasación (350M€ del plan de 500M€ ya colocados con prima).</w:t>
      </w:r>
    </w:p>
    <w:p w14:paraId="1B6CD418" w14:textId="77777777" w:rsidR="00214A41" w:rsidRPr="000B325E" w:rsidRDefault="00000000">
      <w:pPr>
        <w:pStyle w:val="Prrafodelista"/>
        <w:numPr>
          <w:ilvl w:val="0"/>
          <w:numId w:val="2"/>
        </w:numPr>
        <w:spacing w:after="90"/>
        <w:rPr>
          <w:rFonts w:ascii="Arial" w:hAnsi="Arial" w:cs="Arial"/>
        </w:rPr>
      </w:pPr>
      <w:r w:rsidRPr="000B325E">
        <w:rPr>
          <w:rFonts w:ascii="Arial" w:hAnsi="Arial" w:cs="Arial"/>
          <w:color w:val="262626"/>
        </w:rPr>
        <w:t>Aceleración de la demanda de espacio prime por parte de tecnológicas e IA (30% de los nuevos contratos firmados en 1S26), que sostiene el crecimiento de rentas por encima de indexación.</w:t>
      </w:r>
    </w:p>
    <w:p w14:paraId="39114CC0" w14:textId="77777777" w:rsidR="00214A41" w:rsidRPr="000B325E" w:rsidRDefault="00000000">
      <w:pPr>
        <w:pStyle w:val="Prrafodelista"/>
        <w:numPr>
          <w:ilvl w:val="0"/>
          <w:numId w:val="2"/>
        </w:numPr>
        <w:spacing w:after="90"/>
        <w:rPr>
          <w:rFonts w:ascii="Arial" w:hAnsi="Arial" w:cs="Arial"/>
        </w:rPr>
      </w:pPr>
      <w:r w:rsidRPr="000B325E">
        <w:rPr>
          <w:rFonts w:ascii="Arial" w:hAnsi="Arial" w:cs="Arial"/>
          <w:color w:val="262626"/>
        </w:rPr>
        <w:t>Ejecución del plan estratégico 2026-2028 y expansión selectiva en Berlín, que diversifica geográficamente el riesgo de concentración en oficinas parisinas.</w:t>
      </w:r>
    </w:p>
    <w:p w14:paraId="67BA25C8" w14:textId="77777777" w:rsidR="00214A41" w:rsidRPr="000B325E" w:rsidRDefault="00000000">
      <w:pPr>
        <w:pStyle w:val="Ttulo2"/>
        <w:spacing w:before="300" w:after="120"/>
        <w:rPr>
          <w:rFonts w:ascii="Arial" w:hAnsi="Arial" w:cs="Arial"/>
        </w:rPr>
      </w:pPr>
      <w:r w:rsidRPr="000B325E">
        <w:rPr>
          <w:rFonts w:ascii="Arial" w:hAnsi="Arial" w:cs="Arial"/>
          <w:b/>
          <w:bCs/>
          <w:color w:val="0E2240"/>
          <w:sz w:val="22"/>
          <w:szCs w:val="22"/>
        </w:rPr>
        <w:t>1.3 Por qué el mercado podría tener razón (contra-tesis)</w:t>
      </w:r>
    </w:p>
    <w:p w14:paraId="6B486729" w14:textId="77777777" w:rsidR="00214A41" w:rsidRPr="000B325E" w:rsidRDefault="00000000">
      <w:pPr>
        <w:pStyle w:val="Prrafodelista"/>
        <w:numPr>
          <w:ilvl w:val="0"/>
          <w:numId w:val="2"/>
        </w:numPr>
        <w:spacing w:after="90"/>
        <w:rPr>
          <w:rFonts w:ascii="Arial" w:hAnsi="Arial" w:cs="Arial"/>
        </w:rPr>
      </w:pPr>
      <w:r w:rsidRPr="000B325E">
        <w:rPr>
          <w:rFonts w:ascii="Arial" w:hAnsi="Arial" w:cs="Arial"/>
          <w:color w:val="262626"/>
        </w:rPr>
        <w:t>El coste de la nueva deuda emitida (bono verde a 3,875% en marzo de 2026) casi duplica el coste medio actual, anticipando compresión de FFO/AFFO a medida que venza deuda antigua.</w:t>
      </w:r>
    </w:p>
    <w:p w14:paraId="53AA7340" w14:textId="77777777" w:rsidR="00214A41" w:rsidRPr="000B325E" w:rsidRDefault="00000000">
      <w:pPr>
        <w:pStyle w:val="Prrafodelista"/>
        <w:numPr>
          <w:ilvl w:val="0"/>
          <w:numId w:val="2"/>
        </w:numPr>
        <w:spacing w:after="90"/>
        <w:rPr>
          <w:rFonts w:ascii="Arial" w:hAnsi="Arial" w:cs="Arial"/>
        </w:rPr>
      </w:pPr>
      <w:proofErr w:type="spellStart"/>
      <w:r w:rsidRPr="000B325E">
        <w:rPr>
          <w:rFonts w:ascii="Arial" w:hAnsi="Arial" w:cs="Arial"/>
          <w:color w:val="262626"/>
        </w:rPr>
        <w:t>Jefferies</w:t>
      </w:r>
      <w:proofErr w:type="spellEnd"/>
      <w:r w:rsidRPr="000B325E">
        <w:rPr>
          <w:rFonts w:ascii="Arial" w:hAnsi="Arial" w:cs="Arial"/>
          <w:color w:val="262626"/>
        </w:rPr>
        <w:t xml:space="preserve"> ha expresado dudas explícitas sobre la "limitada generación de caja" de la compañía tras la publicación de resultados recientes, lo que sugiere que parte del mercado profesional no comparte la tesis de re-rating inminente.</w:t>
      </w:r>
    </w:p>
    <w:p w14:paraId="4D14328B" w14:textId="77777777" w:rsidR="00214A41" w:rsidRPr="000B325E" w:rsidRDefault="00000000">
      <w:pPr>
        <w:pStyle w:val="Prrafodelista"/>
        <w:numPr>
          <w:ilvl w:val="0"/>
          <w:numId w:val="2"/>
        </w:numPr>
        <w:spacing w:after="90"/>
        <w:rPr>
          <w:rFonts w:ascii="Arial" w:hAnsi="Arial" w:cs="Arial"/>
        </w:rPr>
      </w:pPr>
      <w:r w:rsidRPr="000B325E">
        <w:rPr>
          <w:rFonts w:ascii="Arial" w:hAnsi="Arial" w:cs="Arial"/>
          <w:color w:val="262626"/>
        </w:rPr>
        <w:t>Persistencia de vacantes en activos recién entregados (</w:t>
      </w:r>
      <w:proofErr w:type="spellStart"/>
      <w:r w:rsidRPr="000B325E">
        <w:rPr>
          <w:rFonts w:ascii="Arial" w:hAnsi="Arial" w:cs="Arial"/>
          <w:color w:val="262626"/>
        </w:rPr>
        <w:t>Madnum</w:t>
      </w:r>
      <w:proofErr w:type="spellEnd"/>
      <w:r w:rsidRPr="000B325E">
        <w:rPr>
          <w:rFonts w:ascii="Arial" w:hAnsi="Arial" w:cs="Arial"/>
          <w:color w:val="262626"/>
        </w:rPr>
        <w:t xml:space="preserve"> en Madrid, Haussmann en París) que podrían tardar más de lo previsto en estabilizar renta.</w:t>
      </w:r>
    </w:p>
    <w:p w14:paraId="1AE3E59A" w14:textId="77777777" w:rsidR="00214A41" w:rsidRPr="000B325E" w:rsidRDefault="00000000">
      <w:pPr>
        <w:pStyle w:val="Ttulo2"/>
        <w:spacing w:before="300" w:after="120"/>
        <w:rPr>
          <w:rFonts w:ascii="Arial" w:hAnsi="Arial" w:cs="Arial"/>
        </w:rPr>
      </w:pPr>
      <w:r w:rsidRPr="000B325E">
        <w:rPr>
          <w:rFonts w:ascii="Arial" w:hAnsi="Arial" w:cs="Arial"/>
          <w:b/>
          <w:bCs/>
          <w:color w:val="0E2240"/>
          <w:sz w:val="22"/>
          <w:szCs w:val="22"/>
        </w:rPr>
        <w:t>1.4 Ficha de recomendación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50"/>
      </w:tblGrid>
      <w:tr w:rsidR="00214A41" w:rsidRPr="000B325E" w14:paraId="7C49192B" w14:textId="77777777">
        <w:tblPrEx>
          <w:tblCellMar>
            <w:top w:w="0" w:type="dxa"/>
            <w:bottom w:w="0" w:type="dxa"/>
          </w:tblCellMar>
        </w:tblPrEx>
        <w:trPr>
          <w:tblHeader/>
        </w:trPr>
        <w:tc>
          <w:tcPr>
            <w:tcW w:w="3400" w:type="dxa"/>
            <w:shd w:val="clear" w:color="auto" w:fill="1F3864"/>
            <w:tcMar>
              <w:top w:w="100" w:type="dxa"/>
              <w:left w:w="120" w:type="dxa"/>
              <w:bottom w:w="100" w:type="dxa"/>
              <w:right w:w="120" w:type="dxa"/>
            </w:tcMar>
            <w:vAlign w:val="center"/>
          </w:tcPr>
          <w:p w14:paraId="33EBF606" w14:textId="77777777" w:rsidR="00214A41" w:rsidRPr="000B325E" w:rsidRDefault="00000000">
            <w:pPr>
              <w:rPr>
                <w:rFonts w:ascii="Arial" w:hAnsi="Arial" w:cs="Arial"/>
              </w:rPr>
            </w:pPr>
            <w:r w:rsidRPr="000B325E">
              <w:rPr>
                <w:rFonts w:ascii="Arial" w:hAnsi="Arial" w:cs="Arial"/>
                <w:b/>
                <w:bCs/>
                <w:color w:val="FFFFFF"/>
                <w:sz w:val="18"/>
                <w:szCs w:val="18"/>
              </w:rPr>
              <w:t>Parámetro</w:t>
            </w:r>
          </w:p>
        </w:tc>
        <w:tc>
          <w:tcPr>
            <w:tcW w:w="5950" w:type="dxa"/>
            <w:shd w:val="clear" w:color="auto" w:fill="1F3864"/>
            <w:tcMar>
              <w:top w:w="100" w:type="dxa"/>
              <w:left w:w="120" w:type="dxa"/>
              <w:bottom w:w="100" w:type="dxa"/>
              <w:right w:w="120" w:type="dxa"/>
            </w:tcMar>
            <w:vAlign w:val="center"/>
          </w:tcPr>
          <w:p w14:paraId="7E4A1D0B" w14:textId="77777777" w:rsidR="00214A41" w:rsidRPr="000B325E" w:rsidRDefault="00000000">
            <w:pPr>
              <w:rPr>
                <w:rFonts w:ascii="Arial" w:hAnsi="Arial" w:cs="Arial"/>
              </w:rPr>
            </w:pPr>
            <w:r w:rsidRPr="000B325E">
              <w:rPr>
                <w:rFonts w:ascii="Arial" w:hAnsi="Arial" w:cs="Arial"/>
                <w:b/>
                <w:bCs/>
                <w:color w:val="FFFFFF"/>
                <w:sz w:val="18"/>
                <w:szCs w:val="18"/>
              </w:rPr>
              <w:t>Valor</w:t>
            </w:r>
          </w:p>
        </w:tc>
      </w:tr>
      <w:tr w:rsidR="00214A41" w:rsidRPr="000B325E" w14:paraId="60292DBE" w14:textId="77777777">
        <w:tblPrEx>
          <w:tblCellMar>
            <w:top w:w="0" w:type="dxa"/>
            <w:bottom w:w="0" w:type="dxa"/>
          </w:tblCellMar>
        </w:tblPrEx>
        <w:tc>
          <w:tcPr>
            <w:tcW w:w="3400" w:type="dxa"/>
            <w:tcMar>
              <w:top w:w="90" w:type="dxa"/>
              <w:left w:w="120" w:type="dxa"/>
              <w:bottom w:w="90" w:type="dxa"/>
              <w:right w:w="120" w:type="dxa"/>
            </w:tcMar>
            <w:vAlign w:val="center"/>
          </w:tcPr>
          <w:p w14:paraId="1B576F4C" w14:textId="77777777" w:rsidR="00214A41" w:rsidRPr="000B325E" w:rsidRDefault="00000000">
            <w:pPr>
              <w:rPr>
                <w:rFonts w:ascii="Arial" w:hAnsi="Arial" w:cs="Arial"/>
              </w:rPr>
            </w:pPr>
            <w:r w:rsidRPr="000B325E">
              <w:rPr>
                <w:rFonts w:ascii="Arial" w:hAnsi="Arial" w:cs="Arial"/>
                <w:color w:val="262626"/>
                <w:sz w:val="18"/>
                <w:szCs w:val="18"/>
              </w:rPr>
              <w:t>Recomendación</w:t>
            </w:r>
          </w:p>
        </w:tc>
        <w:tc>
          <w:tcPr>
            <w:tcW w:w="5950" w:type="dxa"/>
            <w:tcMar>
              <w:top w:w="90" w:type="dxa"/>
              <w:left w:w="120" w:type="dxa"/>
              <w:bottom w:w="90" w:type="dxa"/>
              <w:right w:w="120" w:type="dxa"/>
            </w:tcMar>
            <w:vAlign w:val="center"/>
          </w:tcPr>
          <w:p w14:paraId="04558703" w14:textId="77777777" w:rsidR="00214A41" w:rsidRPr="000B325E" w:rsidRDefault="00000000">
            <w:pPr>
              <w:rPr>
                <w:rFonts w:ascii="Arial" w:hAnsi="Arial" w:cs="Arial"/>
              </w:rPr>
            </w:pPr>
            <w:r w:rsidRPr="000B325E">
              <w:rPr>
                <w:rFonts w:ascii="Arial" w:hAnsi="Arial" w:cs="Arial"/>
                <w:color w:val="262626"/>
                <w:sz w:val="18"/>
                <w:szCs w:val="18"/>
              </w:rPr>
              <w:t>SOBREPONDERAR</w:t>
            </w:r>
          </w:p>
        </w:tc>
      </w:tr>
      <w:tr w:rsidR="00214A41" w:rsidRPr="000B325E" w14:paraId="64038117" w14:textId="77777777">
        <w:tblPrEx>
          <w:tblCellMar>
            <w:top w:w="0" w:type="dxa"/>
            <w:bottom w:w="0" w:type="dxa"/>
          </w:tblCellMar>
        </w:tblPrEx>
        <w:tc>
          <w:tcPr>
            <w:tcW w:w="3400" w:type="dxa"/>
            <w:shd w:val="clear" w:color="auto" w:fill="F2F2F2"/>
            <w:tcMar>
              <w:top w:w="90" w:type="dxa"/>
              <w:left w:w="120" w:type="dxa"/>
              <w:bottom w:w="90" w:type="dxa"/>
              <w:right w:w="120" w:type="dxa"/>
            </w:tcMar>
            <w:vAlign w:val="center"/>
          </w:tcPr>
          <w:p w14:paraId="26CCBFF2" w14:textId="77777777" w:rsidR="00214A41" w:rsidRPr="000B325E" w:rsidRDefault="00000000">
            <w:pPr>
              <w:rPr>
                <w:rFonts w:ascii="Arial" w:hAnsi="Arial" w:cs="Arial"/>
              </w:rPr>
            </w:pPr>
            <w:r w:rsidRPr="000B325E">
              <w:rPr>
                <w:rFonts w:ascii="Arial" w:hAnsi="Arial" w:cs="Arial"/>
                <w:color w:val="262626"/>
                <w:sz w:val="18"/>
                <w:szCs w:val="18"/>
              </w:rPr>
              <w:t>Precio actual</w:t>
            </w:r>
          </w:p>
        </w:tc>
        <w:tc>
          <w:tcPr>
            <w:tcW w:w="5950" w:type="dxa"/>
            <w:shd w:val="clear" w:color="auto" w:fill="F2F2F2"/>
            <w:tcMar>
              <w:top w:w="90" w:type="dxa"/>
              <w:left w:w="120" w:type="dxa"/>
              <w:bottom w:w="90" w:type="dxa"/>
              <w:right w:w="120" w:type="dxa"/>
            </w:tcMar>
            <w:vAlign w:val="center"/>
          </w:tcPr>
          <w:p w14:paraId="17EC6C4D" w14:textId="77777777" w:rsidR="00214A41" w:rsidRPr="000B325E" w:rsidRDefault="00000000">
            <w:pPr>
              <w:rPr>
                <w:rFonts w:ascii="Arial" w:hAnsi="Arial" w:cs="Arial"/>
              </w:rPr>
            </w:pPr>
            <w:r w:rsidRPr="000B325E">
              <w:rPr>
                <w:rFonts w:ascii="Arial" w:hAnsi="Arial" w:cs="Arial"/>
                <w:color w:val="262626"/>
                <w:sz w:val="18"/>
                <w:szCs w:val="18"/>
              </w:rPr>
              <w:t>5,30 € (rango reciente 5,20€ – 5,60€)</w:t>
            </w:r>
          </w:p>
        </w:tc>
      </w:tr>
      <w:tr w:rsidR="00214A41" w:rsidRPr="000B325E" w14:paraId="4F51679A" w14:textId="77777777">
        <w:tblPrEx>
          <w:tblCellMar>
            <w:top w:w="0" w:type="dxa"/>
            <w:bottom w:w="0" w:type="dxa"/>
          </w:tblCellMar>
        </w:tblPrEx>
        <w:tc>
          <w:tcPr>
            <w:tcW w:w="3400" w:type="dxa"/>
            <w:tcMar>
              <w:top w:w="90" w:type="dxa"/>
              <w:left w:w="120" w:type="dxa"/>
              <w:bottom w:w="90" w:type="dxa"/>
              <w:right w:w="120" w:type="dxa"/>
            </w:tcMar>
            <w:vAlign w:val="center"/>
          </w:tcPr>
          <w:p w14:paraId="757C3541" w14:textId="77777777" w:rsidR="00214A41" w:rsidRPr="000B325E" w:rsidRDefault="00000000">
            <w:pPr>
              <w:rPr>
                <w:rFonts w:ascii="Arial" w:hAnsi="Arial" w:cs="Arial"/>
              </w:rPr>
            </w:pPr>
            <w:r w:rsidRPr="000B325E">
              <w:rPr>
                <w:rFonts w:ascii="Arial" w:hAnsi="Arial" w:cs="Arial"/>
                <w:color w:val="262626"/>
                <w:sz w:val="18"/>
                <w:szCs w:val="18"/>
              </w:rPr>
              <w:t>Precio objetivo (rango propio)</w:t>
            </w:r>
          </w:p>
        </w:tc>
        <w:tc>
          <w:tcPr>
            <w:tcW w:w="5950" w:type="dxa"/>
            <w:tcMar>
              <w:top w:w="90" w:type="dxa"/>
              <w:left w:w="120" w:type="dxa"/>
              <w:bottom w:w="90" w:type="dxa"/>
              <w:right w:w="120" w:type="dxa"/>
            </w:tcMar>
            <w:vAlign w:val="center"/>
          </w:tcPr>
          <w:p w14:paraId="39140004" w14:textId="77777777" w:rsidR="00214A41" w:rsidRPr="000B325E" w:rsidRDefault="00000000">
            <w:pPr>
              <w:rPr>
                <w:rFonts w:ascii="Arial" w:hAnsi="Arial" w:cs="Arial"/>
              </w:rPr>
            </w:pPr>
            <w:r w:rsidRPr="000B325E">
              <w:rPr>
                <w:rFonts w:ascii="Arial" w:hAnsi="Arial" w:cs="Arial"/>
                <w:color w:val="262626"/>
                <w:sz w:val="18"/>
                <w:szCs w:val="18"/>
              </w:rPr>
              <w:t>6,80€ – 7,50€ (potencial +28% a +42%)</w:t>
            </w:r>
          </w:p>
        </w:tc>
      </w:tr>
      <w:tr w:rsidR="00214A41" w:rsidRPr="000B325E" w14:paraId="0D273470" w14:textId="77777777">
        <w:tblPrEx>
          <w:tblCellMar>
            <w:top w:w="0" w:type="dxa"/>
            <w:bottom w:w="0" w:type="dxa"/>
          </w:tblCellMar>
        </w:tblPrEx>
        <w:tc>
          <w:tcPr>
            <w:tcW w:w="3400" w:type="dxa"/>
            <w:shd w:val="clear" w:color="auto" w:fill="F2F2F2"/>
            <w:tcMar>
              <w:top w:w="90" w:type="dxa"/>
              <w:left w:w="120" w:type="dxa"/>
              <w:bottom w:w="90" w:type="dxa"/>
              <w:right w:w="120" w:type="dxa"/>
            </w:tcMar>
            <w:vAlign w:val="center"/>
          </w:tcPr>
          <w:p w14:paraId="01006A19" w14:textId="77777777" w:rsidR="00214A41" w:rsidRPr="000B325E" w:rsidRDefault="00000000">
            <w:pPr>
              <w:rPr>
                <w:rFonts w:ascii="Arial" w:hAnsi="Arial" w:cs="Arial"/>
              </w:rPr>
            </w:pPr>
            <w:r w:rsidRPr="000B325E">
              <w:rPr>
                <w:rFonts w:ascii="Arial" w:hAnsi="Arial" w:cs="Arial"/>
                <w:color w:val="262626"/>
                <w:sz w:val="18"/>
                <w:szCs w:val="18"/>
              </w:rPr>
              <w:t>Horizonte</w:t>
            </w:r>
          </w:p>
        </w:tc>
        <w:tc>
          <w:tcPr>
            <w:tcW w:w="5950" w:type="dxa"/>
            <w:shd w:val="clear" w:color="auto" w:fill="F2F2F2"/>
            <w:tcMar>
              <w:top w:w="90" w:type="dxa"/>
              <w:left w:w="120" w:type="dxa"/>
              <w:bottom w:w="90" w:type="dxa"/>
              <w:right w:w="120" w:type="dxa"/>
            </w:tcMar>
            <w:vAlign w:val="center"/>
          </w:tcPr>
          <w:p w14:paraId="07F2EAD2" w14:textId="77777777" w:rsidR="00214A41" w:rsidRPr="000B325E" w:rsidRDefault="00000000">
            <w:pPr>
              <w:rPr>
                <w:rFonts w:ascii="Arial" w:hAnsi="Arial" w:cs="Arial"/>
              </w:rPr>
            </w:pPr>
            <w:r w:rsidRPr="000B325E">
              <w:rPr>
                <w:rFonts w:ascii="Arial" w:hAnsi="Arial" w:cs="Arial"/>
                <w:color w:val="262626"/>
                <w:sz w:val="18"/>
                <w:szCs w:val="18"/>
              </w:rPr>
              <w:t>12-18 meses</w:t>
            </w:r>
          </w:p>
        </w:tc>
      </w:tr>
      <w:tr w:rsidR="00214A41" w:rsidRPr="000B325E" w14:paraId="60FEA0B1" w14:textId="77777777">
        <w:tblPrEx>
          <w:tblCellMar>
            <w:top w:w="0" w:type="dxa"/>
            <w:bottom w:w="0" w:type="dxa"/>
          </w:tblCellMar>
        </w:tblPrEx>
        <w:tc>
          <w:tcPr>
            <w:tcW w:w="3400" w:type="dxa"/>
            <w:tcMar>
              <w:top w:w="90" w:type="dxa"/>
              <w:left w:w="120" w:type="dxa"/>
              <w:bottom w:w="90" w:type="dxa"/>
              <w:right w:w="120" w:type="dxa"/>
            </w:tcMar>
            <w:vAlign w:val="center"/>
          </w:tcPr>
          <w:p w14:paraId="341369DE" w14:textId="77777777" w:rsidR="00214A41" w:rsidRPr="000B325E" w:rsidRDefault="00000000">
            <w:pPr>
              <w:rPr>
                <w:rFonts w:ascii="Arial" w:hAnsi="Arial" w:cs="Arial"/>
              </w:rPr>
            </w:pPr>
            <w:r w:rsidRPr="000B325E">
              <w:rPr>
                <w:rFonts w:ascii="Arial" w:hAnsi="Arial" w:cs="Arial"/>
                <w:color w:val="262626"/>
                <w:sz w:val="18"/>
                <w:szCs w:val="18"/>
              </w:rPr>
              <w:t>Catalizador principal</w:t>
            </w:r>
          </w:p>
        </w:tc>
        <w:tc>
          <w:tcPr>
            <w:tcW w:w="5950" w:type="dxa"/>
            <w:tcMar>
              <w:top w:w="90" w:type="dxa"/>
              <w:left w:w="120" w:type="dxa"/>
              <w:bottom w:w="90" w:type="dxa"/>
              <w:right w:w="120" w:type="dxa"/>
            </w:tcMar>
            <w:vAlign w:val="center"/>
          </w:tcPr>
          <w:p w14:paraId="67D13C2E" w14:textId="77777777" w:rsidR="00214A41" w:rsidRPr="000B325E" w:rsidRDefault="00000000">
            <w:pPr>
              <w:rPr>
                <w:rFonts w:ascii="Arial" w:hAnsi="Arial" w:cs="Arial"/>
              </w:rPr>
            </w:pPr>
            <w:r w:rsidRPr="000B325E">
              <w:rPr>
                <w:rFonts w:ascii="Arial" w:hAnsi="Arial" w:cs="Arial"/>
                <w:color w:val="262626"/>
                <w:sz w:val="18"/>
                <w:szCs w:val="18"/>
              </w:rPr>
              <w:t>Compresión del descuento vs. EPRA NTA + bajadas de tipos BCE</w:t>
            </w:r>
          </w:p>
        </w:tc>
      </w:tr>
      <w:tr w:rsidR="00214A41" w:rsidRPr="000B325E" w14:paraId="2B54E138" w14:textId="77777777">
        <w:tblPrEx>
          <w:tblCellMar>
            <w:top w:w="0" w:type="dxa"/>
            <w:bottom w:w="0" w:type="dxa"/>
          </w:tblCellMar>
        </w:tblPrEx>
        <w:tc>
          <w:tcPr>
            <w:tcW w:w="3400" w:type="dxa"/>
            <w:shd w:val="clear" w:color="auto" w:fill="F2F2F2"/>
            <w:tcMar>
              <w:top w:w="90" w:type="dxa"/>
              <w:left w:w="120" w:type="dxa"/>
              <w:bottom w:w="90" w:type="dxa"/>
              <w:right w:w="120" w:type="dxa"/>
            </w:tcMar>
            <w:vAlign w:val="center"/>
          </w:tcPr>
          <w:p w14:paraId="23677EB8" w14:textId="77777777" w:rsidR="00214A41" w:rsidRPr="000B325E" w:rsidRDefault="00000000">
            <w:pPr>
              <w:rPr>
                <w:rFonts w:ascii="Arial" w:hAnsi="Arial" w:cs="Arial"/>
              </w:rPr>
            </w:pPr>
            <w:r w:rsidRPr="000B325E">
              <w:rPr>
                <w:rFonts w:ascii="Arial" w:hAnsi="Arial" w:cs="Arial"/>
                <w:color w:val="262626"/>
                <w:sz w:val="18"/>
                <w:szCs w:val="18"/>
              </w:rPr>
              <w:t>Riesgo principal</w:t>
            </w:r>
          </w:p>
        </w:tc>
        <w:tc>
          <w:tcPr>
            <w:tcW w:w="5950" w:type="dxa"/>
            <w:shd w:val="clear" w:color="auto" w:fill="F2F2F2"/>
            <w:tcMar>
              <w:top w:w="90" w:type="dxa"/>
              <w:left w:w="120" w:type="dxa"/>
              <w:bottom w:w="90" w:type="dxa"/>
              <w:right w:w="120" w:type="dxa"/>
            </w:tcMar>
            <w:vAlign w:val="center"/>
          </w:tcPr>
          <w:p w14:paraId="54751935" w14:textId="77777777" w:rsidR="00214A41" w:rsidRPr="000B325E" w:rsidRDefault="00000000">
            <w:pPr>
              <w:rPr>
                <w:rFonts w:ascii="Arial" w:hAnsi="Arial" w:cs="Arial"/>
              </w:rPr>
            </w:pPr>
            <w:r w:rsidRPr="000B325E">
              <w:rPr>
                <w:rFonts w:ascii="Arial" w:hAnsi="Arial" w:cs="Arial"/>
                <w:color w:val="262626"/>
                <w:sz w:val="18"/>
                <w:szCs w:val="18"/>
              </w:rPr>
              <w:t>Coste de refinanciación de deuda y nueva caída de tasaciones (GAV)</w:t>
            </w:r>
          </w:p>
        </w:tc>
      </w:tr>
      <w:tr w:rsidR="00214A41" w:rsidRPr="000B325E" w14:paraId="03290F1D" w14:textId="77777777">
        <w:tblPrEx>
          <w:tblCellMar>
            <w:top w:w="0" w:type="dxa"/>
            <w:bottom w:w="0" w:type="dxa"/>
          </w:tblCellMar>
        </w:tblPrEx>
        <w:tc>
          <w:tcPr>
            <w:tcW w:w="3400" w:type="dxa"/>
            <w:tcMar>
              <w:top w:w="90" w:type="dxa"/>
              <w:left w:w="120" w:type="dxa"/>
              <w:bottom w:w="90" w:type="dxa"/>
              <w:right w:w="120" w:type="dxa"/>
            </w:tcMar>
            <w:vAlign w:val="center"/>
          </w:tcPr>
          <w:p w14:paraId="7250E873" w14:textId="77777777" w:rsidR="00214A41" w:rsidRPr="000B325E" w:rsidRDefault="00000000">
            <w:pPr>
              <w:rPr>
                <w:rFonts w:ascii="Arial" w:hAnsi="Arial" w:cs="Arial"/>
              </w:rPr>
            </w:pPr>
            <w:r w:rsidRPr="000B325E">
              <w:rPr>
                <w:rFonts w:ascii="Arial" w:hAnsi="Arial" w:cs="Arial"/>
                <w:color w:val="262626"/>
                <w:sz w:val="18"/>
                <w:szCs w:val="18"/>
              </w:rPr>
              <w:t>Consenso de mercado (referencia)</w:t>
            </w:r>
          </w:p>
        </w:tc>
        <w:tc>
          <w:tcPr>
            <w:tcW w:w="5950" w:type="dxa"/>
            <w:tcMar>
              <w:top w:w="90" w:type="dxa"/>
              <w:left w:w="120" w:type="dxa"/>
              <w:bottom w:w="90" w:type="dxa"/>
              <w:right w:w="120" w:type="dxa"/>
            </w:tcMar>
            <w:vAlign w:val="center"/>
          </w:tcPr>
          <w:p w14:paraId="24F26C14" w14:textId="77777777" w:rsidR="00214A41" w:rsidRPr="000B325E" w:rsidRDefault="00000000">
            <w:pPr>
              <w:rPr>
                <w:rFonts w:ascii="Arial" w:hAnsi="Arial" w:cs="Arial"/>
              </w:rPr>
            </w:pPr>
            <w:r w:rsidRPr="000B325E">
              <w:rPr>
                <w:rFonts w:ascii="Arial" w:hAnsi="Arial" w:cs="Arial"/>
                <w:color w:val="262626"/>
                <w:sz w:val="18"/>
                <w:szCs w:val="18"/>
              </w:rPr>
              <w:t>Precio objetivo medio ≈ 6,38€ · Rango 4,50€ – 8,50€</w:t>
            </w:r>
          </w:p>
        </w:tc>
      </w:tr>
    </w:tbl>
    <w:p w14:paraId="593588D3" w14:textId="77777777" w:rsidR="00214A41" w:rsidRPr="000B325E" w:rsidRDefault="00000000">
      <w:pPr>
        <w:rPr>
          <w:rFonts w:ascii="Arial" w:hAnsi="Arial" w:cs="Arial"/>
        </w:rPr>
      </w:pPr>
      <w:r w:rsidRPr="000B325E">
        <w:rPr>
          <w:rFonts w:ascii="Arial" w:hAnsi="Arial" w:cs="Arial"/>
        </w:rPr>
        <w:br w:type="page"/>
      </w:r>
    </w:p>
    <w:p w14:paraId="75CEF6D2" w14:textId="77777777" w:rsidR="00214A41" w:rsidRPr="000B325E" w:rsidRDefault="00000000">
      <w:pPr>
        <w:pStyle w:val="Ttulo1"/>
        <w:pBdr>
          <w:bottom w:val="single" w:sz="8" w:space="4" w:color="1F3864"/>
        </w:pBdr>
        <w:spacing w:before="400" w:after="200"/>
        <w:rPr>
          <w:rFonts w:ascii="Arial" w:hAnsi="Arial" w:cs="Arial"/>
        </w:rPr>
      </w:pPr>
      <w:r w:rsidRPr="000B325E">
        <w:rPr>
          <w:rFonts w:ascii="Arial" w:hAnsi="Arial" w:cs="Arial"/>
          <w:b/>
          <w:bCs/>
          <w:color w:val="1F3864"/>
          <w:sz w:val="26"/>
          <w:szCs w:val="26"/>
        </w:rPr>
        <w:lastRenderedPageBreak/>
        <w:t>2. PERFIL DE LA COMPAÑÍA</w:t>
      </w:r>
    </w:p>
    <w:p w14:paraId="1FDFC3E9" w14:textId="77777777" w:rsidR="00214A41" w:rsidRPr="000B325E" w:rsidRDefault="00000000">
      <w:pPr>
        <w:spacing w:after="160" w:line="276" w:lineRule="auto"/>
        <w:jc w:val="both"/>
        <w:rPr>
          <w:rFonts w:ascii="Arial" w:hAnsi="Arial" w:cs="Arial"/>
        </w:rPr>
      </w:pPr>
      <w:r w:rsidRPr="000B325E">
        <w:rPr>
          <w:rFonts w:ascii="Arial" w:hAnsi="Arial" w:cs="Arial"/>
          <w:color w:val="262626"/>
        </w:rPr>
        <w:t xml:space="preserve">Colonial SFL (fruto de la fusión transfronteriza entre Inmobiliaria Colonial y su filial Société </w:t>
      </w:r>
      <w:proofErr w:type="spellStart"/>
      <w:r w:rsidRPr="000B325E">
        <w:rPr>
          <w:rFonts w:ascii="Arial" w:hAnsi="Arial" w:cs="Arial"/>
          <w:color w:val="262626"/>
        </w:rPr>
        <w:t>Foncière</w:t>
      </w:r>
      <w:proofErr w:type="spellEnd"/>
      <w:r w:rsidRPr="000B325E">
        <w:rPr>
          <w:rFonts w:ascii="Arial" w:hAnsi="Arial" w:cs="Arial"/>
          <w:color w:val="262626"/>
        </w:rPr>
        <w:t xml:space="preserve"> </w:t>
      </w:r>
      <w:proofErr w:type="spellStart"/>
      <w:r w:rsidRPr="000B325E">
        <w:rPr>
          <w:rFonts w:ascii="Arial" w:hAnsi="Arial" w:cs="Arial"/>
          <w:color w:val="262626"/>
        </w:rPr>
        <w:t>Lyonnaise</w:t>
      </w:r>
      <w:proofErr w:type="spellEnd"/>
      <w:r w:rsidRPr="000B325E">
        <w:rPr>
          <w:rFonts w:ascii="Arial" w:hAnsi="Arial" w:cs="Arial"/>
          <w:color w:val="262626"/>
        </w:rPr>
        <w:t xml:space="preserve">, completada en marzo de 2026) es la plataforma líder en Europa de oficinas prime en distritos de negocio centrales (CBD). El grupo gestiona una cartera de más de 12.000M€ en activos, concentrada en París, Madrid y Barcelona, con una incipiente expansión en Berlín tras la adquisición de un </w:t>
      </w:r>
      <w:proofErr w:type="gramStart"/>
      <w:r w:rsidRPr="000B325E">
        <w:rPr>
          <w:rFonts w:ascii="Arial" w:hAnsi="Arial" w:cs="Arial"/>
          <w:color w:val="262626"/>
        </w:rPr>
        <w:t>portfolio</w:t>
      </w:r>
      <w:proofErr w:type="gramEnd"/>
      <w:r w:rsidRPr="000B325E">
        <w:rPr>
          <w:rFonts w:ascii="Arial" w:hAnsi="Arial" w:cs="Arial"/>
          <w:color w:val="262626"/>
        </w:rPr>
        <w:t xml:space="preserve"> super prime en el CBD berlinés (IRR no apalancada estimada del 8%-9%, </w:t>
      </w:r>
      <w:proofErr w:type="spellStart"/>
      <w:r w:rsidRPr="000B325E">
        <w:rPr>
          <w:rFonts w:ascii="Arial" w:hAnsi="Arial" w:cs="Arial"/>
          <w:color w:val="262626"/>
        </w:rPr>
        <w:t>yield</w:t>
      </w:r>
      <w:proofErr w:type="spellEnd"/>
      <w:r w:rsidRPr="000B325E">
        <w:rPr>
          <w:rFonts w:ascii="Arial" w:hAnsi="Arial" w:cs="Arial"/>
          <w:color w:val="262626"/>
        </w:rPr>
        <w:t xml:space="preserve"> inicial bruto del 4,8% y </w:t>
      </w:r>
      <w:proofErr w:type="spellStart"/>
      <w:r w:rsidRPr="000B325E">
        <w:rPr>
          <w:rFonts w:ascii="Arial" w:hAnsi="Arial" w:cs="Arial"/>
          <w:color w:val="262626"/>
        </w:rPr>
        <w:t>yield</w:t>
      </w:r>
      <w:proofErr w:type="spellEnd"/>
      <w:r w:rsidRPr="000B325E">
        <w:rPr>
          <w:rFonts w:ascii="Arial" w:hAnsi="Arial" w:cs="Arial"/>
          <w:color w:val="262626"/>
        </w:rPr>
        <w:t xml:space="preserve"> de reversión del 5%-6%).</w:t>
      </w:r>
    </w:p>
    <w:p w14:paraId="666B9197" w14:textId="77777777" w:rsidR="00214A41" w:rsidRPr="000B325E" w:rsidRDefault="00000000">
      <w:pPr>
        <w:spacing w:after="160" w:line="276" w:lineRule="auto"/>
        <w:jc w:val="both"/>
        <w:rPr>
          <w:rFonts w:ascii="Arial" w:hAnsi="Arial" w:cs="Arial"/>
        </w:rPr>
      </w:pPr>
      <w:r w:rsidRPr="000B325E">
        <w:rPr>
          <w:rFonts w:ascii="Arial" w:hAnsi="Arial" w:cs="Arial"/>
          <w:color w:val="262626"/>
        </w:rPr>
        <w:t>El modelo de negocio se apoya en tres pilares: (i) activos de máxima calidad en ubicaciones con escasez estructural de oferta, (</w:t>
      </w:r>
      <w:proofErr w:type="spellStart"/>
      <w:r w:rsidRPr="000B325E">
        <w:rPr>
          <w:rFonts w:ascii="Arial" w:hAnsi="Arial" w:cs="Arial"/>
          <w:color w:val="262626"/>
        </w:rPr>
        <w:t>ii</w:t>
      </w:r>
      <w:proofErr w:type="spellEnd"/>
      <w:r w:rsidRPr="000B325E">
        <w:rPr>
          <w:rFonts w:ascii="Arial" w:hAnsi="Arial" w:cs="Arial"/>
          <w:color w:val="262626"/>
        </w:rPr>
        <w:t>) una base de inquilinos de alta solvencia con creciente peso de compañías tecnológicas y de inteligencia artificial (30% de la contratación nueva en 1S26), y (</w:t>
      </w:r>
      <w:proofErr w:type="spellStart"/>
      <w:r w:rsidRPr="000B325E">
        <w:rPr>
          <w:rFonts w:ascii="Arial" w:hAnsi="Arial" w:cs="Arial"/>
          <w:color w:val="262626"/>
        </w:rPr>
        <w:t>iii</w:t>
      </w:r>
      <w:proofErr w:type="spellEnd"/>
      <w:r w:rsidRPr="000B325E">
        <w:rPr>
          <w:rFonts w:ascii="Arial" w:hAnsi="Arial" w:cs="Arial"/>
          <w:color w:val="262626"/>
        </w:rPr>
        <w:t>) una gestión de capital disciplinada vía desinversiones selectivas, recompras de acciones y una política de dividendo creciente.</w:t>
      </w:r>
    </w:p>
    <w:p w14:paraId="47BD46CA" w14:textId="77777777" w:rsidR="00214A41" w:rsidRPr="000B325E" w:rsidRDefault="00000000">
      <w:pPr>
        <w:pStyle w:val="Ttulo2"/>
        <w:spacing w:before="300" w:after="120"/>
        <w:rPr>
          <w:rFonts w:ascii="Arial" w:hAnsi="Arial" w:cs="Arial"/>
        </w:rPr>
      </w:pPr>
      <w:r w:rsidRPr="000B325E">
        <w:rPr>
          <w:rFonts w:ascii="Arial" w:hAnsi="Arial" w:cs="Arial"/>
          <w:b/>
          <w:bCs/>
          <w:color w:val="0E2240"/>
          <w:sz w:val="22"/>
          <w:szCs w:val="22"/>
        </w:rPr>
        <w:t>2.1 Desglose geográfico — operativa reciente (1S 2026)</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00"/>
        <w:gridCol w:w="2100"/>
        <w:gridCol w:w="2950"/>
      </w:tblGrid>
      <w:tr w:rsidR="00214A41" w:rsidRPr="000B325E" w14:paraId="3B62E2F8" w14:textId="77777777">
        <w:tblPrEx>
          <w:tblCellMar>
            <w:top w:w="0" w:type="dxa"/>
            <w:bottom w:w="0" w:type="dxa"/>
          </w:tblCellMar>
        </w:tblPrEx>
        <w:trPr>
          <w:tblHeader/>
        </w:trPr>
        <w:tc>
          <w:tcPr>
            <w:tcW w:w="1800" w:type="dxa"/>
            <w:shd w:val="clear" w:color="auto" w:fill="1F3864"/>
            <w:tcMar>
              <w:top w:w="100" w:type="dxa"/>
              <w:left w:w="120" w:type="dxa"/>
              <w:bottom w:w="100" w:type="dxa"/>
              <w:right w:w="120" w:type="dxa"/>
            </w:tcMar>
            <w:vAlign w:val="center"/>
          </w:tcPr>
          <w:p w14:paraId="435193AA" w14:textId="77777777" w:rsidR="00214A41" w:rsidRPr="000B325E" w:rsidRDefault="00000000">
            <w:pPr>
              <w:rPr>
                <w:rFonts w:ascii="Arial" w:hAnsi="Arial" w:cs="Arial"/>
              </w:rPr>
            </w:pPr>
            <w:r w:rsidRPr="000B325E">
              <w:rPr>
                <w:rFonts w:ascii="Arial" w:hAnsi="Arial" w:cs="Arial"/>
                <w:b/>
                <w:bCs/>
                <w:color w:val="FFFFFF"/>
                <w:sz w:val="18"/>
                <w:szCs w:val="18"/>
              </w:rPr>
              <w:t>Mercado</w:t>
            </w:r>
          </w:p>
        </w:tc>
        <w:tc>
          <w:tcPr>
            <w:tcW w:w="2500" w:type="dxa"/>
            <w:shd w:val="clear" w:color="auto" w:fill="1F3864"/>
            <w:tcMar>
              <w:top w:w="100" w:type="dxa"/>
              <w:left w:w="120" w:type="dxa"/>
              <w:bottom w:w="100" w:type="dxa"/>
              <w:right w:w="120" w:type="dxa"/>
            </w:tcMar>
            <w:vAlign w:val="center"/>
          </w:tcPr>
          <w:p w14:paraId="2B9ACA42" w14:textId="77777777" w:rsidR="00214A41" w:rsidRPr="000B325E" w:rsidRDefault="00000000">
            <w:pPr>
              <w:rPr>
                <w:rFonts w:ascii="Arial" w:hAnsi="Arial" w:cs="Arial"/>
              </w:rPr>
            </w:pPr>
            <w:r w:rsidRPr="000B325E">
              <w:rPr>
                <w:rFonts w:ascii="Arial" w:hAnsi="Arial" w:cs="Arial"/>
                <w:b/>
                <w:bCs/>
                <w:color w:val="FFFFFF"/>
                <w:sz w:val="18"/>
                <w:szCs w:val="18"/>
              </w:rPr>
              <w:t xml:space="preserve">Crecimiento </w:t>
            </w:r>
            <w:proofErr w:type="spellStart"/>
            <w:r w:rsidRPr="000B325E">
              <w:rPr>
                <w:rFonts w:ascii="Arial" w:hAnsi="Arial" w:cs="Arial"/>
                <w:b/>
                <w:bCs/>
                <w:color w:val="FFFFFF"/>
                <w:sz w:val="18"/>
                <w:szCs w:val="18"/>
              </w:rPr>
              <w:t>Like-for-Like</w:t>
            </w:r>
            <w:proofErr w:type="spellEnd"/>
          </w:p>
        </w:tc>
        <w:tc>
          <w:tcPr>
            <w:tcW w:w="2100" w:type="dxa"/>
            <w:shd w:val="clear" w:color="auto" w:fill="1F3864"/>
            <w:tcMar>
              <w:top w:w="100" w:type="dxa"/>
              <w:left w:w="120" w:type="dxa"/>
              <w:bottom w:w="100" w:type="dxa"/>
              <w:right w:w="120" w:type="dxa"/>
            </w:tcMar>
            <w:vAlign w:val="center"/>
          </w:tcPr>
          <w:p w14:paraId="6C4E1639" w14:textId="77777777" w:rsidR="00214A41" w:rsidRPr="000B325E" w:rsidRDefault="00000000">
            <w:pPr>
              <w:rPr>
                <w:rFonts w:ascii="Arial" w:hAnsi="Arial" w:cs="Arial"/>
              </w:rPr>
            </w:pPr>
            <w:proofErr w:type="spellStart"/>
            <w:r w:rsidRPr="000B325E">
              <w:rPr>
                <w:rFonts w:ascii="Arial" w:hAnsi="Arial" w:cs="Arial"/>
                <w:b/>
                <w:bCs/>
                <w:color w:val="FFFFFF"/>
                <w:sz w:val="18"/>
                <w:szCs w:val="18"/>
              </w:rPr>
              <w:t>Yield</w:t>
            </w:r>
            <w:proofErr w:type="spellEnd"/>
            <w:r w:rsidRPr="000B325E">
              <w:rPr>
                <w:rFonts w:ascii="Arial" w:hAnsi="Arial" w:cs="Arial"/>
                <w:b/>
                <w:bCs/>
                <w:color w:val="FFFFFF"/>
                <w:sz w:val="18"/>
                <w:szCs w:val="18"/>
              </w:rPr>
              <w:t xml:space="preserve"> de tasación</w:t>
            </w:r>
          </w:p>
        </w:tc>
        <w:tc>
          <w:tcPr>
            <w:tcW w:w="2950" w:type="dxa"/>
            <w:shd w:val="clear" w:color="auto" w:fill="1F3864"/>
            <w:tcMar>
              <w:top w:w="100" w:type="dxa"/>
              <w:left w:w="120" w:type="dxa"/>
              <w:bottom w:w="100" w:type="dxa"/>
              <w:right w:w="120" w:type="dxa"/>
            </w:tcMar>
            <w:vAlign w:val="center"/>
          </w:tcPr>
          <w:p w14:paraId="0AB77728" w14:textId="77777777" w:rsidR="00214A41" w:rsidRPr="000B325E" w:rsidRDefault="00000000">
            <w:pPr>
              <w:rPr>
                <w:rFonts w:ascii="Arial" w:hAnsi="Arial" w:cs="Arial"/>
              </w:rPr>
            </w:pPr>
            <w:r w:rsidRPr="000B325E">
              <w:rPr>
                <w:rFonts w:ascii="Arial" w:hAnsi="Arial" w:cs="Arial"/>
                <w:b/>
                <w:bCs/>
                <w:color w:val="FFFFFF"/>
                <w:sz w:val="18"/>
                <w:szCs w:val="18"/>
              </w:rPr>
              <w:t>Comentario</w:t>
            </w:r>
          </w:p>
        </w:tc>
      </w:tr>
      <w:tr w:rsidR="00214A41" w:rsidRPr="000B325E" w14:paraId="31D3D278" w14:textId="77777777">
        <w:tblPrEx>
          <w:tblCellMar>
            <w:top w:w="0" w:type="dxa"/>
            <w:bottom w:w="0" w:type="dxa"/>
          </w:tblCellMar>
        </w:tblPrEx>
        <w:tc>
          <w:tcPr>
            <w:tcW w:w="1800" w:type="dxa"/>
            <w:tcMar>
              <w:top w:w="90" w:type="dxa"/>
              <w:left w:w="120" w:type="dxa"/>
              <w:bottom w:w="90" w:type="dxa"/>
              <w:right w:w="120" w:type="dxa"/>
            </w:tcMar>
            <w:vAlign w:val="center"/>
          </w:tcPr>
          <w:p w14:paraId="5BAA08BA" w14:textId="77777777" w:rsidR="00214A41" w:rsidRPr="000B325E" w:rsidRDefault="00000000">
            <w:pPr>
              <w:rPr>
                <w:rFonts w:ascii="Arial" w:hAnsi="Arial" w:cs="Arial"/>
              </w:rPr>
            </w:pPr>
            <w:r w:rsidRPr="000B325E">
              <w:rPr>
                <w:rFonts w:ascii="Arial" w:hAnsi="Arial" w:cs="Arial"/>
                <w:color w:val="262626"/>
                <w:sz w:val="18"/>
                <w:szCs w:val="18"/>
              </w:rPr>
              <w:t>Madrid</w:t>
            </w:r>
          </w:p>
        </w:tc>
        <w:tc>
          <w:tcPr>
            <w:tcW w:w="2500" w:type="dxa"/>
            <w:tcMar>
              <w:top w:w="90" w:type="dxa"/>
              <w:left w:w="120" w:type="dxa"/>
              <w:bottom w:w="90" w:type="dxa"/>
              <w:right w:w="120" w:type="dxa"/>
            </w:tcMar>
            <w:vAlign w:val="center"/>
          </w:tcPr>
          <w:p w14:paraId="251DB019" w14:textId="77777777" w:rsidR="00214A41" w:rsidRPr="000B325E" w:rsidRDefault="00000000">
            <w:pPr>
              <w:rPr>
                <w:rFonts w:ascii="Arial" w:hAnsi="Arial" w:cs="Arial"/>
              </w:rPr>
            </w:pPr>
            <w:r w:rsidRPr="000B325E">
              <w:rPr>
                <w:rFonts w:ascii="Arial" w:hAnsi="Arial" w:cs="Arial"/>
                <w:color w:val="262626"/>
                <w:sz w:val="18"/>
                <w:szCs w:val="18"/>
              </w:rPr>
              <w:t>+5,8%</w:t>
            </w:r>
          </w:p>
        </w:tc>
        <w:tc>
          <w:tcPr>
            <w:tcW w:w="2100" w:type="dxa"/>
            <w:tcMar>
              <w:top w:w="90" w:type="dxa"/>
              <w:left w:w="120" w:type="dxa"/>
              <w:bottom w:w="90" w:type="dxa"/>
              <w:right w:w="120" w:type="dxa"/>
            </w:tcMar>
            <w:vAlign w:val="center"/>
          </w:tcPr>
          <w:p w14:paraId="7EF97177" w14:textId="77777777" w:rsidR="00214A41" w:rsidRPr="000B325E" w:rsidRDefault="00000000">
            <w:pPr>
              <w:rPr>
                <w:rFonts w:ascii="Arial" w:hAnsi="Arial" w:cs="Arial"/>
              </w:rPr>
            </w:pPr>
            <w:r w:rsidRPr="000B325E">
              <w:rPr>
                <w:rFonts w:ascii="Arial" w:hAnsi="Arial" w:cs="Arial"/>
                <w:color w:val="262626"/>
                <w:sz w:val="18"/>
                <w:szCs w:val="18"/>
              </w:rPr>
              <w:t>4,7% – 4,9%</w:t>
            </w:r>
          </w:p>
        </w:tc>
        <w:tc>
          <w:tcPr>
            <w:tcW w:w="2950" w:type="dxa"/>
            <w:tcMar>
              <w:top w:w="90" w:type="dxa"/>
              <w:left w:w="120" w:type="dxa"/>
              <w:bottom w:w="90" w:type="dxa"/>
              <w:right w:w="120" w:type="dxa"/>
            </w:tcMar>
            <w:vAlign w:val="center"/>
          </w:tcPr>
          <w:p w14:paraId="4282DFE3" w14:textId="77777777" w:rsidR="00214A41" w:rsidRPr="000B325E" w:rsidRDefault="00000000">
            <w:pPr>
              <w:rPr>
                <w:rFonts w:ascii="Arial" w:hAnsi="Arial" w:cs="Arial"/>
              </w:rPr>
            </w:pPr>
            <w:r w:rsidRPr="000B325E">
              <w:rPr>
                <w:rFonts w:ascii="Arial" w:hAnsi="Arial" w:cs="Arial"/>
                <w:color w:val="262626"/>
                <w:sz w:val="18"/>
                <w:szCs w:val="18"/>
              </w:rPr>
              <w:t xml:space="preserve">Mejor comportamiento del grupo; </w:t>
            </w:r>
            <w:proofErr w:type="spellStart"/>
            <w:r w:rsidRPr="000B325E">
              <w:rPr>
                <w:rFonts w:ascii="Arial" w:hAnsi="Arial" w:cs="Arial"/>
                <w:color w:val="262626"/>
                <w:sz w:val="18"/>
                <w:szCs w:val="18"/>
              </w:rPr>
              <w:t>releasing</w:t>
            </w:r>
            <w:proofErr w:type="spellEnd"/>
            <w:r w:rsidRPr="000B325E">
              <w:rPr>
                <w:rFonts w:ascii="Arial" w:hAnsi="Arial" w:cs="Arial"/>
                <w:color w:val="262626"/>
                <w:sz w:val="18"/>
                <w:szCs w:val="18"/>
              </w:rPr>
              <w:t xml:space="preserve"> spreads de doble dígito</w:t>
            </w:r>
          </w:p>
        </w:tc>
      </w:tr>
      <w:tr w:rsidR="00214A41" w:rsidRPr="000B325E" w14:paraId="09E512BE" w14:textId="77777777">
        <w:tblPrEx>
          <w:tblCellMar>
            <w:top w:w="0" w:type="dxa"/>
            <w:bottom w:w="0" w:type="dxa"/>
          </w:tblCellMar>
        </w:tblPrEx>
        <w:tc>
          <w:tcPr>
            <w:tcW w:w="1800" w:type="dxa"/>
            <w:shd w:val="clear" w:color="auto" w:fill="F2F2F2"/>
            <w:tcMar>
              <w:top w:w="90" w:type="dxa"/>
              <w:left w:w="120" w:type="dxa"/>
              <w:bottom w:w="90" w:type="dxa"/>
              <w:right w:w="120" w:type="dxa"/>
            </w:tcMar>
            <w:vAlign w:val="center"/>
          </w:tcPr>
          <w:p w14:paraId="263E189E" w14:textId="77777777" w:rsidR="00214A41" w:rsidRPr="000B325E" w:rsidRDefault="00000000">
            <w:pPr>
              <w:rPr>
                <w:rFonts w:ascii="Arial" w:hAnsi="Arial" w:cs="Arial"/>
              </w:rPr>
            </w:pPr>
            <w:r w:rsidRPr="000B325E">
              <w:rPr>
                <w:rFonts w:ascii="Arial" w:hAnsi="Arial" w:cs="Arial"/>
                <w:color w:val="262626"/>
                <w:sz w:val="18"/>
                <w:szCs w:val="18"/>
              </w:rPr>
              <w:t>Barcelona</w:t>
            </w:r>
          </w:p>
        </w:tc>
        <w:tc>
          <w:tcPr>
            <w:tcW w:w="2500" w:type="dxa"/>
            <w:shd w:val="clear" w:color="auto" w:fill="F2F2F2"/>
            <w:tcMar>
              <w:top w:w="90" w:type="dxa"/>
              <w:left w:w="120" w:type="dxa"/>
              <w:bottom w:w="90" w:type="dxa"/>
              <w:right w:w="120" w:type="dxa"/>
            </w:tcMar>
            <w:vAlign w:val="center"/>
          </w:tcPr>
          <w:p w14:paraId="374322C4" w14:textId="77777777" w:rsidR="00214A41" w:rsidRPr="000B325E" w:rsidRDefault="00000000">
            <w:pPr>
              <w:rPr>
                <w:rFonts w:ascii="Arial" w:hAnsi="Arial" w:cs="Arial"/>
              </w:rPr>
            </w:pPr>
            <w:r w:rsidRPr="000B325E">
              <w:rPr>
                <w:rFonts w:ascii="Arial" w:hAnsi="Arial" w:cs="Arial"/>
                <w:color w:val="262626"/>
                <w:sz w:val="18"/>
                <w:szCs w:val="18"/>
              </w:rPr>
              <w:t>+4,3%</w:t>
            </w:r>
          </w:p>
        </w:tc>
        <w:tc>
          <w:tcPr>
            <w:tcW w:w="2100" w:type="dxa"/>
            <w:shd w:val="clear" w:color="auto" w:fill="F2F2F2"/>
            <w:tcMar>
              <w:top w:w="90" w:type="dxa"/>
              <w:left w:w="120" w:type="dxa"/>
              <w:bottom w:w="90" w:type="dxa"/>
              <w:right w:w="120" w:type="dxa"/>
            </w:tcMar>
            <w:vAlign w:val="center"/>
          </w:tcPr>
          <w:p w14:paraId="259989FA" w14:textId="77777777" w:rsidR="00214A41" w:rsidRPr="000B325E" w:rsidRDefault="00000000">
            <w:pPr>
              <w:rPr>
                <w:rFonts w:ascii="Arial" w:hAnsi="Arial" w:cs="Arial"/>
              </w:rPr>
            </w:pPr>
            <w:r w:rsidRPr="000B325E">
              <w:rPr>
                <w:rFonts w:ascii="Arial" w:hAnsi="Arial" w:cs="Arial"/>
                <w:color w:val="262626"/>
                <w:sz w:val="18"/>
                <w:szCs w:val="18"/>
              </w:rPr>
              <w:t>4,2% – 4,9%</w:t>
            </w:r>
          </w:p>
        </w:tc>
        <w:tc>
          <w:tcPr>
            <w:tcW w:w="2950" w:type="dxa"/>
            <w:shd w:val="clear" w:color="auto" w:fill="F2F2F2"/>
            <w:tcMar>
              <w:top w:w="90" w:type="dxa"/>
              <w:left w:w="120" w:type="dxa"/>
              <w:bottom w:w="90" w:type="dxa"/>
              <w:right w:w="120" w:type="dxa"/>
            </w:tcMar>
            <w:vAlign w:val="center"/>
          </w:tcPr>
          <w:p w14:paraId="0E4F0E52" w14:textId="77777777" w:rsidR="00214A41" w:rsidRPr="000B325E" w:rsidRDefault="00000000">
            <w:pPr>
              <w:rPr>
                <w:rFonts w:ascii="Arial" w:hAnsi="Arial" w:cs="Arial"/>
              </w:rPr>
            </w:pPr>
            <w:r w:rsidRPr="000B325E">
              <w:rPr>
                <w:rFonts w:ascii="Arial" w:hAnsi="Arial" w:cs="Arial"/>
                <w:color w:val="262626"/>
                <w:sz w:val="18"/>
                <w:szCs w:val="18"/>
              </w:rPr>
              <w:t>Recuperación sólida, demanda tecnológica creciente</w:t>
            </w:r>
          </w:p>
        </w:tc>
      </w:tr>
      <w:tr w:rsidR="00214A41" w:rsidRPr="000B325E" w14:paraId="2200E69D" w14:textId="77777777">
        <w:tblPrEx>
          <w:tblCellMar>
            <w:top w:w="0" w:type="dxa"/>
            <w:bottom w:w="0" w:type="dxa"/>
          </w:tblCellMar>
        </w:tblPrEx>
        <w:tc>
          <w:tcPr>
            <w:tcW w:w="1800" w:type="dxa"/>
            <w:tcMar>
              <w:top w:w="90" w:type="dxa"/>
              <w:left w:w="120" w:type="dxa"/>
              <w:bottom w:w="90" w:type="dxa"/>
              <w:right w:w="120" w:type="dxa"/>
            </w:tcMar>
            <w:vAlign w:val="center"/>
          </w:tcPr>
          <w:p w14:paraId="340CCA48" w14:textId="77777777" w:rsidR="00214A41" w:rsidRPr="000B325E" w:rsidRDefault="00000000">
            <w:pPr>
              <w:rPr>
                <w:rFonts w:ascii="Arial" w:hAnsi="Arial" w:cs="Arial"/>
              </w:rPr>
            </w:pPr>
            <w:r w:rsidRPr="000B325E">
              <w:rPr>
                <w:rFonts w:ascii="Arial" w:hAnsi="Arial" w:cs="Arial"/>
                <w:color w:val="262626"/>
                <w:sz w:val="18"/>
                <w:szCs w:val="18"/>
              </w:rPr>
              <w:t>París</w:t>
            </w:r>
          </w:p>
        </w:tc>
        <w:tc>
          <w:tcPr>
            <w:tcW w:w="2500" w:type="dxa"/>
            <w:tcMar>
              <w:top w:w="90" w:type="dxa"/>
              <w:left w:w="120" w:type="dxa"/>
              <w:bottom w:w="90" w:type="dxa"/>
              <w:right w:w="120" w:type="dxa"/>
            </w:tcMar>
            <w:vAlign w:val="center"/>
          </w:tcPr>
          <w:p w14:paraId="69B8FC07" w14:textId="77777777" w:rsidR="00214A41" w:rsidRPr="000B325E" w:rsidRDefault="00000000">
            <w:pPr>
              <w:rPr>
                <w:rFonts w:ascii="Arial" w:hAnsi="Arial" w:cs="Arial"/>
              </w:rPr>
            </w:pPr>
            <w:r w:rsidRPr="000B325E">
              <w:rPr>
                <w:rFonts w:ascii="Arial" w:hAnsi="Arial" w:cs="Arial"/>
                <w:color w:val="262626"/>
                <w:sz w:val="18"/>
                <w:szCs w:val="18"/>
              </w:rPr>
              <w:t>+2,4%</w:t>
            </w:r>
          </w:p>
        </w:tc>
        <w:tc>
          <w:tcPr>
            <w:tcW w:w="2100" w:type="dxa"/>
            <w:tcMar>
              <w:top w:w="90" w:type="dxa"/>
              <w:left w:w="120" w:type="dxa"/>
              <w:bottom w:w="90" w:type="dxa"/>
              <w:right w:w="120" w:type="dxa"/>
            </w:tcMar>
            <w:vAlign w:val="center"/>
          </w:tcPr>
          <w:p w14:paraId="78A98A81" w14:textId="77777777" w:rsidR="00214A41" w:rsidRPr="000B325E" w:rsidRDefault="00000000">
            <w:pPr>
              <w:rPr>
                <w:rFonts w:ascii="Arial" w:hAnsi="Arial" w:cs="Arial"/>
              </w:rPr>
            </w:pPr>
            <w:r w:rsidRPr="000B325E">
              <w:rPr>
                <w:rFonts w:ascii="Arial" w:hAnsi="Arial" w:cs="Arial"/>
                <w:color w:val="262626"/>
                <w:sz w:val="18"/>
                <w:szCs w:val="18"/>
              </w:rPr>
              <w:t>4,0% – 4,2%</w:t>
            </w:r>
          </w:p>
        </w:tc>
        <w:tc>
          <w:tcPr>
            <w:tcW w:w="2950" w:type="dxa"/>
            <w:tcMar>
              <w:top w:w="90" w:type="dxa"/>
              <w:left w:w="120" w:type="dxa"/>
              <w:bottom w:w="90" w:type="dxa"/>
              <w:right w:w="120" w:type="dxa"/>
            </w:tcMar>
            <w:vAlign w:val="center"/>
          </w:tcPr>
          <w:p w14:paraId="1B3381A2" w14:textId="77777777" w:rsidR="00214A41" w:rsidRPr="000B325E" w:rsidRDefault="00000000">
            <w:pPr>
              <w:rPr>
                <w:rFonts w:ascii="Arial" w:hAnsi="Arial" w:cs="Arial"/>
              </w:rPr>
            </w:pPr>
            <w:r w:rsidRPr="000B325E">
              <w:rPr>
                <w:rFonts w:ascii="Arial" w:hAnsi="Arial" w:cs="Arial"/>
                <w:color w:val="262626"/>
                <w:sz w:val="18"/>
                <w:szCs w:val="18"/>
              </w:rPr>
              <w:t xml:space="preserve">Crecimiento más </w:t>
            </w:r>
            <w:proofErr w:type="gramStart"/>
            <w:r w:rsidRPr="000B325E">
              <w:rPr>
                <w:rFonts w:ascii="Arial" w:hAnsi="Arial" w:cs="Arial"/>
                <w:color w:val="262626"/>
                <w:sz w:val="18"/>
                <w:szCs w:val="18"/>
              </w:rPr>
              <w:t>moderado</w:t>
            </w:r>
            <w:proofErr w:type="gramEnd"/>
            <w:r w:rsidRPr="000B325E">
              <w:rPr>
                <w:rFonts w:ascii="Arial" w:hAnsi="Arial" w:cs="Arial"/>
                <w:color w:val="262626"/>
                <w:sz w:val="18"/>
                <w:szCs w:val="18"/>
              </w:rPr>
              <w:t xml:space="preserve"> pero con </w:t>
            </w:r>
            <w:proofErr w:type="spellStart"/>
            <w:r w:rsidRPr="000B325E">
              <w:rPr>
                <w:rFonts w:ascii="Arial" w:hAnsi="Arial" w:cs="Arial"/>
                <w:color w:val="262626"/>
                <w:sz w:val="18"/>
                <w:szCs w:val="18"/>
              </w:rPr>
              <w:t>release</w:t>
            </w:r>
            <w:proofErr w:type="spellEnd"/>
            <w:r w:rsidRPr="000B325E">
              <w:rPr>
                <w:rFonts w:ascii="Arial" w:hAnsi="Arial" w:cs="Arial"/>
                <w:color w:val="262626"/>
                <w:sz w:val="18"/>
                <w:szCs w:val="18"/>
              </w:rPr>
              <w:t xml:space="preserve"> spreads del +18% (renovaciones hasta +26%), la </w:t>
            </w:r>
            <w:proofErr w:type="spellStart"/>
            <w:r w:rsidRPr="000B325E">
              <w:rPr>
                <w:rFonts w:ascii="Arial" w:hAnsi="Arial" w:cs="Arial"/>
                <w:color w:val="262626"/>
                <w:sz w:val="18"/>
                <w:szCs w:val="18"/>
              </w:rPr>
              <w:t>yield</w:t>
            </w:r>
            <w:proofErr w:type="spellEnd"/>
            <w:r w:rsidRPr="000B325E">
              <w:rPr>
                <w:rFonts w:ascii="Arial" w:hAnsi="Arial" w:cs="Arial"/>
                <w:color w:val="262626"/>
                <w:sz w:val="18"/>
                <w:szCs w:val="18"/>
              </w:rPr>
              <w:t xml:space="preserve"> más ajustada del grupo</w:t>
            </w:r>
          </w:p>
        </w:tc>
      </w:tr>
      <w:tr w:rsidR="00214A41" w:rsidRPr="000B325E" w14:paraId="56DA4EAF" w14:textId="77777777">
        <w:tblPrEx>
          <w:tblCellMar>
            <w:top w:w="0" w:type="dxa"/>
            <w:bottom w:w="0" w:type="dxa"/>
          </w:tblCellMar>
        </w:tblPrEx>
        <w:tc>
          <w:tcPr>
            <w:tcW w:w="1800" w:type="dxa"/>
            <w:shd w:val="clear" w:color="auto" w:fill="F2F2F2"/>
            <w:tcMar>
              <w:top w:w="90" w:type="dxa"/>
              <w:left w:w="120" w:type="dxa"/>
              <w:bottom w:w="90" w:type="dxa"/>
              <w:right w:w="120" w:type="dxa"/>
            </w:tcMar>
            <w:vAlign w:val="center"/>
          </w:tcPr>
          <w:p w14:paraId="179BE8CF" w14:textId="77777777" w:rsidR="00214A41" w:rsidRPr="000B325E" w:rsidRDefault="00000000">
            <w:pPr>
              <w:rPr>
                <w:rFonts w:ascii="Arial" w:hAnsi="Arial" w:cs="Arial"/>
              </w:rPr>
            </w:pPr>
            <w:r w:rsidRPr="000B325E">
              <w:rPr>
                <w:rFonts w:ascii="Arial" w:hAnsi="Arial" w:cs="Arial"/>
                <w:color w:val="262626"/>
                <w:sz w:val="18"/>
                <w:szCs w:val="18"/>
              </w:rPr>
              <w:t>Berlín (nueva)</w:t>
            </w:r>
          </w:p>
        </w:tc>
        <w:tc>
          <w:tcPr>
            <w:tcW w:w="2500" w:type="dxa"/>
            <w:shd w:val="clear" w:color="auto" w:fill="F2F2F2"/>
            <w:tcMar>
              <w:top w:w="90" w:type="dxa"/>
              <w:left w:w="120" w:type="dxa"/>
              <w:bottom w:w="90" w:type="dxa"/>
              <w:right w:w="120" w:type="dxa"/>
            </w:tcMar>
            <w:vAlign w:val="center"/>
          </w:tcPr>
          <w:p w14:paraId="533F0385" w14:textId="77777777" w:rsidR="00214A41" w:rsidRPr="000B325E" w:rsidRDefault="00000000">
            <w:pPr>
              <w:rPr>
                <w:rFonts w:ascii="Arial" w:hAnsi="Arial" w:cs="Arial"/>
              </w:rPr>
            </w:pPr>
            <w:r w:rsidRPr="000B325E">
              <w:rPr>
                <w:rFonts w:ascii="Arial" w:hAnsi="Arial" w:cs="Arial"/>
                <w:color w:val="262626"/>
                <w:sz w:val="18"/>
                <w:szCs w:val="18"/>
              </w:rPr>
              <w:t>n/a (adquisición reciente)</w:t>
            </w:r>
          </w:p>
        </w:tc>
        <w:tc>
          <w:tcPr>
            <w:tcW w:w="2100" w:type="dxa"/>
            <w:shd w:val="clear" w:color="auto" w:fill="F2F2F2"/>
            <w:tcMar>
              <w:top w:w="90" w:type="dxa"/>
              <w:left w:w="120" w:type="dxa"/>
              <w:bottom w:w="90" w:type="dxa"/>
              <w:right w:w="120" w:type="dxa"/>
            </w:tcMar>
            <w:vAlign w:val="center"/>
          </w:tcPr>
          <w:p w14:paraId="3376F99B" w14:textId="77777777" w:rsidR="00214A41" w:rsidRPr="000B325E" w:rsidRDefault="00000000">
            <w:pPr>
              <w:rPr>
                <w:rFonts w:ascii="Arial" w:hAnsi="Arial" w:cs="Arial"/>
              </w:rPr>
            </w:pPr>
            <w:r w:rsidRPr="000B325E">
              <w:rPr>
                <w:rFonts w:ascii="Arial" w:hAnsi="Arial" w:cs="Arial"/>
                <w:color w:val="262626"/>
                <w:sz w:val="18"/>
                <w:szCs w:val="18"/>
              </w:rPr>
              <w:t>n/a</w:t>
            </w:r>
          </w:p>
        </w:tc>
        <w:tc>
          <w:tcPr>
            <w:tcW w:w="2950" w:type="dxa"/>
            <w:shd w:val="clear" w:color="auto" w:fill="F2F2F2"/>
            <w:tcMar>
              <w:top w:w="90" w:type="dxa"/>
              <w:left w:w="120" w:type="dxa"/>
              <w:bottom w:w="90" w:type="dxa"/>
              <w:right w:w="120" w:type="dxa"/>
            </w:tcMar>
            <w:vAlign w:val="center"/>
          </w:tcPr>
          <w:p w14:paraId="7652858C" w14:textId="77777777" w:rsidR="00214A41" w:rsidRPr="000B325E" w:rsidRDefault="00000000">
            <w:pPr>
              <w:rPr>
                <w:rFonts w:ascii="Arial" w:hAnsi="Arial" w:cs="Arial"/>
              </w:rPr>
            </w:pPr>
            <w:r w:rsidRPr="000B325E">
              <w:rPr>
                <w:rFonts w:ascii="Arial" w:hAnsi="Arial" w:cs="Arial"/>
                <w:color w:val="262626"/>
                <w:sz w:val="18"/>
                <w:szCs w:val="18"/>
              </w:rPr>
              <w:t>Entrada estratégica; ocupación inicial &gt;90% con potencial de reposicionamiento a IRR 9-10%</w:t>
            </w:r>
          </w:p>
        </w:tc>
      </w:tr>
    </w:tbl>
    <w:p w14:paraId="10096EF6" w14:textId="77777777" w:rsidR="00214A41" w:rsidRPr="000B325E" w:rsidRDefault="00000000">
      <w:pPr>
        <w:rPr>
          <w:rFonts w:ascii="Arial" w:hAnsi="Arial" w:cs="Arial"/>
        </w:rPr>
      </w:pPr>
      <w:r w:rsidRPr="000B325E">
        <w:rPr>
          <w:rFonts w:ascii="Arial" w:hAnsi="Arial" w:cs="Arial"/>
        </w:rPr>
        <w:br w:type="page"/>
      </w:r>
    </w:p>
    <w:p w14:paraId="54F28F9C" w14:textId="77777777" w:rsidR="00214A41" w:rsidRPr="000B325E" w:rsidRDefault="00000000">
      <w:pPr>
        <w:pStyle w:val="Ttulo1"/>
        <w:pBdr>
          <w:bottom w:val="single" w:sz="8" w:space="4" w:color="1F3864"/>
        </w:pBdr>
        <w:spacing w:before="400" w:after="200"/>
        <w:rPr>
          <w:rFonts w:ascii="Arial" w:hAnsi="Arial" w:cs="Arial"/>
        </w:rPr>
      </w:pPr>
      <w:r w:rsidRPr="000B325E">
        <w:rPr>
          <w:rFonts w:ascii="Arial" w:hAnsi="Arial" w:cs="Arial"/>
          <w:b/>
          <w:bCs/>
          <w:color w:val="1F3864"/>
          <w:sz w:val="26"/>
          <w:szCs w:val="26"/>
        </w:rPr>
        <w:lastRenderedPageBreak/>
        <w:t>3. ANÁLISIS EN PROFUNDIDAD DE NOTICIAS RECIENTES</w:t>
      </w:r>
    </w:p>
    <w:p w14:paraId="787C2F02" w14:textId="77777777" w:rsidR="00214A41" w:rsidRPr="000B325E" w:rsidRDefault="00000000">
      <w:pPr>
        <w:spacing w:after="160" w:line="276" w:lineRule="auto"/>
        <w:jc w:val="both"/>
        <w:rPr>
          <w:rFonts w:ascii="Arial" w:hAnsi="Arial" w:cs="Arial"/>
        </w:rPr>
      </w:pPr>
      <w:r w:rsidRPr="000B325E">
        <w:rPr>
          <w:rFonts w:ascii="Arial" w:hAnsi="Arial" w:cs="Arial"/>
          <w:color w:val="262626"/>
        </w:rPr>
        <w:t>Esta sección recoge y analiza el flujo de noticias corporativas más relevante de los últimos doce meses, evaluando su impacto en la tesis de inversión.</w:t>
      </w:r>
    </w:p>
    <w:p w14:paraId="4F2449AD" w14:textId="77777777" w:rsidR="00214A41" w:rsidRPr="000B325E" w:rsidRDefault="00000000">
      <w:pPr>
        <w:pStyle w:val="Ttulo2"/>
        <w:spacing w:before="300" w:after="120"/>
        <w:rPr>
          <w:rFonts w:ascii="Arial" w:hAnsi="Arial" w:cs="Arial"/>
        </w:rPr>
      </w:pPr>
      <w:r w:rsidRPr="000B325E">
        <w:rPr>
          <w:rFonts w:ascii="Arial" w:hAnsi="Arial" w:cs="Arial"/>
          <w:b/>
          <w:bCs/>
          <w:color w:val="0E2240"/>
          <w:sz w:val="22"/>
          <w:szCs w:val="22"/>
        </w:rPr>
        <w:t>3.1 Fusión SFL–Colonial completada (marzo 2026)</w:t>
      </w:r>
    </w:p>
    <w:p w14:paraId="3E2B458B" w14:textId="77777777" w:rsidR="00214A41" w:rsidRPr="000B325E" w:rsidRDefault="00000000">
      <w:pPr>
        <w:spacing w:after="160" w:line="276" w:lineRule="auto"/>
        <w:jc w:val="both"/>
        <w:rPr>
          <w:rFonts w:ascii="Arial" w:hAnsi="Arial" w:cs="Arial"/>
        </w:rPr>
      </w:pPr>
      <w:r w:rsidRPr="000B325E">
        <w:rPr>
          <w:rFonts w:ascii="Arial" w:hAnsi="Arial" w:cs="Arial"/>
          <w:color w:val="262626"/>
        </w:rPr>
        <w:t xml:space="preserve">La fusión transfronteriza que integró Société </w:t>
      </w:r>
      <w:proofErr w:type="spellStart"/>
      <w:r w:rsidRPr="000B325E">
        <w:rPr>
          <w:rFonts w:ascii="Arial" w:hAnsi="Arial" w:cs="Arial"/>
          <w:color w:val="262626"/>
        </w:rPr>
        <w:t>Foncière</w:t>
      </w:r>
      <w:proofErr w:type="spellEnd"/>
      <w:r w:rsidRPr="000B325E">
        <w:rPr>
          <w:rFonts w:ascii="Arial" w:hAnsi="Arial" w:cs="Arial"/>
          <w:color w:val="262626"/>
        </w:rPr>
        <w:t xml:space="preserve"> </w:t>
      </w:r>
      <w:proofErr w:type="spellStart"/>
      <w:r w:rsidRPr="000B325E">
        <w:rPr>
          <w:rFonts w:ascii="Arial" w:hAnsi="Arial" w:cs="Arial"/>
          <w:color w:val="262626"/>
        </w:rPr>
        <w:t>Lyonnaise</w:t>
      </w:r>
      <w:proofErr w:type="spellEnd"/>
      <w:r w:rsidRPr="000B325E">
        <w:rPr>
          <w:rFonts w:ascii="Arial" w:hAnsi="Arial" w:cs="Arial"/>
          <w:color w:val="262626"/>
        </w:rPr>
        <w:t xml:space="preserve"> en Inmobiliaria Colonial se completó formalmente en marzo de 2026, culminando un proceso iniciado en 2024-2025 con </w:t>
      </w:r>
      <w:proofErr w:type="gramStart"/>
      <w:r w:rsidRPr="000B325E">
        <w:rPr>
          <w:rFonts w:ascii="Arial" w:hAnsi="Arial" w:cs="Arial"/>
          <w:color w:val="262626"/>
        </w:rPr>
        <w:t>un ratio</w:t>
      </w:r>
      <w:proofErr w:type="gramEnd"/>
      <w:r w:rsidRPr="000B325E">
        <w:rPr>
          <w:rFonts w:ascii="Arial" w:hAnsi="Arial" w:cs="Arial"/>
          <w:color w:val="262626"/>
        </w:rPr>
        <w:t xml:space="preserve"> de canje de 13 acciones de Colonial por 1 de SFL y un precio de exclusión de 77,5€/acción SFL. La operación simplifica la estructura societaria (Colonial ya poseía el 98,24% de SFL) y facilita una asignación de capital más eficiente entre los tres mercados principales. Impacto en la tesis: neutral-positivo — elimina un descuento de holding estructural y mejora la liquidez y visibilidad del valor cotizado único.</w:t>
      </w:r>
    </w:p>
    <w:p w14:paraId="1D17BB37" w14:textId="77777777" w:rsidR="00214A41" w:rsidRPr="000B325E" w:rsidRDefault="00000000">
      <w:pPr>
        <w:pStyle w:val="Ttulo2"/>
        <w:spacing w:before="300" w:after="120"/>
        <w:rPr>
          <w:rFonts w:ascii="Arial" w:hAnsi="Arial" w:cs="Arial"/>
        </w:rPr>
      </w:pPr>
      <w:r w:rsidRPr="000B325E">
        <w:rPr>
          <w:rFonts w:ascii="Arial" w:hAnsi="Arial" w:cs="Arial"/>
          <w:b/>
          <w:bCs/>
          <w:color w:val="0E2240"/>
          <w:sz w:val="22"/>
          <w:szCs w:val="22"/>
        </w:rPr>
        <w:t>3.2 Resultados 1T y 1S 2026: crecimiento operativo sólido, presión contable en beneficio neto</w:t>
      </w:r>
    </w:p>
    <w:p w14:paraId="3275FF07" w14:textId="77777777" w:rsidR="00214A41" w:rsidRPr="000B325E" w:rsidRDefault="00000000">
      <w:pPr>
        <w:spacing w:after="160" w:line="276" w:lineRule="auto"/>
        <w:jc w:val="both"/>
        <w:rPr>
          <w:rFonts w:ascii="Arial" w:hAnsi="Arial" w:cs="Arial"/>
        </w:rPr>
      </w:pPr>
      <w:r w:rsidRPr="000B325E">
        <w:rPr>
          <w:rFonts w:ascii="Arial" w:hAnsi="Arial" w:cs="Arial"/>
          <w:color w:val="262626"/>
        </w:rPr>
        <w:t xml:space="preserve">Los ingresos por </w:t>
      </w:r>
      <w:proofErr w:type="spellStart"/>
      <w:r w:rsidRPr="000B325E">
        <w:rPr>
          <w:rFonts w:ascii="Arial" w:hAnsi="Arial" w:cs="Arial"/>
          <w:color w:val="262626"/>
        </w:rPr>
        <w:t>rentas</w:t>
      </w:r>
      <w:proofErr w:type="spellEnd"/>
      <w:r w:rsidRPr="000B325E">
        <w:rPr>
          <w:rFonts w:ascii="Arial" w:hAnsi="Arial" w:cs="Arial"/>
          <w:color w:val="262626"/>
        </w:rPr>
        <w:t xml:space="preserve"> crecieron un +7% interanual en el 1T26 (104M€) y un +5% en el 1S26 (207M€), con crecimiento </w:t>
      </w:r>
      <w:proofErr w:type="spellStart"/>
      <w:r w:rsidRPr="000B325E">
        <w:rPr>
          <w:rFonts w:ascii="Arial" w:hAnsi="Arial" w:cs="Arial"/>
          <w:color w:val="262626"/>
        </w:rPr>
        <w:t>like-for-like</w:t>
      </w:r>
      <w:proofErr w:type="spellEnd"/>
      <w:r w:rsidRPr="000B325E">
        <w:rPr>
          <w:rFonts w:ascii="Arial" w:hAnsi="Arial" w:cs="Arial"/>
          <w:color w:val="262626"/>
        </w:rPr>
        <w:t xml:space="preserve"> del +4%, superando la indexación en más de 200 puntos básicos. El resultado neto recurrente alcanzó los 111M€ en el semestre (+4%), confirmando la guía de BPA EPRA de 0,34-0,35€ para 2026 y 0,39-0,41€ para 2028. Sin embargo, el beneficio neto consolidado del semestre cayó un -7,6% hasta 230M€, exclusivamente por una menor revalorización contable de activos (126M€ de plusvalía, sin efecto en </w:t>
      </w:r>
      <w:proofErr w:type="gramStart"/>
      <w:r w:rsidRPr="000B325E">
        <w:rPr>
          <w:rFonts w:ascii="Arial" w:hAnsi="Arial" w:cs="Arial"/>
          <w:color w:val="262626"/>
        </w:rPr>
        <w:t>caja</w:t>
      </w:r>
      <w:proofErr w:type="gramEnd"/>
      <w:r w:rsidRPr="000B325E">
        <w:rPr>
          <w:rFonts w:ascii="Arial" w:hAnsi="Arial" w:cs="Arial"/>
          <w:color w:val="262626"/>
        </w:rPr>
        <w:t xml:space="preserve">) frente al año anterior — una distorsión propia de la contabilidad SOCIMI que no afecta al FFO recurrente ni a la capacidad de pago de dividendo. Impacto en la tesis: positivo — el negocio recurrente crece por encima del </w:t>
      </w:r>
      <w:proofErr w:type="spellStart"/>
      <w:r w:rsidRPr="000B325E">
        <w:rPr>
          <w:rFonts w:ascii="Arial" w:hAnsi="Arial" w:cs="Arial"/>
          <w:color w:val="262626"/>
        </w:rPr>
        <w:t>guidance</w:t>
      </w:r>
      <w:proofErr w:type="spellEnd"/>
      <w:r w:rsidRPr="000B325E">
        <w:rPr>
          <w:rFonts w:ascii="Arial" w:hAnsi="Arial" w:cs="Arial"/>
          <w:color w:val="262626"/>
        </w:rPr>
        <w:t>; la caída del beneficio neto es ruido contable, no una señal operativa negativa, aunque puede explicar parte de la reacción tibia del mercado a corto plazo.</w:t>
      </w:r>
    </w:p>
    <w:p w14:paraId="73C58568" w14:textId="77777777" w:rsidR="00214A41" w:rsidRPr="000B325E" w:rsidRDefault="00000000">
      <w:pPr>
        <w:pStyle w:val="Ttulo2"/>
        <w:spacing w:before="300" w:after="120"/>
        <w:rPr>
          <w:rFonts w:ascii="Arial" w:hAnsi="Arial" w:cs="Arial"/>
        </w:rPr>
      </w:pPr>
      <w:r w:rsidRPr="000B325E">
        <w:rPr>
          <w:rFonts w:ascii="Arial" w:hAnsi="Arial" w:cs="Arial"/>
          <w:b/>
          <w:bCs/>
          <w:color w:val="0E2240"/>
          <w:sz w:val="22"/>
          <w:szCs w:val="22"/>
        </w:rPr>
        <w:t>3.3 Actividad comercial: demanda tecnológica y de IA como motor de crecimiento</w:t>
      </w:r>
    </w:p>
    <w:p w14:paraId="7B9BED20" w14:textId="77777777" w:rsidR="00214A41" w:rsidRPr="000B325E" w:rsidRDefault="00000000">
      <w:pPr>
        <w:spacing w:after="160" w:line="276" w:lineRule="auto"/>
        <w:jc w:val="both"/>
        <w:rPr>
          <w:rFonts w:ascii="Arial" w:hAnsi="Arial" w:cs="Arial"/>
        </w:rPr>
      </w:pPr>
      <w:r w:rsidRPr="000B325E">
        <w:rPr>
          <w:rFonts w:ascii="Arial" w:hAnsi="Arial" w:cs="Arial"/>
          <w:color w:val="262626"/>
        </w:rPr>
        <w:t xml:space="preserve">En el 1S26 se firmaron 48 contratos por casi 61.000 m², generando 28M€ de rentas anualizadas adicionales, con las compañías de inteligencia artificial y tecnología representando ya el 30% de la nueva contratación. Los </w:t>
      </w:r>
      <w:proofErr w:type="spellStart"/>
      <w:r w:rsidRPr="000B325E">
        <w:rPr>
          <w:rFonts w:ascii="Arial" w:hAnsi="Arial" w:cs="Arial"/>
          <w:color w:val="262626"/>
        </w:rPr>
        <w:t>release</w:t>
      </w:r>
      <w:proofErr w:type="spellEnd"/>
      <w:r w:rsidRPr="000B325E">
        <w:rPr>
          <w:rFonts w:ascii="Arial" w:hAnsi="Arial" w:cs="Arial"/>
          <w:color w:val="262626"/>
        </w:rPr>
        <w:t xml:space="preserve"> spreads se aceleraron hasta el +7% a nivel de grupo (+18% en París, +26% en renovaciones parisinas, el máximo de los últimos años según la propia dirección). Impacto en la tesis: muy positivo — confirma poder de fijación de precios (</w:t>
      </w:r>
      <w:proofErr w:type="spellStart"/>
      <w:r w:rsidRPr="000B325E">
        <w:rPr>
          <w:rFonts w:ascii="Arial" w:hAnsi="Arial" w:cs="Arial"/>
          <w:color w:val="262626"/>
        </w:rPr>
        <w:t>pricing</w:t>
      </w:r>
      <w:proofErr w:type="spellEnd"/>
      <w:r w:rsidRPr="000B325E">
        <w:rPr>
          <w:rFonts w:ascii="Arial" w:hAnsi="Arial" w:cs="Arial"/>
          <w:color w:val="262626"/>
        </w:rPr>
        <w:t xml:space="preserve"> </w:t>
      </w:r>
      <w:proofErr w:type="spellStart"/>
      <w:r w:rsidRPr="000B325E">
        <w:rPr>
          <w:rFonts w:ascii="Arial" w:hAnsi="Arial" w:cs="Arial"/>
          <w:color w:val="262626"/>
        </w:rPr>
        <w:t>power</w:t>
      </w:r>
      <w:proofErr w:type="spellEnd"/>
      <w:r w:rsidRPr="000B325E">
        <w:rPr>
          <w:rFonts w:ascii="Arial" w:hAnsi="Arial" w:cs="Arial"/>
          <w:color w:val="262626"/>
        </w:rPr>
        <w:t>) en un segmento de mercado (oficinas prime CBD) que se beneficia de la escasez de oferta de calidad, en contraste con el deterioro generalizado que sufre el segmento de oficinas secundarias/periféricas.</w:t>
      </w:r>
    </w:p>
    <w:p w14:paraId="27E4D8B1" w14:textId="77777777" w:rsidR="00214A41" w:rsidRPr="000B325E" w:rsidRDefault="00000000">
      <w:pPr>
        <w:pStyle w:val="Ttulo2"/>
        <w:spacing w:before="300" w:after="120"/>
        <w:rPr>
          <w:rFonts w:ascii="Arial" w:hAnsi="Arial" w:cs="Arial"/>
        </w:rPr>
      </w:pPr>
      <w:r w:rsidRPr="000B325E">
        <w:rPr>
          <w:rFonts w:ascii="Arial" w:hAnsi="Arial" w:cs="Arial"/>
          <w:b/>
          <w:bCs/>
          <w:color w:val="0E2240"/>
          <w:sz w:val="22"/>
          <w:szCs w:val="22"/>
        </w:rPr>
        <w:t xml:space="preserve">3.4 Adquisición de la sede de </w:t>
      </w:r>
      <w:proofErr w:type="spellStart"/>
      <w:r w:rsidRPr="000B325E">
        <w:rPr>
          <w:rFonts w:ascii="Arial" w:hAnsi="Arial" w:cs="Arial"/>
          <w:b/>
          <w:bCs/>
          <w:color w:val="0E2240"/>
          <w:sz w:val="22"/>
          <w:szCs w:val="22"/>
        </w:rPr>
        <w:t>Naturgy</w:t>
      </w:r>
      <w:proofErr w:type="spellEnd"/>
      <w:r w:rsidRPr="000B325E">
        <w:rPr>
          <w:rFonts w:ascii="Arial" w:hAnsi="Arial" w:cs="Arial"/>
          <w:b/>
          <w:bCs/>
          <w:color w:val="0E2240"/>
          <w:sz w:val="22"/>
          <w:szCs w:val="22"/>
        </w:rPr>
        <w:t xml:space="preserve"> en Madrid (diciembre 2025)</w:t>
      </w:r>
    </w:p>
    <w:p w14:paraId="1159BFB7" w14:textId="77777777" w:rsidR="00214A41" w:rsidRPr="000B325E" w:rsidRDefault="00000000">
      <w:pPr>
        <w:spacing w:after="160" w:line="276" w:lineRule="auto"/>
        <w:jc w:val="both"/>
        <w:rPr>
          <w:rFonts w:ascii="Arial" w:hAnsi="Arial" w:cs="Arial"/>
        </w:rPr>
      </w:pPr>
      <w:r w:rsidRPr="000B325E">
        <w:rPr>
          <w:rFonts w:ascii="Arial" w:hAnsi="Arial" w:cs="Arial"/>
          <w:color w:val="262626"/>
        </w:rPr>
        <w:t xml:space="preserve">Colonial, junto a un consorcio de inversores liderado por </w:t>
      </w:r>
      <w:proofErr w:type="spellStart"/>
      <w:r w:rsidRPr="000B325E">
        <w:rPr>
          <w:rFonts w:ascii="Arial" w:hAnsi="Arial" w:cs="Arial"/>
          <w:color w:val="262626"/>
        </w:rPr>
        <w:t>Andbank</w:t>
      </w:r>
      <w:proofErr w:type="spellEnd"/>
      <w:r w:rsidRPr="000B325E">
        <w:rPr>
          <w:rFonts w:ascii="Arial" w:hAnsi="Arial" w:cs="Arial"/>
          <w:color w:val="262626"/>
        </w:rPr>
        <w:t xml:space="preserve">, adquirió la sede corporativa de </w:t>
      </w:r>
      <w:proofErr w:type="spellStart"/>
      <w:r w:rsidRPr="000B325E">
        <w:rPr>
          <w:rFonts w:ascii="Arial" w:hAnsi="Arial" w:cs="Arial"/>
          <w:color w:val="262626"/>
        </w:rPr>
        <w:t>Naturgy</w:t>
      </w:r>
      <w:proofErr w:type="spellEnd"/>
      <w:r w:rsidRPr="000B325E">
        <w:rPr>
          <w:rFonts w:ascii="Arial" w:hAnsi="Arial" w:cs="Arial"/>
          <w:color w:val="262626"/>
        </w:rPr>
        <w:t xml:space="preserve"> en Madrid por más de 80M€. La operación refuerza la estrategia de reciclaje de capital: Colonial rota activos maduros y redespliega capital en operaciones con inquilino ancla de alta calidad crediticia y contratos largos, mejorando el WALT medio de la cartera madrileña. Impacto en la tesis: positivo — evidencia disciplina de asignación de capital y capacidad de originar operaciones off-</w:t>
      </w:r>
      <w:proofErr w:type="spellStart"/>
      <w:r w:rsidRPr="000B325E">
        <w:rPr>
          <w:rFonts w:ascii="Arial" w:hAnsi="Arial" w:cs="Arial"/>
          <w:color w:val="262626"/>
        </w:rPr>
        <w:t>market</w:t>
      </w:r>
      <w:proofErr w:type="spellEnd"/>
      <w:r w:rsidRPr="000B325E">
        <w:rPr>
          <w:rFonts w:ascii="Arial" w:hAnsi="Arial" w:cs="Arial"/>
          <w:color w:val="262626"/>
        </w:rPr>
        <w:t xml:space="preserve"> en el segmento prime.</w:t>
      </w:r>
    </w:p>
    <w:p w14:paraId="3B1C98E9" w14:textId="77777777" w:rsidR="00214A41" w:rsidRPr="000B325E" w:rsidRDefault="00000000">
      <w:pPr>
        <w:pStyle w:val="Ttulo2"/>
        <w:spacing w:before="300" w:after="120"/>
        <w:rPr>
          <w:rFonts w:ascii="Arial" w:hAnsi="Arial" w:cs="Arial"/>
        </w:rPr>
      </w:pPr>
      <w:r w:rsidRPr="000B325E">
        <w:rPr>
          <w:rFonts w:ascii="Arial" w:hAnsi="Arial" w:cs="Arial"/>
          <w:b/>
          <w:bCs/>
          <w:color w:val="0E2240"/>
          <w:sz w:val="22"/>
          <w:szCs w:val="22"/>
        </w:rPr>
        <w:t>3.5 Expansión a Berlín (2026)</w:t>
      </w:r>
    </w:p>
    <w:p w14:paraId="5322FCC8" w14:textId="77777777" w:rsidR="00214A41" w:rsidRPr="000B325E" w:rsidRDefault="00000000">
      <w:pPr>
        <w:spacing w:after="160" w:line="276" w:lineRule="auto"/>
        <w:jc w:val="both"/>
        <w:rPr>
          <w:rFonts w:ascii="Arial" w:hAnsi="Arial" w:cs="Arial"/>
        </w:rPr>
      </w:pPr>
      <w:r w:rsidRPr="000B325E">
        <w:rPr>
          <w:rFonts w:ascii="Arial" w:hAnsi="Arial" w:cs="Arial"/>
          <w:color w:val="262626"/>
        </w:rPr>
        <w:t xml:space="preserve">La compañía ha iniciado su entrada en el mercado alemán mediante la adquisición de un </w:t>
      </w:r>
      <w:proofErr w:type="gramStart"/>
      <w:r w:rsidRPr="000B325E">
        <w:rPr>
          <w:rFonts w:ascii="Arial" w:hAnsi="Arial" w:cs="Arial"/>
          <w:color w:val="262626"/>
        </w:rPr>
        <w:t>portfolio</w:t>
      </w:r>
      <w:proofErr w:type="gramEnd"/>
      <w:r w:rsidRPr="000B325E">
        <w:rPr>
          <w:rFonts w:ascii="Arial" w:hAnsi="Arial" w:cs="Arial"/>
          <w:color w:val="262626"/>
        </w:rPr>
        <w:t xml:space="preserve"> super prime en el CBD de Berlín, con una IRR no apalancada estimada del 8%-9% (ampliable a 9%-10% con reposicionamiento), </w:t>
      </w:r>
      <w:proofErr w:type="spellStart"/>
      <w:r w:rsidRPr="000B325E">
        <w:rPr>
          <w:rFonts w:ascii="Arial" w:hAnsi="Arial" w:cs="Arial"/>
          <w:color w:val="262626"/>
        </w:rPr>
        <w:t>yield</w:t>
      </w:r>
      <w:proofErr w:type="spellEnd"/>
      <w:r w:rsidRPr="000B325E">
        <w:rPr>
          <w:rFonts w:ascii="Arial" w:hAnsi="Arial" w:cs="Arial"/>
          <w:color w:val="262626"/>
        </w:rPr>
        <w:t xml:space="preserve"> inicial del 4,8% y ocupación superior al 90% en el momento de la compra. Impacto en la tesis: positivo con matices — diversifica geográficamente la cartera y añade opcionalidad de crecimiento, pero introduce riesgo de ejecución en un mercado nuevo para el equipo gestor, en un momento en que el mercado de oficinas alemán todavía atraviesa su propio proceso de ajuste de valoraciones.</w:t>
      </w:r>
    </w:p>
    <w:p w14:paraId="00487235" w14:textId="77777777" w:rsidR="00214A41" w:rsidRPr="000B325E" w:rsidRDefault="00000000">
      <w:pPr>
        <w:pStyle w:val="Ttulo2"/>
        <w:spacing w:before="300" w:after="120"/>
        <w:rPr>
          <w:rFonts w:ascii="Arial" w:hAnsi="Arial" w:cs="Arial"/>
        </w:rPr>
      </w:pPr>
      <w:r w:rsidRPr="000B325E">
        <w:rPr>
          <w:rFonts w:ascii="Arial" w:hAnsi="Arial" w:cs="Arial"/>
          <w:b/>
          <w:bCs/>
          <w:color w:val="0E2240"/>
          <w:sz w:val="22"/>
          <w:szCs w:val="22"/>
        </w:rPr>
        <w:t>3.6 Emisión de bono verde a 3,875% (marzo 2026) — la señal de alerta más relevante</w:t>
      </w:r>
    </w:p>
    <w:p w14:paraId="7651FDCB" w14:textId="77777777" w:rsidR="00214A41" w:rsidRPr="000B325E" w:rsidRDefault="00000000">
      <w:pPr>
        <w:spacing w:after="160" w:line="276" w:lineRule="auto"/>
        <w:jc w:val="both"/>
        <w:rPr>
          <w:rFonts w:ascii="Arial" w:hAnsi="Arial" w:cs="Arial"/>
        </w:rPr>
      </w:pPr>
      <w:r w:rsidRPr="000B325E">
        <w:rPr>
          <w:rFonts w:ascii="Arial" w:hAnsi="Arial" w:cs="Arial"/>
          <w:color w:val="262626"/>
        </w:rPr>
        <w:lastRenderedPageBreak/>
        <w:t>Colonial colocó 500M€ en bonos verdes a 6 años con cupón fijo del 3,875% (frente a un coste medio de la deuda del grupo del 1,92%-1,99%). Aunque la operación se ejecutó con éxito y refuerza la liquidez (que ya supera los 2.500M€ y cubre vencimientos hasta 2029), el diferencial entre el coste marginal y el coste medio histórico es la métrica más importante para vigilar en los próximos trimestres: cada refinanciación futura a niveles similares comprimirá el FFO por acción. Impacto en la tesis: negativo — es el principal argumento de la contra-tesis y el motivo por el que mantenemos el precio objetivo en un rango conservador pese al elevado descuento sobre NAV.</w:t>
      </w:r>
    </w:p>
    <w:p w14:paraId="42824AD6" w14:textId="77777777" w:rsidR="00214A41" w:rsidRPr="000B325E" w:rsidRDefault="00000000">
      <w:pPr>
        <w:pStyle w:val="Ttulo2"/>
        <w:spacing w:before="300" w:after="120"/>
        <w:rPr>
          <w:rFonts w:ascii="Arial" w:hAnsi="Arial" w:cs="Arial"/>
        </w:rPr>
      </w:pPr>
      <w:r w:rsidRPr="000B325E">
        <w:rPr>
          <w:rFonts w:ascii="Arial" w:hAnsi="Arial" w:cs="Arial"/>
          <w:b/>
          <w:bCs/>
          <w:color w:val="0E2240"/>
          <w:sz w:val="22"/>
          <w:szCs w:val="22"/>
        </w:rPr>
        <w:t>3.7 Recompra de acciones y remuneración al accionista</w:t>
      </w:r>
    </w:p>
    <w:p w14:paraId="1B7DBFCC" w14:textId="77777777" w:rsidR="00214A41" w:rsidRPr="000B325E" w:rsidRDefault="00000000">
      <w:pPr>
        <w:spacing w:after="160" w:line="276" w:lineRule="auto"/>
        <w:jc w:val="both"/>
        <w:rPr>
          <w:rFonts w:ascii="Arial" w:hAnsi="Arial" w:cs="Arial"/>
        </w:rPr>
      </w:pPr>
      <w:r w:rsidRPr="000B325E">
        <w:rPr>
          <w:rFonts w:ascii="Arial" w:hAnsi="Arial" w:cs="Arial"/>
          <w:color w:val="262626"/>
        </w:rPr>
        <w:t>La Junta General de junio de 2026 aprobó una reducción de capital de 36,25M€ (vía amortización de autocartera) y un programa de recompra de hasta 50M€ (~1,4% del capital), junto con una subida del dividendo a 0,32€/acción (</w:t>
      </w:r>
      <w:proofErr w:type="spellStart"/>
      <w:r w:rsidRPr="000B325E">
        <w:rPr>
          <w:rFonts w:ascii="Arial" w:hAnsi="Arial" w:cs="Arial"/>
          <w:color w:val="262626"/>
        </w:rPr>
        <w:t>yield</w:t>
      </w:r>
      <w:proofErr w:type="spellEnd"/>
      <w:r w:rsidRPr="000B325E">
        <w:rPr>
          <w:rFonts w:ascii="Arial" w:hAnsi="Arial" w:cs="Arial"/>
          <w:color w:val="262626"/>
        </w:rPr>
        <w:t xml:space="preserve"> ~5,9%-6,2% a precios actuales). Impacto en la tesis: positivo — comprar autocartera con un descuento del 45% sobre NTA es, en términos de creación de valor por acción, más eficiente que cualquier inversión alternativa disponible para la compañía </w:t>
      </w:r>
      <w:proofErr w:type="gramStart"/>
      <w:r w:rsidRPr="000B325E">
        <w:rPr>
          <w:rFonts w:ascii="Arial" w:hAnsi="Arial" w:cs="Arial"/>
          <w:color w:val="262626"/>
        </w:rPr>
        <w:t>a día de hoy</w:t>
      </w:r>
      <w:proofErr w:type="gramEnd"/>
      <w:r w:rsidRPr="000B325E">
        <w:rPr>
          <w:rFonts w:ascii="Arial" w:hAnsi="Arial" w:cs="Arial"/>
          <w:color w:val="262626"/>
        </w:rPr>
        <w:t>; es una señal de confianza de la dirección en la infravaloración del valor.</w:t>
      </w:r>
    </w:p>
    <w:p w14:paraId="4233B699" w14:textId="77777777" w:rsidR="00214A41" w:rsidRPr="000B325E" w:rsidRDefault="00000000">
      <w:pPr>
        <w:pStyle w:val="Ttulo2"/>
        <w:spacing w:before="300" w:after="120"/>
        <w:rPr>
          <w:rFonts w:ascii="Arial" w:hAnsi="Arial" w:cs="Arial"/>
        </w:rPr>
      </w:pPr>
      <w:r w:rsidRPr="000B325E">
        <w:rPr>
          <w:rFonts w:ascii="Arial" w:hAnsi="Arial" w:cs="Arial"/>
          <w:b/>
          <w:bCs/>
          <w:color w:val="0E2240"/>
          <w:sz w:val="22"/>
          <w:szCs w:val="22"/>
        </w:rPr>
        <w:t>3.8 Flujo de recomendaciones de analistas (2026)</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500"/>
        <w:gridCol w:w="3200"/>
        <w:gridCol w:w="1750"/>
      </w:tblGrid>
      <w:tr w:rsidR="00214A41" w:rsidRPr="000B325E" w14:paraId="25A40F61" w14:textId="77777777">
        <w:tblPrEx>
          <w:tblCellMar>
            <w:top w:w="0" w:type="dxa"/>
            <w:bottom w:w="0" w:type="dxa"/>
          </w:tblCellMar>
        </w:tblPrEx>
        <w:trPr>
          <w:tblHeader/>
        </w:trPr>
        <w:tc>
          <w:tcPr>
            <w:tcW w:w="1900" w:type="dxa"/>
            <w:shd w:val="clear" w:color="auto" w:fill="1F3864"/>
            <w:tcMar>
              <w:top w:w="100" w:type="dxa"/>
              <w:left w:w="120" w:type="dxa"/>
              <w:bottom w:w="100" w:type="dxa"/>
              <w:right w:w="120" w:type="dxa"/>
            </w:tcMar>
            <w:vAlign w:val="center"/>
          </w:tcPr>
          <w:p w14:paraId="54F0DBFB" w14:textId="77777777" w:rsidR="00214A41" w:rsidRPr="000B325E" w:rsidRDefault="00000000">
            <w:pPr>
              <w:rPr>
                <w:rFonts w:ascii="Arial" w:hAnsi="Arial" w:cs="Arial"/>
              </w:rPr>
            </w:pPr>
            <w:r w:rsidRPr="000B325E">
              <w:rPr>
                <w:rFonts w:ascii="Arial" w:hAnsi="Arial" w:cs="Arial"/>
                <w:b/>
                <w:bCs/>
                <w:color w:val="FFFFFF"/>
                <w:sz w:val="18"/>
                <w:szCs w:val="18"/>
              </w:rPr>
              <w:t>Fecha</w:t>
            </w:r>
          </w:p>
        </w:tc>
        <w:tc>
          <w:tcPr>
            <w:tcW w:w="2500" w:type="dxa"/>
            <w:shd w:val="clear" w:color="auto" w:fill="1F3864"/>
            <w:tcMar>
              <w:top w:w="100" w:type="dxa"/>
              <w:left w:w="120" w:type="dxa"/>
              <w:bottom w:w="100" w:type="dxa"/>
              <w:right w:w="120" w:type="dxa"/>
            </w:tcMar>
            <w:vAlign w:val="center"/>
          </w:tcPr>
          <w:p w14:paraId="37340234" w14:textId="77777777" w:rsidR="00214A41" w:rsidRPr="000B325E" w:rsidRDefault="00000000">
            <w:pPr>
              <w:rPr>
                <w:rFonts w:ascii="Arial" w:hAnsi="Arial" w:cs="Arial"/>
              </w:rPr>
            </w:pPr>
            <w:proofErr w:type="spellStart"/>
            <w:r w:rsidRPr="000B325E">
              <w:rPr>
                <w:rFonts w:ascii="Arial" w:hAnsi="Arial" w:cs="Arial"/>
                <w:b/>
                <w:bCs/>
                <w:color w:val="FFFFFF"/>
                <w:sz w:val="18"/>
                <w:szCs w:val="18"/>
              </w:rPr>
              <w:t>Broker</w:t>
            </w:r>
            <w:proofErr w:type="spellEnd"/>
          </w:p>
        </w:tc>
        <w:tc>
          <w:tcPr>
            <w:tcW w:w="3200" w:type="dxa"/>
            <w:shd w:val="clear" w:color="auto" w:fill="1F3864"/>
            <w:tcMar>
              <w:top w:w="100" w:type="dxa"/>
              <w:left w:w="120" w:type="dxa"/>
              <w:bottom w:w="100" w:type="dxa"/>
              <w:right w:w="120" w:type="dxa"/>
            </w:tcMar>
            <w:vAlign w:val="center"/>
          </w:tcPr>
          <w:p w14:paraId="61454C72" w14:textId="77777777" w:rsidR="00214A41" w:rsidRPr="000B325E" w:rsidRDefault="00000000">
            <w:pPr>
              <w:rPr>
                <w:rFonts w:ascii="Arial" w:hAnsi="Arial" w:cs="Arial"/>
              </w:rPr>
            </w:pPr>
            <w:r w:rsidRPr="000B325E">
              <w:rPr>
                <w:rFonts w:ascii="Arial" w:hAnsi="Arial" w:cs="Arial"/>
                <w:b/>
                <w:bCs/>
                <w:color w:val="FFFFFF"/>
                <w:sz w:val="18"/>
                <w:szCs w:val="18"/>
              </w:rPr>
              <w:t>Recomendación</w:t>
            </w:r>
          </w:p>
        </w:tc>
        <w:tc>
          <w:tcPr>
            <w:tcW w:w="1750" w:type="dxa"/>
            <w:shd w:val="clear" w:color="auto" w:fill="1F3864"/>
            <w:tcMar>
              <w:top w:w="100" w:type="dxa"/>
              <w:left w:w="120" w:type="dxa"/>
              <w:bottom w:w="100" w:type="dxa"/>
              <w:right w:w="120" w:type="dxa"/>
            </w:tcMar>
            <w:vAlign w:val="center"/>
          </w:tcPr>
          <w:p w14:paraId="3A929D29" w14:textId="77777777" w:rsidR="00214A41" w:rsidRPr="000B325E" w:rsidRDefault="00000000">
            <w:pPr>
              <w:rPr>
                <w:rFonts w:ascii="Arial" w:hAnsi="Arial" w:cs="Arial"/>
              </w:rPr>
            </w:pPr>
            <w:r w:rsidRPr="000B325E">
              <w:rPr>
                <w:rFonts w:ascii="Arial" w:hAnsi="Arial" w:cs="Arial"/>
                <w:b/>
                <w:bCs/>
                <w:color w:val="FFFFFF"/>
                <w:sz w:val="18"/>
                <w:szCs w:val="18"/>
              </w:rPr>
              <w:t>Precio Objetivo</w:t>
            </w:r>
          </w:p>
        </w:tc>
      </w:tr>
      <w:tr w:rsidR="00214A41" w:rsidRPr="000B325E" w14:paraId="026BD683" w14:textId="77777777">
        <w:tblPrEx>
          <w:tblCellMar>
            <w:top w:w="0" w:type="dxa"/>
            <w:bottom w:w="0" w:type="dxa"/>
          </w:tblCellMar>
        </w:tblPrEx>
        <w:tc>
          <w:tcPr>
            <w:tcW w:w="1900" w:type="dxa"/>
            <w:tcMar>
              <w:top w:w="90" w:type="dxa"/>
              <w:left w:w="120" w:type="dxa"/>
              <w:bottom w:w="90" w:type="dxa"/>
              <w:right w:w="120" w:type="dxa"/>
            </w:tcMar>
            <w:vAlign w:val="center"/>
          </w:tcPr>
          <w:p w14:paraId="21EEBBC8" w14:textId="77777777" w:rsidR="00214A41" w:rsidRPr="000B325E" w:rsidRDefault="00000000">
            <w:pPr>
              <w:rPr>
                <w:rFonts w:ascii="Arial" w:hAnsi="Arial" w:cs="Arial"/>
              </w:rPr>
            </w:pPr>
            <w:r w:rsidRPr="000B325E">
              <w:rPr>
                <w:rFonts w:ascii="Arial" w:hAnsi="Arial" w:cs="Arial"/>
                <w:color w:val="262626"/>
                <w:sz w:val="18"/>
                <w:szCs w:val="18"/>
              </w:rPr>
              <w:t>30/07/2026</w:t>
            </w:r>
          </w:p>
        </w:tc>
        <w:tc>
          <w:tcPr>
            <w:tcW w:w="2500" w:type="dxa"/>
            <w:tcMar>
              <w:top w:w="90" w:type="dxa"/>
              <w:left w:w="120" w:type="dxa"/>
              <w:bottom w:w="90" w:type="dxa"/>
              <w:right w:w="120" w:type="dxa"/>
            </w:tcMar>
            <w:vAlign w:val="center"/>
          </w:tcPr>
          <w:p w14:paraId="5EA69C54" w14:textId="77777777" w:rsidR="00214A41" w:rsidRPr="000B325E" w:rsidRDefault="00000000">
            <w:pPr>
              <w:rPr>
                <w:rFonts w:ascii="Arial" w:hAnsi="Arial" w:cs="Arial"/>
              </w:rPr>
            </w:pPr>
            <w:r w:rsidRPr="000B325E">
              <w:rPr>
                <w:rFonts w:ascii="Arial" w:hAnsi="Arial" w:cs="Arial"/>
                <w:color w:val="262626"/>
                <w:sz w:val="18"/>
                <w:szCs w:val="18"/>
              </w:rPr>
              <w:t>Citi</w:t>
            </w:r>
          </w:p>
        </w:tc>
        <w:tc>
          <w:tcPr>
            <w:tcW w:w="3200" w:type="dxa"/>
            <w:tcMar>
              <w:top w:w="90" w:type="dxa"/>
              <w:left w:w="120" w:type="dxa"/>
              <w:bottom w:w="90" w:type="dxa"/>
              <w:right w:w="120" w:type="dxa"/>
            </w:tcMar>
            <w:vAlign w:val="center"/>
          </w:tcPr>
          <w:p w14:paraId="38C836F4" w14:textId="77777777" w:rsidR="00214A41" w:rsidRPr="000B325E" w:rsidRDefault="00000000">
            <w:pPr>
              <w:rPr>
                <w:rFonts w:ascii="Arial" w:hAnsi="Arial" w:cs="Arial"/>
              </w:rPr>
            </w:pPr>
            <w:r w:rsidRPr="000B325E">
              <w:rPr>
                <w:rFonts w:ascii="Arial" w:hAnsi="Arial" w:cs="Arial"/>
                <w:color w:val="262626"/>
                <w:sz w:val="18"/>
                <w:szCs w:val="18"/>
              </w:rPr>
              <w:t>COMPRAR (al alza desde Neutral)</w:t>
            </w:r>
          </w:p>
        </w:tc>
        <w:tc>
          <w:tcPr>
            <w:tcW w:w="1750" w:type="dxa"/>
            <w:tcMar>
              <w:top w:w="90" w:type="dxa"/>
              <w:left w:w="120" w:type="dxa"/>
              <w:bottom w:w="90" w:type="dxa"/>
              <w:right w:w="120" w:type="dxa"/>
            </w:tcMar>
            <w:vAlign w:val="center"/>
          </w:tcPr>
          <w:p w14:paraId="73F112D1" w14:textId="77777777" w:rsidR="00214A41" w:rsidRPr="000B325E" w:rsidRDefault="00000000">
            <w:pPr>
              <w:rPr>
                <w:rFonts w:ascii="Arial" w:hAnsi="Arial" w:cs="Arial"/>
              </w:rPr>
            </w:pPr>
            <w:r w:rsidRPr="000B325E">
              <w:rPr>
                <w:rFonts w:ascii="Arial" w:hAnsi="Arial" w:cs="Arial"/>
                <w:color w:val="262626"/>
                <w:sz w:val="18"/>
                <w:szCs w:val="18"/>
              </w:rPr>
              <w:t>7,25 €</w:t>
            </w:r>
          </w:p>
        </w:tc>
      </w:tr>
      <w:tr w:rsidR="00214A41" w:rsidRPr="000B325E" w14:paraId="6A84D3FC" w14:textId="77777777">
        <w:tblPrEx>
          <w:tblCellMar>
            <w:top w:w="0" w:type="dxa"/>
            <w:bottom w:w="0" w:type="dxa"/>
          </w:tblCellMar>
        </w:tblPrEx>
        <w:tc>
          <w:tcPr>
            <w:tcW w:w="1900" w:type="dxa"/>
            <w:shd w:val="clear" w:color="auto" w:fill="F2F2F2"/>
            <w:tcMar>
              <w:top w:w="90" w:type="dxa"/>
              <w:left w:w="120" w:type="dxa"/>
              <w:bottom w:w="90" w:type="dxa"/>
              <w:right w:w="120" w:type="dxa"/>
            </w:tcMar>
            <w:vAlign w:val="center"/>
          </w:tcPr>
          <w:p w14:paraId="7E11195B" w14:textId="77777777" w:rsidR="00214A41" w:rsidRPr="000B325E" w:rsidRDefault="00000000">
            <w:pPr>
              <w:rPr>
                <w:rFonts w:ascii="Arial" w:hAnsi="Arial" w:cs="Arial"/>
              </w:rPr>
            </w:pPr>
            <w:r w:rsidRPr="000B325E">
              <w:rPr>
                <w:rFonts w:ascii="Arial" w:hAnsi="Arial" w:cs="Arial"/>
                <w:color w:val="262626"/>
                <w:sz w:val="18"/>
                <w:szCs w:val="18"/>
              </w:rPr>
              <w:t>Jul/</w:t>
            </w:r>
            <w:proofErr w:type="spellStart"/>
            <w:r w:rsidRPr="000B325E">
              <w:rPr>
                <w:rFonts w:ascii="Arial" w:hAnsi="Arial" w:cs="Arial"/>
                <w:color w:val="262626"/>
                <w:sz w:val="18"/>
                <w:szCs w:val="18"/>
              </w:rPr>
              <w:t>Ago</w:t>
            </w:r>
            <w:proofErr w:type="spellEnd"/>
            <w:r w:rsidRPr="000B325E">
              <w:rPr>
                <w:rFonts w:ascii="Arial" w:hAnsi="Arial" w:cs="Arial"/>
                <w:color w:val="262626"/>
                <w:sz w:val="18"/>
                <w:szCs w:val="18"/>
              </w:rPr>
              <w:t xml:space="preserve"> 2026</w:t>
            </w:r>
          </w:p>
        </w:tc>
        <w:tc>
          <w:tcPr>
            <w:tcW w:w="2500" w:type="dxa"/>
            <w:shd w:val="clear" w:color="auto" w:fill="F2F2F2"/>
            <w:tcMar>
              <w:top w:w="90" w:type="dxa"/>
              <w:left w:w="120" w:type="dxa"/>
              <w:bottom w:w="90" w:type="dxa"/>
              <w:right w:w="120" w:type="dxa"/>
            </w:tcMar>
            <w:vAlign w:val="center"/>
          </w:tcPr>
          <w:p w14:paraId="7106B9FC" w14:textId="77777777" w:rsidR="00214A41" w:rsidRPr="000B325E" w:rsidRDefault="00000000">
            <w:pPr>
              <w:rPr>
                <w:rFonts w:ascii="Arial" w:hAnsi="Arial" w:cs="Arial"/>
              </w:rPr>
            </w:pPr>
            <w:r w:rsidRPr="000B325E">
              <w:rPr>
                <w:rFonts w:ascii="Arial" w:hAnsi="Arial" w:cs="Arial"/>
                <w:color w:val="262626"/>
                <w:sz w:val="18"/>
                <w:szCs w:val="18"/>
              </w:rPr>
              <w:t>Renta 4</w:t>
            </w:r>
          </w:p>
        </w:tc>
        <w:tc>
          <w:tcPr>
            <w:tcW w:w="3200" w:type="dxa"/>
            <w:shd w:val="clear" w:color="auto" w:fill="F2F2F2"/>
            <w:tcMar>
              <w:top w:w="90" w:type="dxa"/>
              <w:left w:w="120" w:type="dxa"/>
              <w:bottom w:w="90" w:type="dxa"/>
              <w:right w:w="120" w:type="dxa"/>
            </w:tcMar>
            <w:vAlign w:val="center"/>
          </w:tcPr>
          <w:p w14:paraId="2A19E7F8" w14:textId="77777777" w:rsidR="00214A41" w:rsidRPr="000B325E" w:rsidRDefault="00000000">
            <w:pPr>
              <w:rPr>
                <w:rFonts w:ascii="Arial" w:hAnsi="Arial" w:cs="Arial"/>
              </w:rPr>
            </w:pPr>
            <w:r w:rsidRPr="000B325E">
              <w:rPr>
                <w:rFonts w:ascii="Arial" w:hAnsi="Arial" w:cs="Arial"/>
                <w:color w:val="262626"/>
                <w:sz w:val="18"/>
                <w:szCs w:val="18"/>
              </w:rPr>
              <w:t>SOBREPONDERAR (reiterada)</w:t>
            </w:r>
          </w:p>
        </w:tc>
        <w:tc>
          <w:tcPr>
            <w:tcW w:w="1750" w:type="dxa"/>
            <w:shd w:val="clear" w:color="auto" w:fill="F2F2F2"/>
            <w:tcMar>
              <w:top w:w="90" w:type="dxa"/>
              <w:left w:w="120" w:type="dxa"/>
              <w:bottom w:w="90" w:type="dxa"/>
              <w:right w:w="120" w:type="dxa"/>
            </w:tcMar>
            <w:vAlign w:val="center"/>
          </w:tcPr>
          <w:p w14:paraId="3EE4CC77" w14:textId="77777777" w:rsidR="00214A41" w:rsidRPr="000B325E" w:rsidRDefault="00000000">
            <w:pPr>
              <w:rPr>
                <w:rFonts w:ascii="Arial" w:hAnsi="Arial" w:cs="Arial"/>
              </w:rPr>
            </w:pPr>
            <w:r w:rsidRPr="000B325E">
              <w:rPr>
                <w:rFonts w:ascii="Arial" w:hAnsi="Arial" w:cs="Arial"/>
                <w:color w:val="262626"/>
                <w:sz w:val="18"/>
                <w:szCs w:val="18"/>
              </w:rPr>
              <w:t>8,30 €</w:t>
            </w:r>
          </w:p>
        </w:tc>
      </w:tr>
      <w:tr w:rsidR="00214A41" w:rsidRPr="000B325E" w14:paraId="3F324689" w14:textId="77777777">
        <w:tblPrEx>
          <w:tblCellMar>
            <w:top w:w="0" w:type="dxa"/>
            <w:bottom w:w="0" w:type="dxa"/>
          </w:tblCellMar>
        </w:tblPrEx>
        <w:tc>
          <w:tcPr>
            <w:tcW w:w="1900" w:type="dxa"/>
            <w:tcMar>
              <w:top w:w="90" w:type="dxa"/>
              <w:left w:w="120" w:type="dxa"/>
              <w:bottom w:w="90" w:type="dxa"/>
              <w:right w:w="120" w:type="dxa"/>
            </w:tcMar>
            <w:vAlign w:val="center"/>
          </w:tcPr>
          <w:p w14:paraId="04C553D3" w14:textId="77777777" w:rsidR="00214A41" w:rsidRPr="000B325E" w:rsidRDefault="00000000">
            <w:pPr>
              <w:rPr>
                <w:rFonts w:ascii="Arial" w:hAnsi="Arial" w:cs="Arial"/>
              </w:rPr>
            </w:pPr>
            <w:r w:rsidRPr="000B325E">
              <w:rPr>
                <w:rFonts w:ascii="Arial" w:hAnsi="Arial" w:cs="Arial"/>
                <w:color w:val="262626"/>
                <w:sz w:val="18"/>
                <w:szCs w:val="18"/>
              </w:rPr>
              <w:t>08/06/2026</w:t>
            </w:r>
          </w:p>
        </w:tc>
        <w:tc>
          <w:tcPr>
            <w:tcW w:w="2500" w:type="dxa"/>
            <w:tcMar>
              <w:top w:w="90" w:type="dxa"/>
              <w:left w:w="120" w:type="dxa"/>
              <w:bottom w:w="90" w:type="dxa"/>
              <w:right w:w="120" w:type="dxa"/>
            </w:tcMar>
            <w:vAlign w:val="center"/>
          </w:tcPr>
          <w:p w14:paraId="212D80FF" w14:textId="77777777" w:rsidR="00214A41" w:rsidRPr="000B325E" w:rsidRDefault="00000000">
            <w:pPr>
              <w:rPr>
                <w:rFonts w:ascii="Arial" w:hAnsi="Arial" w:cs="Arial"/>
              </w:rPr>
            </w:pPr>
            <w:r w:rsidRPr="000B325E">
              <w:rPr>
                <w:rFonts w:ascii="Arial" w:hAnsi="Arial" w:cs="Arial"/>
                <w:color w:val="262626"/>
                <w:sz w:val="18"/>
                <w:szCs w:val="18"/>
              </w:rPr>
              <w:t>Deutsche Bank</w:t>
            </w:r>
          </w:p>
        </w:tc>
        <w:tc>
          <w:tcPr>
            <w:tcW w:w="3200" w:type="dxa"/>
            <w:tcMar>
              <w:top w:w="90" w:type="dxa"/>
              <w:left w:w="120" w:type="dxa"/>
              <w:bottom w:w="90" w:type="dxa"/>
              <w:right w:w="120" w:type="dxa"/>
            </w:tcMar>
            <w:vAlign w:val="center"/>
          </w:tcPr>
          <w:p w14:paraId="69BA8B14" w14:textId="77777777" w:rsidR="00214A41" w:rsidRPr="000B325E" w:rsidRDefault="00000000">
            <w:pPr>
              <w:rPr>
                <w:rFonts w:ascii="Arial" w:hAnsi="Arial" w:cs="Arial"/>
              </w:rPr>
            </w:pPr>
            <w:r w:rsidRPr="000B325E">
              <w:rPr>
                <w:rFonts w:ascii="Arial" w:hAnsi="Arial" w:cs="Arial"/>
                <w:color w:val="262626"/>
                <w:sz w:val="18"/>
                <w:szCs w:val="18"/>
              </w:rPr>
              <w:t>MANTENER</w:t>
            </w:r>
          </w:p>
        </w:tc>
        <w:tc>
          <w:tcPr>
            <w:tcW w:w="1750" w:type="dxa"/>
            <w:tcMar>
              <w:top w:w="90" w:type="dxa"/>
              <w:left w:w="120" w:type="dxa"/>
              <w:bottom w:w="90" w:type="dxa"/>
              <w:right w:w="120" w:type="dxa"/>
            </w:tcMar>
            <w:vAlign w:val="center"/>
          </w:tcPr>
          <w:p w14:paraId="3476734E" w14:textId="77777777" w:rsidR="00214A41" w:rsidRPr="000B325E" w:rsidRDefault="00000000">
            <w:pPr>
              <w:rPr>
                <w:rFonts w:ascii="Arial" w:hAnsi="Arial" w:cs="Arial"/>
              </w:rPr>
            </w:pPr>
            <w:r w:rsidRPr="000B325E">
              <w:rPr>
                <w:rFonts w:ascii="Arial" w:hAnsi="Arial" w:cs="Arial"/>
                <w:color w:val="262626"/>
                <w:sz w:val="18"/>
                <w:szCs w:val="18"/>
              </w:rPr>
              <w:t>6,00 €</w:t>
            </w:r>
          </w:p>
        </w:tc>
      </w:tr>
      <w:tr w:rsidR="00214A41" w:rsidRPr="000B325E" w14:paraId="436B0AF3" w14:textId="77777777">
        <w:tblPrEx>
          <w:tblCellMar>
            <w:top w:w="0" w:type="dxa"/>
            <w:bottom w:w="0" w:type="dxa"/>
          </w:tblCellMar>
        </w:tblPrEx>
        <w:tc>
          <w:tcPr>
            <w:tcW w:w="1900" w:type="dxa"/>
            <w:shd w:val="clear" w:color="auto" w:fill="F2F2F2"/>
            <w:tcMar>
              <w:top w:w="90" w:type="dxa"/>
              <w:left w:w="120" w:type="dxa"/>
              <w:bottom w:w="90" w:type="dxa"/>
              <w:right w:w="120" w:type="dxa"/>
            </w:tcMar>
            <w:vAlign w:val="center"/>
          </w:tcPr>
          <w:p w14:paraId="06C8CF63" w14:textId="77777777" w:rsidR="00214A41" w:rsidRPr="000B325E" w:rsidRDefault="00000000">
            <w:pPr>
              <w:rPr>
                <w:rFonts w:ascii="Arial" w:hAnsi="Arial" w:cs="Arial"/>
              </w:rPr>
            </w:pPr>
            <w:r w:rsidRPr="000B325E">
              <w:rPr>
                <w:rFonts w:ascii="Arial" w:hAnsi="Arial" w:cs="Arial"/>
                <w:color w:val="262626"/>
                <w:sz w:val="18"/>
                <w:szCs w:val="18"/>
              </w:rPr>
              <w:t>27/03/2026</w:t>
            </w:r>
          </w:p>
        </w:tc>
        <w:tc>
          <w:tcPr>
            <w:tcW w:w="2500" w:type="dxa"/>
            <w:shd w:val="clear" w:color="auto" w:fill="F2F2F2"/>
            <w:tcMar>
              <w:top w:w="90" w:type="dxa"/>
              <w:left w:w="120" w:type="dxa"/>
              <w:bottom w:w="90" w:type="dxa"/>
              <w:right w:w="120" w:type="dxa"/>
            </w:tcMar>
            <w:vAlign w:val="center"/>
          </w:tcPr>
          <w:p w14:paraId="60C8C5BB" w14:textId="77777777" w:rsidR="00214A41" w:rsidRPr="000B325E" w:rsidRDefault="00000000">
            <w:pPr>
              <w:rPr>
                <w:rFonts w:ascii="Arial" w:hAnsi="Arial" w:cs="Arial"/>
              </w:rPr>
            </w:pPr>
            <w:proofErr w:type="spellStart"/>
            <w:r w:rsidRPr="000B325E">
              <w:rPr>
                <w:rFonts w:ascii="Arial" w:hAnsi="Arial" w:cs="Arial"/>
                <w:color w:val="262626"/>
                <w:sz w:val="18"/>
                <w:szCs w:val="18"/>
              </w:rPr>
              <w:t>Jefferies</w:t>
            </w:r>
            <w:proofErr w:type="spellEnd"/>
          </w:p>
        </w:tc>
        <w:tc>
          <w:tcPr>
            <w:tcW w:w="3200" w:type="dxa"/>
            <w:shd w:val="clear" w:color="auto" w:fill="F2F2F2"/>
            <w:tcMar>
              <w:top w:w="90" w:type="dxa"/>
              <w:left w:w="120" w:type="dxa"/>
              <w:bottom w:w="90" w:type="dxa"/>
              <w:right w:w="120" w:type="dxa"/>
            </w:tcMar>
            <w:vAlign w:val="center"/>
          </w:tcPr>
          <w:p w14:paraId="11567CB0" w14:textId="77777777" w:rsidR="00214A41" w:rsidRPr="000B325E" w:rsidRDefault="00000000">
            <w:pPr>
              <w:rPr>
                <w:rFonts w:ascii="Arial" w:hAnsi="Arial" w:cs="Arial"/>
              </w:rPr>
            </w:pPr>
            <w:r w:rsidRPr="000B325E">
              <w:rPr>
                <w:rFonts w:ascii="Arial" w:hAnsi="Arial" w:cs="Arial"/>
                <w:color w:val="262626"/>
                <w:sz w:val="18"/>
                <w:szCs w:val="18"/>
              </w:rPr>
              <w:t>MANTENER (con dudas sobre generación de caja)</w:t>
            </w:r>
          </w:p>
        </w:tc>
        <w:tc>
          <w:tcPr>
            <w:tcW w:w="1750" w:type="dxa"/>
            <w:shd w:val="clear" w:color="auto" w:fill="F2F2F2"/>
            <w:tcMar>
              <w:top w:w="90" w:type="dxa"/>
              <w:left w:w="120" w:type="dxa"/>
              <w:bottom w:w="90" w:type="dxa"/>
              <w:right w:w="120" w:type="dxa"/>
            </w:tcMar>
            <w:vAlign w:val="center"/>
          </w:tcPr>
          <w:p w14:paraId="3DFA390A" w14:textId="77777777" w:rsidR="00214A41" w:rsidRPr="000B325E" w:rsidRDefault="00000000">
            <w:pPr>
              <w:rPr>
                <w:rFonts w:ascii="Arial" w:hAnsi="Arial" w:cs="Arial"/>
              </w:rPr>
            </w:pPr>
            <w:r w:rsidRPr="000B325E">
              <w:rPr>
                <w:rFonts w:ascii="Arial" w:hAnsi="Arial" w:cs="Arial"/>
                <w:color w:val="262626"/>
                <w:sz w:val="18"/>
                <w:szCs w:val="18"/>
              </w:rPr>
              <w:t>5,50 €</w:t>
            </w:r>
          </w:p>
        </w:tc>
      </w:tr>
      <w:tr w:rsidR="00214A41" w:rsidRPr="000B325E" w14:paraId="2A90EE6C" w14:textId="77777777">
        <w:tblPrEx>
          <w:tblCellMar>
            <w:top w:w="0" w:type="dxa"/>
            <w:bottom w:w="0" w:type="dxa"/>
          </w:tblCellMar>
        </w:tblPrEx>
        <w:tc>
          <w:tcPr>
            <w:tcW w:w="1900" w:type="dxa"/>
            <w:tcMar>
              <w:top w:w="90" w:type="dxa"/>
              <w:left w:w="120" w:type="dxa"/>
              <w:bottom w:w="90" w:type="dxa"/>
              <w:right w:w="120" w:type="dxa"/>
            </w:tcMar>
            <w:vAlign w:val="center"/>
          </w:tcPr>
          <w:p w14:paraId="7C8FEFB4" w14:textId="77777777" w:rsidR="00214A41" w:rsidRPr="000B325E" w:rsidRDefault="00000000">
            <w:pPr>
              <w:rPr>
                <w:rFonts w:ascii="Arial" w:hAnsi="Arial" w:cs="Arial"/>
              </w:rPr>
            </w:pPr>
            <w:r w:rsidRPr="000B325E">
              <w:rPr>
                <w:rFonts w:ascii="Arial" w:hAnsi="Arial" w:cs="Arial"/>
                <w:color w:val="262626"/>
                <w:sz w:val="18"/>
                <w:szCs w:val="18"/>
              </w:rPr>
              <w:t>13/03/2026</w:t>
            </w:r>
          </w:p>
        </w:tc>
        <w:tc>
          <w:tcPr>
            <w:tcW w:w="2500" w:type="dxa"/>
            <w:tcMar>
              <w:top w:w="90" w:type="dxa"/>
              <w:left w:w="120" w:type="dxa"/>
              <w:bottom w:w="90" w:type="dxa"/>
              <w:right w:w="120" w:type="dxa"/>
            </w:tcMar>
            <w:vAlign w:val="center"/>
          </w:tcPr>
          <w:p w14:paraId="38EBCE04" w14:textId="77777777" w:rsidR="00214A41" w:rsidRPr="000B325E" w:rsidRDefault="00000000">
            <w:pPr>
              <w:rPr>
                <w:rFonts w:ascii="Arial" w:hAnsi="Arial" w:cs="Arial"/>
              </w:rPr>
            </w:pPr>
            <w:r w:rsidRPr="000B325E">
              <w:rPr>
                <w:rFonts w:ascii="Arial" w:hAnsi="Arial" w:cs="Arial"/>
                <w:color w:val="262626"/>
                <w:sz w:val="18"/>
                <w:szCs w:val="18"/>
              </w:rPr>
              <w:t>JP Morgan</w:t>
            </w:r>
          </w:p>
        </w:tc>
        <w:tc>
          <w:tcPr>
            <w:tcW w:w="3200" w:type="dxa"/>
            <w:tcMar>
              <w:top w:w="90" w:type="dxa"/>
              <w:left w:w="120" w:type="dxa"/>
              <w:bottom w:w="90" w:type="dxa"/>
              <w:right w:w="120" w:type="dxa"/>
            </w:tcMar>
            <w:vAlign w:val="center"/>
          </w:tcPr>
          <w:p w14:paraId="494B526F" w14:textId="77777777" w:rsidR="00214A41" w:rsidRPr="000B325E" w:rsidRDefault="00000000">
            <w:pPr>
              <w:rPr>
                <w:rFonts w:ascii="Arial" w:hAnsi="Arial" w:cs="Arial"/>
              </w:rPr>
            </w:pPr>
            <w:r w:rsidRPr="000B325E">
              <w:rPr>
                <w:rFonts w:ascii="Arial" w:hAnsi="Arial" w:cs="Arial"/>
                <w:color w:val="262626"/>
                <w:sz w:val="18"/>
                <w:szCs w:val="18"/>
              </w:rPr>
              <w:t>NEUTRAL</w:t>
            </w:r>
          </w:p>
        </w:tc>
        <w:tc>
          <w:tcPr>
            <w:tcW w:w="1750" w:type="dxa"/>
            <w:tcMar>
              <w:top w:w="90" w:type="dxa"/>
              <w:left w:w="120" w:type="dxa"/>
              <w:bottom w:w="90" w:type="dxa"/>
              <w:right w:w="120" w:type="dxa"/>
            </w:tcMar>
            <w:vAlign w:val="center"/>
          </w:tcPr>
          <w:p w14:paraId="69A64423" w14:textId="77777777" w:rsidR="00214A41" w:rsidRPr="000B325E" w:rsidRDefault="00000000">
            <w:pPr>
              <w:rPr>
                <w:rFonts w:ascii="Arial" w:hAnsi="Arial" w:cs="Arial"/>
              </w:rPr>
            </w:pPr>
            <w:r w:rsidRPr="000B325E">
              <w:rPr>
                <w:rFonts w:ascii="Arial" w:hAnsi="Arial" w:cs="Arial"/>
                <w:color w:val="262626"/>
                <w:sz w:val="18"/>
                <w:szCs w:val="18"/>
              </w:rPr>
              <w:t>6,40 €</w:t>
            </w:r>
          </w:p>
        </w:tc>
      </w:tr>
      <w:tr w:rsidR="00214A41" w:rsidRPr="000B325E" w14:paraId="06B3BE2E" w14:textId="77777777">
        <w:tblPrEx>
          <w:tblCellMar>
            <w:top w:w="0" w:type="dxa"/>
            <w:bottom w:w="0" w:type="dxa"/>
          </w:tblCellMar>
        </w:tblPrEx>
        <w:tc>
          <w:tcPr>
            <w:tcW w:w="1900" w:type="dxa"/>
            <w:shd w:val="clear" w:color="auto" w:fill="F2F2F2"/>
            <w:tcMar>
              <w:top w:w="90" w:type="dxa"/>
              <w:left w:w="120" w:type="dxa"/>
              <w:bottom w:w="90" w:type="dxa"/>
              <w:right w:w="120" w:type="dxa"/>
            </w:tcMar>
            <w:vAlign w:val="center"/>
          </w:tcPr>
          <w:p w14:paraId="15177ACE" w14:textId="77777777" w:rsidR="00214A41" w:rsidRPr="000B325E" w:rsidRDefault="00000000">
            <w:pPr>
              <w:rPr>
                <w:rFonts w:ascii="Arial" w:hAnsi="Arial" w:cs="Arial"/>
              </w:rPr>
            </w:pPr>
            <w:r w:rsidRPr="000B325E">
              <w:rPr>
                <w:rFonts w:ascii="Arial" w:hAnsi="Arial" w:cs="Arial"/>
                <w:color w:val="262626"/>
                <w:sz w:val="18"/>
                <w:szCs w:val="18"/>
              </w:rPr>
              <w:t>23/01/2026</w:t>
            </w:r>
          </w:p>
        </w:tc>
        <w:tc>
          <w:tcPr>
            <w:tcW w:w="2500" w:type="dxa"/>
            <w:shd w:val="clear" w:color="auto" w:fill="F2F2F2"/>
            <w:tcMar>
              <w:top w:w="90" w:type="dxa"/>
              <w:left w:w="120" w:type="dxa"/>
              <w:bottom w:w="90" w:type="dxa"/>
              <w:right w:w="120" w:type="dxa"/>
            </w:tcMar>
            <w:vAlign w:val="center"/>
          </w:tcPr>
          <w:p w14:paraId="40CEF4F2" w14:textId="77777777" w:rsidR="00214A41" w:rsidRPr="000B325E" w:rsidRDefault="00000000">
            <w:pPr>
              <w:rPr>
                <w:rFonts w:ascii="Arial" w:hAnsi="Arial" w:cs="Arial"/>
              </w:rPr>
            </w:pPr>
            <w:r w:rsidRPr="000B325E">
              <w:rPr>
                <w:rFonts w:ascii="Arial" w:hAnsi="Arial" w:cs="Arial"/>
                <w:color w:val="262626"/>
                <w:sz w:val="18"/>
                <w:szCs w:val="18"/>
              </w:rPr>
              <w:t>Goldman Sachs</w:t>
            </w:r>
          </w:p>
        </w:tc>
        <w:tc>
          <w:tcPr>
            <w:tcW w:w="3200" w:type="dxa"/>
            <w:shd w:val="clear" w:color="auto" w:fill="F2F2F2"/>
            <w:tcMar>
              <w:top w:w="90" w:type="dxa"/>
              <w:left w:w="120" w:type="dxa"/>
              <w:bottom w:w="90" w:type="dxa"/>
              <w:right w:w="120" w:type="dxa"/>
            </w:tcMar>
            <w:vAlign w:val="center"/>
          </w:tcPr>
          <w:p w14:paraId="5E97C606" w14:textId="77777777" w:rsidR="00214A41" w:rsidRPr="000B325E" w:rsidRDefault="00000000">
            <w:pPr>
              <w:rPr>
                <w:rFonts w:ascii="Arial" w:hAnsi="Arial" w:cs="Arial"/>
              </w:rPr>
            </w:pPr>
            <w:r w:rsidRPr="000B325E">
              <w:rPr>
                <w:rFonts w:ascii="Arial" w:hAnsi="Arial" w:cs="Arial"/>
                <w:color w:val="262626"/>
                <w:sz w:val="18"/>
                <w:szCs w:val="18"/>
              </w:rPr>
              <w:t>NEUTRAL</w:t>
            </w:r>
          </w:p>
        </w:tc>
        <w:tc>
          <w:tcPr>
            <w:tcW w:w="1750" w:type="dxa"/>
            <w:shd w:val="clear" w:color="auto" w:fill="F2F2F2"/>
            <w:tcMar>
              <w:top w:w="90" w:type="dxa"/>
              <w:left w:w="120" w:type="dxa"/>
              <w:bottom w:w="90" w:type="dxa"/>
              <w:right w:w="120" w:type="dxa"/>
            </w:tcMar>
            <w:vAlign w:val="center"/>
          </w:tcPr>
          <w:p w14:paraId="7F94B369" w14:textId="77777777" w:rsidR="00214A41" w:rsidRPr="000B325E" w:rsidRDefault="00000000">
            <w:pPr>
              <w:rPr>
                <w:rFonts w:ascii="Arial" w:hAnsi="Arial" w:cs="Arial"/>
              </w:rPr>
            </w:pPr>
            <w:r w:rsidRPr="000B325E">
              <w:rPr>
                <w:rFonts w:ascii="Arial" w:hAnsi="Arial" w:cs="Arial"/>
                <w:color w:val="262626"/>
                <w:sz w:val="18"/>
                <w:szCs w:val="18"/>
              </w:rPr>
              <w:t>5,24 €</w:t>
            </w:r>
          </w:p>
        </w:tc>
      </w:tr>
    </w:tbl>
    <w:p w14:paraId="3893A7EE" w14:textId="77777777" w:rsidR="00214A41" w:rsidRPr="000B325E" w:rsidRDefault="00000000">
      <w:pPr>
        <w:spacing w:after="100"/>
        <w:rPr>
          <w:rFonts w:ascii="Arial" w:hAnsi="Arial" w:cs="Arial"/>
        </w:rPr>
      </w:pPr>
      <w:r w:rsidRPr="000B325E">
        <w:rPr>
          <w:rFonts w:ascii="Arial" w:hAnsi="Arial" w:cs="Arial"/>
          <w:i/>
          <w:iCs/>
          <w:color w:val="5A5A5A"/>
          <w:sz w:val="16"/>
          <w:szCs w:val="16"/>
        </w:rPr>
        <w:t>El consenso de mercado se sitúa en torno a 6,38€/acción (potencial +20% sobre el precio actual), con una dispersión notable entre la visión más constructiva (Renta 4, Citi) y la más cautelosa (</w:t>
      </w:r>
      <w:proofErr w:type="spellStart"/>
      <w:r w:rsidRPr="000B325E">
        <w:rPr>
          <w:rFonts w:ascii="Arial" w:hAnsi="Arial" w:cs="Arial"/>
          <w:i/>
          <w:iCs/>
          <w:color w:val="5A5A5A"/>
          <w:sz w:val="16"/>
          <w:szCs w:val="16"/>
        </w:rPr>
        <w:t>Jefferies</w:t>
      </w:r>
      <w:proofErr w:type="spellEnd"/>
      <w:r w:rsidRPr="000B325E">
        <w:rPr>
          <w:rFonts w:ascii="Arial" w:hAnsi="Arial" w:cs="Arial"/>
          <w:i/>
          <w:iCs/>
          <w:color w:val="5A5A5A"/>
          <w:sz w:val="16"/>
          <w:szCs w:val="16"/>
        </w:rPr>
        <w:t>, Goldman), reflejando precisamente la divergencia entre fundamentales operativos sólidos y riesgo de coste de capital que estructura esta tesis.</w:t>
      </w:r>
    </w:p>
    <w:p w14:paraId="139E184D" w14:textId="77777777" w:rsidR="00214A41" w:rsidRPr="000B325E" w:rsidRDefault="00000000">
      <w:pPr>
        <w:rPr>
          <w:rFonts w:ascii="Arial" w:hAnsi="Arial" w:cs="Arial"/>
        </w:rPr>
      </w:pPr>
      <w:r w:rsidRPr="000B325E">
        <w:rPr>
          <w:rFonts w:ascii="Arial" w:hAnsi="Arial" w:cs="Arial"/>
        </w:rPr>
        <w:br w:type="page"/>
      </w:r>
    </w:p>
    <w:p w14:paraId="3316F659" w14:textId="77777777" w:rsidR="00214A41" w:rsidRPr="000B325E" w:rsidRDefault="00000000">
      <w:pPr>
        <w:pStyle w:val="Ttulo1"/>
        <w:pBdr>
          <w:bottom w:val="single" w:sz="8" w:space="4" w:color="1F3864"/>
        </w:pBdr>
        <w:spacing w:before="400" w:after="200"/>
        <w:rPr>
          <w:rFonts w:ascii="Arial" w:hAnsi="Arial" w:cs="Arial"/>
        </w:rPr>
      </w:pPr>
      <w:r w:rsidRPr="000B325E">
        <w:rPr>
          <w:rFonts w:ascii="Arial" w:hAnsi="Arial" w:cs="Arial"/>
          <w:b/>
          <w:bCs/>
          <w:color w:val="1F3864"/>
          <w:sz w:val="26"/>
          <w:szCs w:val="26"/>
        </w:rPr>
        <w:lastRenderedPageBreak/>
        <w:t>4. RADIOGRAFÍA DE FUNDAMENTALES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2350"/>
        <w:gridCol w:w="2350"/>
        <w:gridCol w:w="2300"/>
      </w:tblGrid>
      <w:tr w:rsidR="00214A41" w:rsidRPr="000B325E" w14:paraId="71D2C758" w14:textId="77777777">
        <w:tblPrEx>
          <w:tblCellMar>
            <w:top w:w="0" w:type="dxa"/>
            <w:bottom w:w="0" w:type="dxa"/>
          </w:tblCellMar>
        </w:tblPrEx>
        <w:trPr>
          <w:tblHeader/>
        </w:trPr>
        <w:tc>
          <w:tcPr>
            <w:tcW w:w="2350" w:type="dxa"/>
            <w:shd w:val="clear" w:color="auto" w:fill="1F3864"/>
            <w:tcMar>
              <w:top w:w="100" w:type="dxa"/>
              <w:left w:w="120" w:type="dxa"/>
              <w:bottom w:w="100" w:type="dxa"/>
              <w:right w:w="120" w:type="dxa"/>
            </w:tcMar>
            <w:vAlign w:val="center"/>
          </w:tcPr>
          <w:p w14:paraId="12F58CE6" w14:textId="77777777" w:rsidR="00214A41" w:rsidRPr="000B325E" w:rsidRDefault="00000000">
            <w:pPr>
              <w:rPr>
                <w:rFonts w:ascii="Arial" w:hAnsi="Arial" w:cs="Arial"/>
              </w:rPr>
            </w:pPr>
            <w:r w:rsidRPr="000B325E">
              <w:rPr>
                <w:rFonts w:ascii="Arial" w:hAnsi="Arial" w:cs="Arial"/>
                <w:b/>
                <w:bCs/>
                <w:color w:val="FFFFFF"/>
                <w:sz w:val="18"/>
                <w:szCs w:val="18"/>
              </w:rPr>
              <w:t>Métrica Clave</w:t>
            </w:r>
          </w:p>
        </w:tc>
        <w:tc>
          <w:tcPr>
            <w:tcW w:w="2350" w:type="dxa"/>
            <w:shd w:val="clear" w:color="auto" w:fill="1F3864"/>
            <w:tcMar>
              <w:top w:w="100" w:type="dxa"/>
              <w:left w:w="120" w:type="dxa"/>
              <w:bottom w:w="100" w:type="dxa"/>
              <w:right w:w="120" w:type="dxa"/>
            </w:tcMar>
            <w:vAlign w:val="center"/>
          </w:tcPr>
          <w:p w14:paraId="712B21DA" w14:textId="77777777" w:rsidR="00214A41" w:rsidRPr="000B325E" w:rsidRDefault="00000000">
            <w:pPr>
              <w:rPr>
                <w:rFonts w:ascii="Arial" w:hAnsi="Arial" w:cs="Arial"/>
              </w:rPr>
            </w:pPr>
            <w:r w:rsidRPr="000B325E">
              <w:rPr>
                <w:rFonts w:ascii="Arial" w:hAnsi="Arial" w:cs="Arial"/>
                <w:b/>
                <w:bCs/>
                <w:color w:val="FFFFFF"/>
                <w:sz w:val="18"/>
                <w:szCs w:val="18"/>
              </w:rPr>
              <w:t>Dato Actual</w:t>
            </w:r>
          </w:p>
        </w:tc>
        <w:tc>
          <w:tcPr>
            <w:tcW w:w="2350" w:type="dxa"/>
            <w:shd w:val="clear" w:color="auto" w:fill="1F3864"/>
            <w:tcMar>
              <w:top w:w="100" w:type="dxa"/>
              <w:left w:w="120" w:type="dxa"/>
              <w:bottom w:w="100" w:type="dxa"/>
              <w:right w:w="120" w:type="dxa"/>
            </w:tcMar>
            <w:vAlign w:val="center"/>
          </w:tcPr>
          <w:p w14:paraId="1EBEA148" w14:textId="77777777" w:rsidR="00214A41" w:rsidRPr="000B325E" w:rsidRDefault="00000000">
            <w:pPr>
              <w:rPr>
                <w:rFonts w:ascii="Arial" w:hAnsi="Arial" w:cs="Arial"/>
              </w:rPr>
            </w:pPr>
            <w:r w:rsidRPr="000B325E">
              <w:rPr>
                <w:rFonts w:ascii="Arial" w:hAnsi="Arial" w:cs="Arial"/>
                <w:b/>
                <w:bCs/>
                <w:color w:val="FFFFFF"/>
                <w:sz w:val="18"/>
                <w:szCs w:val="18"/>
              </w:rPr>
              <w:t>Media Histórica (5 años, aprox.)</w:t>
            </w:r>
          </w:p>
        </w:tc>
        <w:tc>
          <w:tcPr>
            <w:tcW w:w="2300" w:type="dxa"/>
            <w:shd w:val="clear" w:color="auto" w:fill="1F3864"/>
            <w:tcMar>
              <w:top w:w="100" w:type="dxa"/>
              <w:left w:w="120" w:type="dxa"/>
              <w:bottom w:w="100" w:type="dxa"/>
              <w:right w:w="120" w:type="dxa"/>
            </w:tcMar>
            <w:vAlign w:val="center"/>
          </w:tcPr>
          <w:p w14:paraId="123E0F04" w14:textId="77777777" w:rsidR="00214A41" w:rsidRPr="000B325E" w:rsidRDefault="00000000">
            <w:pPr>
              <w:rPr>
                <w:rFonts w:ascii="Arial" w:hAnsi="Arial" w:cs="Arial"/>
              </w:rPr>
            </w:pPr>
            <w:r w:rsidRPr="000B325E">
              <w:rPr>
                <w:rFonts w:ascii="Arial" w:hAnsi="Arial" w:cs="Arial"/>
                <w:b/>
                <w:bCs/>
                <w:color w:val="FFFFFF"/>
                <w:sz w:val="18"/>
                <w:szCs w:val="18"/>
              </w:rPr>
              <w:t>Interpretación</w:t>
            </w:r>
          </w:p>
        </w:tc>
      </w:tr>
      <w:tr w:rsidR="00214A41" w:rsidRPr="000B325E" w14:paraId="67069C47" w14:textId="77777777">
        <w:tblPrEx>
          <w:tblCellMar>
            <w:top w:w="0" w:type="dxa"/>
            <w:bottom w:w="0" w:type="dxa"/>
          </w:tblCellMar>
        </w:tblPrEx>
        <w:tc>
          <w:tcPr>
            <w:tcW w:w="2350" w:type="dxa"/>
            <w:tcMar>
              <w:top w:w="90" w:type="dxa"/>
              <w:left w:w="120" w:type="dxa"/>
              <w:bottom w:w="90" w:type="dxa"/>
              <w:right w:w="120" w:type="dxa"/>
            </w:tcMar>
            <w:vAlign w:val="center"/>
          </w:tcPr>
          <w:p w14:paraId="3E367254" w14:textId="77777777" w:rsidR="00214A41" w:rsidRPr="000B325E" w:rsidRDefault="00000000">
            <w:pPr>
              <w:rPr>
                <w:rFonts w:ascii="Arial" w:hAnsi="Arial" w:cs="Arial"/>
              </w:rPr>
            </w:pPr>
            <w:r w:rsidRPr="000B325E">
              <w:rPr>
                <w:rFonts w:ascii="Arial" w:hAnsi="Arial" w:cs="Arial"/>
                <w:color w:val="262626"/>
                <w:sz w:val="18"/>
                <w:szCs w:val="18"/>
              </w:rPr>
              <w:t>Descuento vs. EPRA NTA</w:t>
            </w:r>
          </w:p>
        </w:tc>
        <w:tc>
          <w:tcPr>
            <w:tcW w:w="2350" w:type="dxa"/>
            <w:tcMar>
              <w:top w:w="90" w:type="dxa"/>
              <w:left w:w="120" w:type="dxa"/>
              <w:bottom w:w="90" w:type="dxa"/>
              <w:right w:w="120" w:type="dxa"/>
            </w:tcMar>
            <w:vAlign w:val="center"/>
          </w:tcPr>
          <w:p w14:paraId="49CCE7FE" w14:textId="77777777" w:rsidR="00214A41" w:rsidRPr="000B325E" w:rsidRDefault="00000000">
            <w:pPr>
              <w:rPr>
                <w:rFonts w:ascii="Arial" w:hAnsi="Arial" w:cs="Arial"/>
              </w:rPr>
            </w:pPr>
            <w:r w:rsidRPr="000B325E">
              <w:rPr>
                <w:rFonts w:ascii="Arial" w:hAnsi="Arial" w:cs="Arial"/>
                <w:color w:val="262626"/>
                <w:sz w:val="18"/>
                <w:szCs w:val="18"/>
              </w:rPr>
              <w:t>≈ -40% a -45% (NTA 9,70€ vs. ~5,30€)</w:t>
            </w:r>
          </w:p>
        </w:tc>
        <w:tc>
          <w:tcPr>
            <w:tcW w:w="2350" w:type="dxa"/>
            <w:tcMar>
              <w:top w:w="90" w:type="dxa"/>
              <w:left w:w="120" w:type="dxa"/>
              <w:bottom w:w="90" w:type="dxa"/>
              <w:right w:w="120" w:type="dxa"/>
            </w:tcMar>
            <w:vAlign w:val="center"/>
          </w:tcPr>
          <w:p w14:paraId="54ECCF31" w14:textId="77777777" w:rsidR="00214A41" w:rsidRPr="000B325E" w:rsidRDefault="00000000">
            <w:pPr>
              <w:rPr>
                <w:rFonts w:ascii="Arial" w:hAnsi="Arial" w:cs="Arial"/>
              </w:rPr>
            </w:pPr>
            <w:r w:rsidRPr="000B325E">
              <w:rPr>
                <w:rFonts w:ascii="Arial" w:hAnsi="Arial" w:cs="Arial"/>
                <w:color w:val="262626"/>
                <w:sz w:val="18"/>
                <w:szCs w:val="18"/>
              </w:rPr>
              <w:t>Rango habitual de descuento de doble dígito, con picos del -40/45% en episodios de estrés de tipos</w:t>
            </w:r>
          </w:p>
        </w:tc>
        <w:tc>
          <w:tcPr>
            <w:tcW w:w="2300" w:type="dxa"/>
            <w:tcMar>
              <w:top w:w="90" w:type="dxa"/>
              <w:left w:w="120" w:type="dxa"/>
              <w:bottom w:w="90" w:type="dxa"/>
              <w:right w:w="120" w:type="dxa"/>
            </w:tcMar>
            <w:vAlign w:val="center"/>
          </w:tcPr>
          <w:p w14:paraId="1BD5756D" w14:textId="77777777" w:rsidR="00214A41" w:rsidRPr="000B325E" w:rsidRDefault="00000000">
            <w:pPr>
              <w:rPr>
                <w:rFonts w:ascii="Arial" w:hAnsi="Arial" w:cs="Arial"/>
              </w:rPr>
            </w:pPr>
            <w:r w:rsidRPr="000B325E">
              <w:rPr>
                <w:rFonts w:ascii="Arial" w:hAnsi="Arial" w:cs="Arial"/>
                <w:color w:val="262626"/>
                <w:sz w:val="18"/>
                <w:szCs w:val="18"/>
              </w:rPr>
              <w:t>En la parte alta del rango histórico; penalización sectorial más que específica de Colonial</w:t>
            </w:r>
          </w:p>
        </w:tc>
      </w:tr>
      <w:tr w:rsidR="00214A41" w:rsidRPr="000B325E" w14:paraId="70CB3EDB" w14:textId="77777777">
        <w:tblPrEx>
          <w:tblCellMar>
            <w:top w:w="0" w:type="dxa"/>
            <w:bottom w:w="0" w:type="dxa"/>
          </w:tblCellMar>
        </w:tblPrEx>
        <w:tc>
          <w:tcPr>
            <w:tcW w:w="2350" w:type="dxa"/>
            <w:shd w:val="clear" w:color="auto" w:fill="F2F2F2"/>
            <w:tcMar>
              <w:top w:w="90" w:type="dxa"/>
              <w:left w:w="120" w:type="dxa"/>
              <w:bottom w:w="90" w:type="dxa"/>
              <w:right w:w="120" w:type="dxa"/>
            </w:tcMar>
            <w:vAlign w:val="center"/>
          </w:tcPr>
          <w:p w14:paraId="03A64D27" w14:textId="77777777" w:rsidR="00214A41" w:rsidRPr="000B325E" w:rsidRDefault="00000000">
            <w:pPr>
              <w:rPr>
                <w:rFonts w:ascii="Arial" w:hAnsi="Arial" w:cs="Arial"/>
              </w:rPr>
            </w:pPr>
            <w:r w:rsidRPr="000B325E">
              <w:rPr>
                <w:rFonts w:ascii="Arial" w:hAnsi="Arial" w:cs="Arial"/>
                <w:color w:val="262626"/>
                <w:sz w:val="18"/>
                <w:szCs w:val="18"/>
              </w:rPr>
              <w:t>LTV (Grupo) / EPRA LTV</w:t>
            </w:r>
          </w:p>
        </w:tc>
        <w:tc>
          <w:tcPr>
            <w:tcW w:w="2350" w:type="dxa"/>
            <w:shd w:val="clear" w:color="auto" w:fill="F2F2F2"/>
            <w:tcMar>
              <w:top w:w="90" w:type="dxa"/>
              <w:left w:w="120" w:type="dxa"/>
              <w:bottom w:w="90" w:type="dxa"/>
              <w:right w:w="120" w:type="dxa"/>
            </w:tcMar>
            <w:vAlign w:val="center"/>
          </w:tcPr>
          <w:p w14:paraId="1DEA803A" w14:textId="77777777" w:rsidR="00214A41" w:rsidRPr="000B325E" w:rsidRDefault="00000000">
            <w:pPr>
              <w:rPr>
                <w:rFonts w:ascii="Arial" w:hAnsi="Arial" w:cs="Arial"/>
              </w:rPr>
            </w:pPr>
            <w:r w:rsidRPr="000B325E">
              <w:rPr>
                <w:rFonts w:ascii="Arial" w:hAnsi="Arial" w:cs="Arial"/>
                <w:color w:val="262626"/>
                <w:sz w:val="18"/>
                <w:szCs w:val="18"/>
              </w:rPr>
              <w:t>36,7% / 45,2%</w:t>
            </w:r>
          </w:p>
        </w:tc>
        <w:tc>
          <w:tcPr>
            <w:tcW w:w="2350" w:type="dxa"/>
            <w:shd w:val="clear" w:color="auto" w:fill="F2F2F2"/>
            <w:tcMar>
              <w:top w:w="90" w:type="dxa"/>
              <w:left w:w="120" w:type="dxa"/>
              <w:bottom w:w="90" w:type="dxa"/>
              <w:right w:w="120" w:type="dxa"/>
            </w:tcMar>
            <w:vAlign w:val="center"/>
          </w:tcPr>
          <w:p w14:paraId="4845E73E" w14:textId="77777777" w:rsidR="00214A41" w:rsidRPr="000B325E" w:rsidRDefault="00000000">
            <w:pPr>
              <w:rPr>
                <w:rFonts w:ascii="Arial" w:hAnsi="Arial" w:cs="Arial"/>
              </w:rPr>
            </w:pPr>
            <w:r w:rsidRPr="000B325E">
              <w:rPr>
                <w:rFonts w:ascii="Arial" w:hAnsi="Arial" w:cs="Arial"/>
                <w:color w:val="262626"/>
                <w:sz w:val="18"/>
                <w:szCs w:val="18"/>
              </w:rPr>
              <w:t>Objetivo declarado de la directiva: &lt;40% LTV Grupo</w:t>
            </w:r>
          </w:p>
        </w:tc>
        <w:tc>
          <w:tcPr>
            <w:tcW w:w="2300" w:type="dxa"/>
            <w:shd w:val="clear" w:color="auto" w:fill="F2F2F2"/>
            <w:tcMar>
              <w:top w:w="90" w:type="dxa"/>
              <w:left w:w="120" w:type="dxa"/>
              <w:bottom w:w="90" w:type="dxa"/>
              <w:right w:w="120" w:type="dxa"/>
            </w:tcMar>
            <w:vAlign w:val="center"/>
          </w:tcPr>
          <w:p w14:paraId="3CC51BE0" w14:textId="77777777" w:rsidR="00214A41" w:rsidRPr="000B325E" w:rsidRDefault="00000000">
            <w:pPr>
              <w:rPr>
                <w:rFonts w:ascii="Arial" w:hAnsi="Arial" w:cs="Arial"/>
              </w:rPr>
            </w:pPr>
            <w:r w:rsidRPr="000B325E">
              <w:rPr>
                <w:rFonts w:ascii="Arial" w:hAnsi="Arial" w:cs="Arial"/>
                <w:color w:val="262626"/>
                <w:sz w:val="18"/>
                <w:szCs w:val="18"/>
              </w:rPr>
              <w:t>Nivel saludable, con colchón frente a nuevas correcciones de tasación</w:t>
            </w:r>
          </w:p>
        </w:tc>
      </w:tr>
      <w:tr w:rsidR="00214A41" w:rsidRPr="000B325E" w14:paraId="19677220" w14:textId="77777777">
        <w:tblPrEx>
          <w:tblCellMar>
            <w:top w:w="0" w:type="dxa"/>
            <w:bottom w:w="0" w:type="dxa"/>
          </w:tblCellMar>
        </w:tblPrEx>
        <w:tc>
          <w:tcPr>
            <w:tcW w:w="2350" w:type="dxa"/>
            <w:tcMar>
              <w:top w:w="90" w:type="dxa"/>
              <w:left w:w="120" w:type="dxa"/>
              <w:bottom w:w="90" w:type="dxa"/>
              <w:right w:w="120" w:type="dxa"/>
            </w:tcMar>
            <w:vAlign w:val="center"/>
          </w:tcPr>
          <w:p w14:paraId="403759A2" w14:textId="77777777" w:rsidR="00214A41" w:rsidRPr="000B325E" w:rsidRDefault="00000000">
            <w:pPr>
              <w:rPr>
                <w:rFonts w:ascii="Arial" w:hAnsi="Arial" w:cs="Arial"/>
              </w:rPr>
            </w:pPr>
            <w:r w:rsidRPr="000B325E">
              <w:rPr>
                <w:rFonts w:ascii="Arial" w:hAnsi="Arial" w:cs="Arial"/>
                <w:color w:val="262626"/>
                <w:sz w:val="18"/>
                <w:szCs w:val="18"/>
              </w:rPr>
              <w:t>Coste medio de la deuda</w:t>
            </w:r>
          </w:p>
        </w:tc>
        <w:tc>
          <w:tcPr>
            <w:tcW w:w="2350" w:type="dxa"/>
            <w:tcMar>
              <w:top w:w="90" w:type="dxa"/>
              <w:left w:w="120" w:type="dxa"/>
              <w:bottom w:w="90" w:type="dxa"/>
              <w:right w:w="120" w:type="dxa"/>
            </w:tcMar>
            <w:vAlign w:val="center"/>
          </w:tcPr>
          <w:p w14:paraId="26768248" w14:textId="77777777" w:rsidR="00214A41" w:rsidRPr="000B325E" w:rsidRDefault="00000000">
            <w:pPr>
              <w:rPr>
                <w:rFonts w:ascii="Arial" w:hAnsi="Arial" w:cs="Arial"/>
              </w:rPr>
            </w:pPr>
            <w:r w:rsidRPr="000B325E">
              <w:rPr>
                <w:rFonts w:ascii="Arial" w:hAnsi="Arial" w:cs="Arial"/>
                <w:color w:val="262626"/>
                <w:sz w:val="18"/>
                <w:szCs w:val="18"/>
              </w:rPr>
              <w:t>1,99% (spot, 1S26), 100% a tipo fijo</w:t>
            </w:r>
          </w:p>
        </w:tc>
        <w:tc>
          <w:tcPr>
            <w:tcW w:w="2350" w:type="dxa"/>
            <w:tcMar>
              <w:top w:w="90" w:type="dxa"/>
              <w:left w:w="120" w:type="dxa"/>
              <w:bottom w:w="90" w:type="dxa"/>
              <w:right w:w="120" w:type="dxa"/>
            </w:tcMar>
            <w:vAlign w:val="center"/>
          </w:tcPr>
          <w:p w14:paraId="2B70C33F" w14:textId="77777777" w:rsidR="00214A41" w:rsidRPr="000B325E" w:rsidRDefault="00000000">
            <w:pPr>
              <w:rPr>
                <w:rFonts w:ascii="Arial" w:hAnsi="Arial" w:cs="Arial"/>
              </w:rPr>
            </w:pPr>
            <w:r w:rsidRPr="000B325E">
              <w:rPr>
                <w:rFonts w:ascii="Arial" w:hAnsi="Arial" w:cs="Arial"/>
                <w:color w:val="262626"/>
                <w:sz w:val="18"/>
                <w:szCs w:val="18"/>
              </w:rPr>
              <w:t>1,7% – 2,0% en el periodo 2024-2026 (tipos ancla bajos)</w:t>
            </w:r>
          </w:p>
        </w:tc>
        <w:tc>
          <w:tcPr>
            <w:tcW w:w="2300" w:type="dxa"/>
            <w:tcMar>
              <w:top w:w="90" w:type="dxa"/>
              <w:left w:w="120" w:type="dxa"/>
              <w:bottom w:w="90" w:type="dxa"/>
              <w:right w:w="120" w:type="dxa"/>
            </w:tcMar>
            <w:vAlign w:val="center"/>
          </w:tcPr>
          <w:p w14:paraId="1FFF1F7B" w14:textId="77777777" w:rsidR="00214A41" w:rsidRPr="000B325E" w:rsidRDefault="00000000">
            <w:pPr>
              <w:rPr>
                <w:rFonts w:ascii="Arial" w:hAnsi="Arial" w:cs="Arial"/>
              </w:rPr>
            </w:pPr>
            <w:r w:rsidRPr="000B325E">
              <w:rPr>
                <w:rFonts w:ascii="Arial" w:hAnsi="Arial" w:cs="Arial"/>
                <w:color w:val="262626"/>
                <w:sz w:val="18"/>
                <w:szCs w:val="18"/>
              </w:rPr>
              <w:t>Cifra de "escaparate": el coste marginal real (bono a 3,875% en mar-26) casi duplica la media</w:t>
            </w:r>
          </w:p>
        </w:tc>
      </w:tr>
      <w:tr w:rsidR="00214A41" w:rsidRPr="000B325E" w14:paraId="6857EEC6" w14:textId="77777777">
        <w:tblPrEx>
          <w:tblCellMar>
            <w:top w:w="0" w:type="dxa"/>
            <w:bottom w:w="0" w:type="dxa"/>
          </w:tblCellMar>
        </w:tblPrEx>
        <w:tc>
          <w:tcPr>
            <w:tcW w:w="2350" w:type="dxa"/>
            <w:shd w:val="clear" w:color="auto" w:fill="F2F2F2"/>
            <w:tcMar>
              <w:top w:w="90" w:type="dxa"/>
              <w:left w:w="120" w:type="dxa"/>
              <w:bottom w:w="90" w:type="dxa"/>
              <w:right w:w="120" w:type="dxa"/>
            </w:tcMar>
            <w:vAlign w:val="center"/>
          </w:tcPr>
          <w:p w14:paraId="3091F132" w14:textId="77777777" w:rsidR="00214A41" w:rsidRPr="000B325E" w:rsidRDefault="00000000">
            <w:pPr>
              <w:rPr>
                <w:rFonts w:ascii="Arial" w:hAnsi="Arial" w:cs="Arial"/>
              </w:rPr>
            </w:pPr>
            <w:r w:rsidRPr="000B325E">
              <w:rPr>
                <w:rFonts w:ascii="Arial" w:hAnsi="Arial" w:cs="Arial"/>
                <w:color w:val="262626"/>
                <w:sz w:val="18"/>
                <w:szCs w:val="18"/>
              </w:rPr>
              <w:t>Rentabilidad por dividendo</w:t>
            </w:r>
          </w:p>
        </w:tc>
        <w:tc>
          <w:tcPr>
            <w:tcW w:w="2350" w:type="dxa"/>
            <w:shd w:val="clear" w:color="auto" w:fill="F2F2F2"/>
            <w:tcMar>
              <w:top w:w="90" w:type="dxa"/>
              <w:left w:w="120" w:type="dxa"/>
              <w:bottom w:w="90" w:type="dxa"/>
              <w:right w:w="120" w:type="dxa"/>
            </w:tcMar>
            <w:vAlign w:val="center"/>
          </w:tcPr>
          <w:p w14:paraId="69DECE26" w14:textId="77777777" w:rsidR="00214A41" w:rsidRPr="000B325E" w:rsidRDefault="00000000">
            <w:pPr>
              <w:rPr>
                <w:rFonts w:ascii="Arial" w:hAnsi="Arial" w:cs="Arial"/>
              </w:rPr>
            </w:pPr>
            <w:r w:rsidRPr="000B325E">
              <w:rPr>
                <w:rFonts w:ascii="Arial" w:hAnsi="Arial" w:cs="Arial"/>
                <w:color w:val="262626"/>
                <w:sz w:val="18"/>
                <w:szCs w:val="18"/>
              </w:rPr>
              <w:t>≈ 5,9% – 6,2% (DPA 0,32€)</w:t>
            </w:r>
          </w:p>
        </w:tc>
        <w:tc>
          <w:tcPr>
            <w:tcW w:w="2350" w:type="dxa"/>
            <w:shd w:val="clear" w:color="auto" w:fill="F2F2F2"/>
            <w:tcMar>
              <w:top w:w="90" w:type="dxa"/>
              <w:left w:w="120" w:type="dxa"/>
              <w:bottom w:w="90" w:type="dxa"/>
              <w:right w:w="120" w:type="dxa"/>
            </w:tcMar>
            <w:vAlign w:val="center"/>
          </w:tcPr>
          <w:p w14:paraId="2397707B" w14:textId="77777777" w:rsidR="00214A41" w:rsidRPr="000B325E" w:rsidRDefault="00000000">
            <w:pPr>
              <w:rPr>
                <w:rFonts w:ascii="Arial" w:hAnsi="Arial" w:cs="Arial"/>
              </w:rPr>
            </w:pPr>
            <w:r w:rsidRPr="000B325E">
              <w:rPr>
                <w:rFonts w:ascii="Arial" w:hAnsi="Arial" w:cs="Arial"/>
                <w:color w:val="262626"/>
                <w:sz w:val="18"/>
                <w:szCs w:val="18"/>
              </w:rPr>
              <w:t>3% – 6%, con tendencia creciente</w:t>
            </w:r>
          </w:p>
        </w:tc>
        <w:tc>
          <w:tcPr>
            <w:tcW w:w="2300" w:type="dxa"/>
            <w:shd w:val="clear" w:color="auto" w:fill="F2F2F2"/>
            <w:tcMar>
              <w:top w:w="90" w:type="dxa"/>
              <w:left w:w="120" w:type="dxa"/>
              <w:bottom w:w="90" w:type="dxa"/>
              <w:right w:w="120" w:type="dxa"/>
            </w:tcMar>
            <w:vAlign w:val="center"/>
          </w:tcPr>
          <w:p w14:paraId="03C2EF03" w14:textId="77777777" w:rsidR="00214A41" w:rsidRPr="000B325E" w:rsidRDefault="00000000">
            <w:pPr>
              <w:rPr>
                <w:rFonts w:ascii="Arial" w:hAnsi="Arial" w:cs="Arial"/>
              </w:rPr>
            </w:pPr>
            <w:r w:rsidRPr="000B325E">
              <w:rPr>
                <w:rFonts w:ascii="Arial" w:hAnsi="Arial" w:cs="Arial"/>
                <w:color w:val="262626"/>
                <w:sz w:val="18"/>
                <w:szCs w:val="18"/>
              </w:rPr>
              <w:t>Cobertura sólida por FFO recurrente; complementada con recompras de acciones</w:t>
            </w:r>
          </w:p>
        </w:tc>
      </w:tr>
      <w:tr w:rsidR="00214A41" w:rsidRPr="000B325E" w14:paraId="4A1CD9B7" w14:textId="77777777">
        <w:tblPrEx>
          <w:tblCellMar>
            <w:top w:w="0" w:type="dxa"/>
            <w:bottom w:w="0" w:type="dxa"/>
          </w:tblCellMar>
        </w:tblPrEx>
        <w:tc>
          <w:tcPr>
            <w:tcW w:w="2350" w:type="dxa"/>
            <w:tcMar>
              <w:top w:w="90" w:type="dxa"/>
              <w:left w:w="120" w:type="dxa"/>
              <w:bottom w:w="90" w:type="dxa"/>
              <w:right w:w="120" w:type="dxa"/>
            </w:tcMar>
            <w:vAlign w:val="center"/>
          </w:tcPr>
          <w:p w14:paraId="107013F9" w14:textId="77777777" w:rsidR="00214A41" w:rsidRPr="000B325E" w:rsidRDefault="00000000">
            <w:pPr>
              <w:rPr>
                <w:rFonts w:ascii="Arial" w:hAnsi="Arial" w:cs="Arial"/>
              </w:rPr>
            </w:pPr>
            <w:r w:rsidRPr="000B325E">
              <w:rPr>
                <w:rFonts w:ascii="Arial" w:hAnsi="Arial" w:cs="Arial"/>
                <w:color w:val="262626"/>
                <w:sz w:val="18"/>
                <w:szCs w:val="18"/>
              </w:rPr>
              <w:t>Ocupación de cartera</w:t>
            </w:r>
          </w:p>
        </w:tc>
        <w:tc>
          <w:tcPr>
            <w:tcW w:w="2350" w:type="dxa"/>
            <w:tcMar>
              <w:top w:w="90" w:type="dxa"/>
              <w:left w:w="120" w:type="dxa"/>
              <w:bottom w:w="90" w:type="dxa"/>
              <w:right w:w="120" w:type="dxa"/>
            </w:tcMar>
            <w:vAlign w:val="center"/>
          </w:tcPr>
          <w:p w14:paraId="36BAFC78" w14:textId="77777777" w:rsidR="00214A41" w:rsidRPr="000B325E" w:rsidRDefault="00000000">
            <w:pPr>
              <w:rPr>
                <w:rFonts w:ascii="Arial" w:hAnsi="Arial" w:cs="Arial"/>
              </w:rPr>
            </w:pPr>
            <w:r w:rsidRPr="000B325E">
              <w:rPr>
                <w:rFonts w:ascii="Arial" w:hAnsi="Arial" w:cs="Arial"/>
                <w:color w:val="262626"/>
                <w:sz w:val="18"/>
                <w:szCs w:val="18"/>
              </w:rPr>
              <w:t>93,3% – 94% (1S26), con Madrid/Barcelona sobre 96%</w:t>
            </w:r>
          </w:p>
        </w:tc>
        <w:tc>
          <w:tcPr>
            <w:tcW w:w="2350" w:type="dxa"/>
            <w:tcMar>
              <w:top w:w="90" w:type="dxa"/>
              <w:left w:w="120" w:type="dxa"/>
              <w:bottom w:w="90" w:type="dxa"/>
              <w:right w:w="120" w:type="dxa"/>
            </w:tcMar>
            <w:vAlign w:val="center"/>
          </w:tcPr>
          <w:p w14:paraId="3E74463C" w14:textId="77777777" w:rsidR="00214A41" w:rsidRPr="000B325E" w:rsidRDefault="00000000">
            <w:pPr>
              <w:rPr>
                <w:rFonts w:ascii="Arial" w:hAnsi="Arial" w:cs="Arial"/>
              </w:rPr>
            </w:pPr>
            <w:r w:rsidRPr="000B325E">
              <w:rPr>
                <w:rFonts w:ascii="Arial" w:hAnsi="Arial" w:cs="Arial"/>
                <w:color w:val="262626"/>
                <w:sz w:val="18"/>
                <w:szCs w:val="18"/>
              </w:rPr>
              <w:t>Objetivo estructural &gt;95%</w:t>
            </w:r>
          </w:p>
        </w:tc>
        <w:tc>
          <w:tcPr>
            <w:tcW w:w="2300" w:type="dxa"/>
            <w:tcMar>
              <w:top w:w="90" w:type="dxa"/>
              <w:left w:w="120" w:type="dxa"/>
              <w:bottom w:w="90" w:type="dxa"/>
              <w:right w:w="120" w:type="dxa"/>
            </w:tcMar>
            <w:vAlign w:val="center"/>
          </w:tcPr>
          <w:p w14:paraId="0DB73FF2" w14:textId="77777777" w:rsidR="00214A41" w:rsidRPr="000B325E" w:rsidRDefault="00000000">
            <w:pPr>
              <w:rPr>
                <w:rFonts w:ascii="Arial" w:hAnsi="Arial" w:cs="Arial"/>
              </w:rPr>
            </w:pPr>
            <w:r w:rsidRPr="000B325E">
              <w:rPr>
                <w:rFonts w:ascii="Arial" w:hAnsi="Arial" w:cs="Arial"/>
                <w:color w:val="262626"/>
                <w:sz w:val="18"/>
                <w:szCs w:val="18"/>
              </w:rPr>
              <w:t>En mejora sostenida; lastrada puntualmente por activos recién entregados (</w:t>
            </w:r>
            <w:proofErr w:type="spellStart"/>
            <w:r w:rsidRPr="000B325E">
              <w:rPr>
                <w:rFonts w:ascii="Arial" w:hAnsi="Arial" w:cs="Arial"/>
                <w:color w:val="262626"/>
                <w:sz w:val="18"/>
                <w:szCs w:val="18"/>
              </w:rPr>
              <w:t>Madnum</w:t>
            </w:r>
            <w:proofErr w:type="spellEnd"/>
            <w:r w:rsidRPr="000B325E">
              <w:rPr>
                <w:rFonts w:ascii="Arial" w:hAnsi="Arial" w:cs="Arial"/>
                <w:color w:val="262626"/>
                <w:sz w:val="18"/>
                <w:szCs w:val="18"/>
              </w:rPr>
              <w:t>, Haussmann)</w:t>
            </w:r>
          </w:p>
        </w:tc>
      </w:tr>
      <w:tr w:rsidR="00214A41" w:rsidRPr="000B325E" w14:paraId="72D3396C" w14:textId="77777777">
        <w:tblPrEx>
          <w:tblCellMar>
            <w:top w:w="0" w:type="dxa"/>
            <w:bottom w:w="0" w:type="dxa"/>
          </w:tblCellMar>
        </w:tblPrEx>
        <w:tc>
          <w:tcPr>
            <w:tcW w:w="2350" w:type="dxa"/>
            <w:shd w:val="clear" w:color="auto" w:fill="F2F2F2"/>
            <w:tcMar>
              <w:top w:w="90" w:type="dxa"/>
              <w:left w:w="120" w:type="dxa"/>
              <w:bottom w:w="90" w:type="dxa"/>
              <w:right w:w="120" w:type="dxa"/>
            </w:tcMar>
            <w:vAlign w:val="center"/>
          </w:tcPr>
          <w:p w14:paraId="4FD9212A" w14:textId="77777777" w:rsidR="00214A41" w:rsidRPr="000B325E" w:rsidRDefault="00000000">
            <w:pPr>
              <w:rPr>
                <w:rFonts w:ascii="Arial" w:hAnsi="Arial" w:cs="Arial"/>
              </w:rPr>
            </w:pPr>
            <w:r w:rsidRPr="000B325E">
              <w:rPr>
                <w:rFonts w:ascii="Arial" w:hAnsi="Arial" w:cs="Arial"/>
                <w:color w:val="262626"/>
                <w:sz w:val="18"/>
                <w:szCs w:val="18"/>
              </w:rPr>
              <w:t xml:space="preserve">Crecimiento </w:t>
            </w:r>
            <w:proofErr w:type="spellStart"/>
            <w:r w:rsidRPr="000B325E">
              <w:rPr>
                <w:rFonts w:ascii="Arial" w:hAnsi="Arial" w:cs="Arial"/>
                <w:color w:val="262626"/>
                <w:sz w:val="18"/>
                <w:szCs w:val="18"/>
              </w:rPr>
              <w:t>like-for-like</w:t>
            </w:r>
            <w:proofErr w:type="spellEnd"/>
            <w:r w:rsidRPr="000B325E">
              <w:rPr>
                <w:rFonts w:ascii="Arial" w:hAnsi="Arial" w:cs="Arial"/>
                <w:color w:val="262626"/>
                <w:sz w:val="18"/>
                <w:szCs w:val="18"/>
              </w:rPr>
              <w:t xml:space="preserve"> rentas</w:t>
            </w:r>
          </w:p>
        </w:tc>
        <w:tc>
          <w:tcPr>
            <w:tcW w:w="2350" w:type="dxa"/>
            <w:shd w:val="clear" w:color="auto" w:fill="F2F2F2"/>
            <w:tcMar>
              <w:top w:w="90" w:type="dxa"/>
              <w:left w:w="120" w:type="dxa"/>
              <w:bottom w:w="90" w:type="dxa"/>
              <w:right w:w="120" w:type="dxa"/>
            </w:tcMar>
            <w:vAlign w:val="center"/>
          </w:tcPr>
          <w:p w14:paraId="57DA205F" w14:textId="77777777" w:rsidR="00214A41" w:rsidRPr="000B325E" w:rsidRDefault="00000000">
            <w:pPr>
              <w:rPr>
                <w:rFonts w:ascii="Arial" w:hAnsi="Arial" w:cs="Arial"/>
              </w:rPr>
            </w:pPr>
            <w:r w:rsidRPr="000B325E">
              <w:rPr>
                <w:rFonts w:ascii="Arial" w:hAnsi="Arial" w:cs="Arial"/>
                <w:color w:val="262626"/>
                <w:sz w:val="18"/>
                <w:szCs w:val="18"/>
              </w:rPr>
              <w:t>+4% (1S26)</w:t>
            </w:r>
          </w:p>
        </w:tc>
        <w:tc>
          <w:tcPr>
            <w:tcW w:w="2350" w:type="dxa"/>
            <w:shd w:val="clear" w:color="auto" w:fill="F2F2F2"/>
            <w:tcMar>
              <w:top w:w="90" w:type="dxa"/>
              <w:left w:w="120" w:type="dxa"/>
              <w:bottom w:w="90" w:type="dxa"/>
              <w:right w:w="120" w:type="dxa"/>
            </w:tcMar>
            <w:vAlign w:val="center"/>
          </w:tcPr>
          <w:p w14:paraId="6618CDBA" w14:textId="77777777" w:rsidR="00214A41" w:rsidRPr="000B325E" w:rsidRDefault="00000000">
            <w:pPr>
              <w:rPr>
                <w:rFonts w:ascii="Arial" w:hAnsi="Arial" w:cs="Arial"/>
              </w:rPr>
            </w:pPr>
            <w:r w:rsidRPr="000B325E">
              <w:rPr>
                <w:rFonts w:ascii="Arial" w:hAnsi="Arial" w:cs="Arial"/>
                <w:color w:val="262626"/>
                <w:sz w:val="18"/>
                <w:szCs w:val="18"/>
              </w:rPr>
              <w:t>Históricamente próximo a indexación (+1-2%)</w:t>
            </w:r>
          </w:p>
        </w:tc>
        <w:tc>
          <w:tcPr>
            <w:tcW w:w="2300" w:type="dxa"/>
            <w:shd w:val="clear" w:color="auto" w:fill="F2F2F2"/>
            <w:tcMar>
              <w:top w:w="90" w:type="dxa"/>
              <w:left w:w="120" w:type="dxa"/>
              <w:bottom w:w="90" w:type="dxa"/>
              <w:right w:w="120" w:type="dxa"/>
            </w:tcMar>
            <w:vAlign w:val="center"/>
          </w:tcPr>
          <w:p w14:paraId="60994404" w14:textId="77777777" w:rsidR="00214A41" w:rsidRPr="000B325E" w:rsidRDefault="00000000">
            <w:pPr>
              <w:rPr>
                <w:rFonts w:ascii="Arial" w:hAnsi="Arial" w:cs="Arial"/>
              </w:rPr>
            </w:pPr>
            <w:r w:rsidRPr="000B325E">
              <w:rPr>
                <w:rFonts w:ascii="Arial" w:hAnsi="Arial" w:cs="Arial"/>
                <w:color w:val="262626"/>
                <w:sz w:val="18"/>
                <w:szCs w:val="18"/>
              </w:rPr>
              <w:t>Crecimiento muy superior a indexación (+200pb), señal de fuerte poder de fijación de precios</w:t>
            </w:r>
          </w:p>
        </w:tc>
      </w:tr>
    </w:tbl>
    <w:p w14:paraId="2C4EDA9F" w14:textId="77777777" w:rsidR="00214A41" w:rsidRPr="000B325E" w:rsidRDefault="00000000">
      <w:pPr>
        <w:rPr>
          <w:rFonts w:ascii="Arial" w:hAnsi="Arial" w:cs="Arial"/>
        </w:rPr>
      </w:pPr>
      <w:r w:rsidRPr="000B325E">
        <w:rPr>
          <w:rFonts w:ascii="Arial" w:hAnsi="Arial" w:cs="Arial"/>
        </w:rPr>
        <w:br w:type="page"/>
      </w:r>
    </w:p>
    <w:p w14:paraId="6825DF4D" w14:textId="77777777" w:rsidR="00214A41" w:rsidRPr="000B325E" w:rsidRDefault="00000000">
      <w:pPr>
        <w:pStyle w:val="Ttulo1"/>
        <w:pBdr>
          <w:bottom w:val="single" w:sz="8" w:space="4" w:color="1F3864"/>
        </w:pBdr>
        <w:spacing w:before="400" w:after="200"/>
        <w:rPr>
          <w:rFonts w:ascii="Arial" w:hAnsi="Arial" w:cs="Arial"/>
        </w:rPr>
      </w:pPr>
      <w:r w:rsidRPr="000B325E">
        <w:rPr>
          <w:rFonts w:ascii="Arial" w:hAnsi="Arial" w:cs="Arial"/>
          <w:b/>
          <w:bCs/>
          <w:color w:val="1F3864"/>
          <w:sz w:val="26"/>
          <w:szCs w:val="26"/>
        </w:rPr>
        <w:lastRenderedPageBreak/>
        <w:t>5. PARÁMETROS PARA MODELIZACIÓN DCF / NAV</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350"/>
      </w:tblGrid>
      <w:tr w:rsidR="00214A41" w:rsidRPr="000B325E" w14:paraId="79F373F2"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vAlign w:val="center"/>
          </w:tcPr>
          <w:p w14:paraId="0FF46923" w14:textId="77777777" w:rsidR="00214A41" w:rsidRPr="000B325E" w:rsidRDefault="00000000">
            <w:pPr>
              <w:rPr>
                <w:rFonts w:ascii="Arial" w:hAnsi="Arial" w:cs="Arial"/>
              </w:rPr>
            </w:pPr>
            <w:r w:rsidRPr="000B325E">
              <w:rPr>
                <w:rFonts w:ascii="Arial" w:hAnsi="Arial" w:cs="Arial"/>
                <w:b/>
                <w:bCs/>
                <w:color w:val="FFFFFF"/>
                <w:sz w:val="18"/>
                <w:szCs w:val="18"/>
              </w:rPr>
              <w:t>Parámetro</w:t>
            </w:r>
          </w:p>
        </w:tc>
        <w:tc>
          <w:tcPr>
            <w:tcW w:w="2400" w:type="dxa"/>
            <w:shd w:val="clear" w:color="auto" w:fill="1F3864"/>
            <w:tcMar>
              <w:top w:w="100" w:type="dxa"/>
              <w:left w:w="120" w:type="dxa"/>
              <w:bottom w:w="100" w:type="dxa"/>
              <w:right w:w="120" w:type="dxa"/>
            </w:tcMar>
            <w:vAlign w:val="center"/>
          </w:tcPr>
          <w:p w14:paraId="2E72273A" w14:textId="77777777" w:rsidR="00214A41" w:rsidRPr="000B325E" w:rsidRDefault="00000000">
            <w:pPr>
              <w:rPr>
                <w:rFonts w:ascii="Arial" w:hAnsi="Arial" w:cs="Arial"/>
              </w:rPr>
            </w:pPr>
            <w:r w:rsidRPr="000B325E">
              <w:rPr>
                <w:rFonts w:ascii="Arial" w:hAnsi="Arial" w:cs="Arial"/>
                <w:b/>
                <w:bCs/>
                <w:color w:val="FFFFFF"/>
                <w:sz w:val="18"/>
                <w:szCs w:val="18"/>
              </w:rPr>
              <w:t>Rango recomendado</w:t>
            </w:r>
          </w:p>
        </w:tc>
        <w:tc>
          <w:tcPr>
            <w:tcW w:w="4350" w:type="dxa"/>
            <w:shd w:val="clear" w:color="auto" w:fill="1F3864"/>
            <w:tcMar>
              <w:top w:w="100" w:type="dxa"/>
              <w:left w:w="120" w:type="dxa"/>
              <w:bottom w:w="100" w:type="dxa"/>
              <w:right w:w="120" w:type="dxa"/>
            </w:tcMar>
            <w:vAlign w:val="center"/>
          </w:tcPr>
          <w:p w14:paraId="6C57A8CB" w14:textId="77777777" w:rsidR="00214A41" w:rsidRPr="000B325E" w:rsidRDefault="00000000">
            <w:pPr>
              <w:rPr>
                <w:rFonts w:ascii="Arial" w:hAnsi="Arial" w:cs="Arial"/>
              </w:rPr>
            </w:pPr>
            <w:r w:rsidRPr="000B325E">
              <w:rPr>
                <w:rFonts w:ascii="Arial" w:hAnsi="Arial" w:cs="Arial"/>
                <w:b/>
                <w:bCs/>
                <w:color w:val="FFFFFF"/>
                <w:sz w:val="18"/>
                <w:szCs w:val="18"/>
              </w:rPr>
              <w:t>Racional</w:t>
            </w:r>
          </w:p>
        </w:tc>
      </w:tr>
      <w:tr w:rsidR="00214A41" w:rsidRPr="000B325E" w14:paraId="552F772D" w14:textId="77777777">
        <w:tblPrEx>
          <w:tblCellMar>
            <w:top w:w="0" w:type="dxa"/>
            <w:bottom w:w="0" w:type="dxa"/>
          </w:tblCellMar>
        </w:tblPrEx>
        <w:tc>
          <w:tcPr>
            <w:tcW w:w="2600" w:type="dxa"/>
            <w:tcMar>
              <w:top w:w="90" w:type="dxa"/>
              <w:left w:w="120" w:type="dxa"/>
              <w:bottom w:w="90" w:type="dxa"/>
              <w:right w:w="120" w:type="dxa"/>
            </w:tcMar>
            <w:vAlign w:val="center"/>
          </w:tcPr>
          <w:p w14:paraId="0BB40307" w14:textId="77777777" w:rsidR="00214A41" w:rsidRPr="000B325E" w:rsidRDefault="00000000">
            <w:pPr>
              <w:rPr>
                <w:rFonts w:ascii="Arial" w:hAnsi="Arial" w:cs="Arial"/>
              </w:rPr>
            </w:pPr>
            <w:r w:rsidRPr="000B325E">
              <w:rPr>
                <w:rFonts w:ascii="Arial" w:hAnsi="Arial" w:cs="Arial"/>
                <w:color w:val="262626"/>
                <w:sz w:val="18"/>
                <w:szCs w:val="18"/>
              </w:rPr>
              <w:t>WACC</w:t>
            </w:r>
          </w:p>
        </w:tc>
        <w:tc>
          <w:tcPr>
            <w:tcW w:w="2400" w:type="dxa"/>
            <w:tcMar>
              <w:top w:w="90" w:type="dxa"/>
              <w:left w:w="120" w:type="dxa"/>
              <w:bottom w:w="90" w:type="dxa"/>
              <w:right w:w="120" w:type="dxa"/>
            </w:tcMar>
            <w:vAlign w:val="center"/>
          </w:tcPr>
          <w:p w14:paraId="13E4DD9E" w14:textId="77777777" w:rsidR="00214A41" w:rsidRPr="000B325E" w:rsidRDefault="00000000">
            <w:pPr>
              <w:rPr>
                <w:rFonts w:ascii="Arial" w:hAnsi="Arial" w:cs="Arial"/>
              </w:rPr>
            </w:pPr>
            <w:r w:rsidRPr="000B325E">
              <w:rPr>
                <w:rFonts w:ascii="Arial" w:hAnsi="Arial" w:cs="Arial"/>
                <w:color w:val="262626"/>
                <w:sz w:val="18"/>
                <w:szCs w:val="18"/>
              </w:rPr>
              <w:t>6,5% – 7,5% (sensibilizar 6% – 8%)</w:t>
            </w:r>
          </w:p>
        </w:tc>
        <w:tc>
          <w:tcPr>
            <w:tcW w:w="4350" w:type="dxa"/>
            <w:tcMar>
              <w:top w:w="90" w:type="dxa"/>
              <w:left w:w="120" w:type="dxa"/>
              <w:bottom w:w="90" w:type="dxa"/>
              <w:right w:w="120" w:type="dxa"/>
            </w:tcMar>
            <w:vAlign w:val="center"/>
          </w:tcPr>
          <w:p w14:paraId="4E16A11B" w14:textId="77777777" w:rsidR="00214A41" w:rsidRPr="000B325E" w:rsidRDefault="00000000">
            <w:pPr>
              <w:rPr>
                <w:rFonts w:ascii="Arial" w:hAnsi="Arial" w:cs="Arial"/>
              </w:rPr>
            </w:pPr>
            <w:r w:rsidRPr="000B325E">
              <w:rPr>
                <w:rFonts w:ascii="Arial" w:hAnsi="Arial" w:cs="Arial"/>
                <w:color w:val="262626"/>
                <w:sz w:val="18"/>
                <w:szCs w:val="18"/>
              </w:rPr>
              <w:t>El coste de la deuda de escaparate (1,99%) no refleja el coste marginal real (~3,9%); un WACC por debajo de 6,5% subestima el riesgo de refinanciación</w:t>
            </w:r>
          </w:p>
        </w:tc>
      </w:tr>
      <w:tr w:rsidR="00214A41" w:rsidRPr="000B325E" w14:paraId="0C9B2554"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18FBE88B" w14:textId="77777777" w:rsidR="00214A41" w:rsidRPr="000B325E" w:rsidRDefault="00000000">
            <w:pPr>
              <w:rPr>
                <w:rFonts w:ascii="Arial" w:hAnsi="Arial" w:cs="Arial"/>
              </w:rPr>
            </w:pPr>
            <w:r w:rsidRPr="000B325E">
              <w:rPr>
                <w:rFonts w:ascii="Arial" w:hAnsi="Arial" w:cs="Arial"/>
                <w:color w:val="262626"/>
                <w:sz w:val="18"/>
                <w:szCs w:val="18"/>
              </w:rPr>
              <w:t xml:space="preserve">Beta </w:t>
            </w:r>
            <w:proofErr w:type="spellStart"/>
            <w:r w:rsidRPr="000B325E">
              <w:rPr>
                <w:rFonts w:ascii="Arial" w:hAnsi="Arial" w:cs="Arial"/>
                <w:color w:val="262626"/>
                <w:sz w:val="18"/>
                <w:szCs w:val="18"/>
              </w:rPr>
              <w:t>desapalancada</w:t>
            </w:r>
            <w:proofErr w:type="spellEnd"/>
            <w:r w:rsidRPr="000B325E">
              <w:rPr>
                <w:rFonts w:ascii="Arial" w:hAnsi="Arial" w:cs="Arial"/>
                <w:color w:val="262626"/>
                <w:sz w:val="18"/>
                <w:szCs w:val="18"/>
              </w:rPr>
              <w:t xml:space="preserve"> (</w:t>
            </w:r>
            <w:proofErr w:type="spellStart"/>
            <w:r w:rsidRPr="000B325E">
              <w:rPr>
                <w:rFonts w:ascii="Arial" w:hAnsi="Arial" w:cs="Arial"/>
                <w:color w:val="262626"/>
                <w:sz w:val="18"/>
                <w:szCs w:val="18"/>
              </w:rPr>
              <w:t>unlevered</w:t>
            </w:r>
            <w:proofErr w:type="spellEnd"/>
            <w:r w:rsidRPr="000B325E">
              <w:rPr>
                <w:rFonts w:ascii="Arial" w:hAnsi="Arial" w:cs="Arial"/>
                <w:color w:val="262626"/>
                <w:sz w:val="18"/>
                <w:szCs w:val="18"/>
              </w:rPr>
              <w:t>)</w:t>
            </w:r>
          </w:p>
        </w:tc>
        <w:tc>
          <w:tcPr>
            <w:tcW w:w="2400" w:type="dxa"/>
            <w:shd w:val="clear" w:color="auto" w:fill="F2F2F2"/>
            <w:tcMar>
              <w:top w:w="90" w:type="dxa"/>
              <w:left w:w="120" w:type="dxa"/>
              <w:bottom w:w="90" w:type="dxa"/>
              <w:right w:w="120" w:type="dxa"/>
            </w:tcMar>
            <w:vAlign w:val="center"/>
          </w:tcPr>
          <w:p w14:paraId="1314E541" w14:textId="77777777" w:rsidR="00214A41" w:rsidRPr="000B325E" w:rsidRDefault="00000000">
            <w:pPr>
              <w:rPr>
                <w:rFonts w:ascii="Arial" w:hAnsi="Arial" w:cs="Arial"/>
              </w:rPr>
            </w:pPr>
            <w:r w:rsidRPr="000B325E">
              <w:rPr>
                <w:rFonts w:ascii="Arial" w:hAnsi="Arial" w:cs="Arial"/>
                <w:color w:val="262626"/>
                <w:sz w:val="18"/>
                <w:szCs w:val="18"/>
              </w:rPr>
              <w:t>0,55 – 0,70</w:t>
            </w:r>
          </w:p>
        </w:tc>
        <w:tc>
          <w:tcPr>
            <w:tcW w:w="4350" w:type="dxa"/>
            <w:shd w:val="clear" w:color="auto" w:fill="F2F2F2"/>
            <w:tcMar>
              <w:top w:w="90" w:type="dxa"/>
              <w:left w:w="120" w:type="dxa"/>
              <w:bottom w:w="90" w:type="dxa"/>
              <w:right w:w="120" w:type="dxa"/>
            </w:tcMar>
            <w:vAlign w:val="center"/>
          </w:tcPr>
          <w:p w14:paraId="23ABB067" w14:textId="77777777" w:rsidR="00214A41" w:rsidRPr="000B325E" w:rsidRDefault="00000000">
            <w:pPr>
              <w:rPr>
                <w:rFonts w:ascii="Arial" w:hAnsi="Arial" w:cs="Arial"/>
              </w:rPr>
            </w:pPr>
            <w:r w:rsidRPr="000B325E">
              <w:rPr>
                <w:rFonts w:ascii="Arial" w:hAnsi="Arial" w:cs="Arial"/>
                <w:color w:val="262626"/>
                <w:sz w:val="18"/>
                <w:szCs w:val="18"/>
              </w:rPr>
              <w:t xml:space="preserve">Rango típico de </w:t>
            </w:r>
            <w:proofErr w:type="spellStart"/>
            <w:r w:rsidRPr="000B325E">
              <w:rPr>
                <w:rFonts w:ascii="Arial" w:hAnsi="Arial" w:cs="Arial"/>
                <w:color w:val="262626"/>
                <w:sz w:val="18"/>
                <w:szCs w:val="18"/>
              </w:rPr>
              <w:t>REITs</w:t>
            </w:r>
            <w:proofErr w:type="spellEnd"/>
            <w:r w:rsidRPr="000B325E">
              <w:rPr>
                <w:rFonts w:ascii="Arial" w:hAnsi="Arial" w:cs="Arial"/>
                <w:color w:val="262626"/>
                <w:sz w:val="18"/>
                <w:szCs w:val="18"/>
              </w:rPr>
              <w:t xml:space="preserve"> de oficinas prime CBD europeas; activo defensivo pero sensible al ciclo de tipos</w:t>
            </w:r>
          </w:p>
        </w:tc>
      </w:tr>
      <w:tr w:rsidR="00214A41" w:rsidRPr="000B325E" w14:paraId="7537D36D" w14:textId="77777777">
        <w:tblPrEx>
          <w:tblCellMar>
            <w:top w:w="0" w:type="dxa"/>
            <w:bottom w:w="0" w:type="dxa"/>
          </w:tblCellMar>
        </w:tblPrEx>
        <w:tc>
          <w:tcPr>
            <w:tcW w:w="2600" w:type="dxa"/>
            <w:tcMar>
              <w:top w:w="90" w:type="dxa"/>
              <w:left w:w="120" w:type="dxa"/>
              <w:bottom w:w="90" w:type="dxa"/>
              <w:right w:w="120" w:type="dxa"/>
            </w:tcMar>
            <w:vAlign w:val="center"/>
          </w:tcPr>
          <w:p w14:paraId="36F3CD0D" w14:textId="77777777" w:rsidR="00214A41" w:rsidRPr="000B325E" w:rsidRDefault="00000000">
            <w:pPr>
              <w:rPr>
                <w:rFonts w:ascii="Arial" w:hAnsi="Arial" w:cs="Arial"/>
              </w:rPr>
            </w:pPr>
            <w:r w:rsidRPr="000B325E">
              <w:rPr>
                <w:rFonts w:ascii="Arial" w:hAnsi="Arial" w:cs="Arial"/>
                <w:color w:val="262626"/>
                <w:sz w:val="18"/>
                <w:szCs w:val="18"/>
              </w:rPr>
              <w:t>Beta apalancada observada</w:t>
            </w:r>
          </w:p>
        </w:tc>
        <w:tc>
          <w:tcPr>
            <w:tcW w:w="2400" w:type="dxa"/>
            <w:tcMar>
              <w:top w:w="90" w:type="dxa"/>
              <w:left w:w="120" w:type="dxa"/>
              <w:bottom w:w="90" w:type="dxa"/>
              <w:right w:w="120" w:type="dxa"/>
            </w:tcMar>
            <w:vAlign w:val="center"/>
          </w:tcPr>
          <w:p w14:paraId="420E34C7" w14:textId="77777777" w:rsidR="00214A41" w:rsidRPr="000B325E" w:rsidRDefault="00000000">
            <w:pPr>
              <w:rPr>
                <w:rFonts w:ascii="Arial" w:hAnsi="Arial" w:cs="Arial"/>
              </w:rPr>
            </w:pPr>
            <w:r w:rsidRPr="000B325E">
              <w:rPr>
                <w:rFonts w:ascii="Arial" w:hAnsi="Arial" w:cs="Arial"/>
                <w:color w:val="262626"/>
                <w:sz w:val="18"/>
                <w:szCs w:val="18"/>
              </w:rPr>
              <w:t>≈ 1,1 – 1,3</w:t>
            </w:r>
          </w:p>
        </w:tc>
        <w:tc>
          <w:tcPr>
            <w:tcW w:w="4350" w:type="dxa"/>
            <w:tcMar>
              <w:top w:w="90" w:type="dxa"/>
              <w:left w:w="120" w:type="dxa"/>
              <w:bottom w:w="90" w:type="dxa"/>
              <w:right w:w="120" w:type="dxa"/>
            </w:tcMar>
            <w:vAlign w:val="center"/>
          </w:tcPr>
          <w:p w14:paraId="360B93F4" w14:textId="77777777" w:rsidR="00214A41" w:rsidRPr="000B325E" w:rsidRDefault="00000000">
            <w:pPr>
              <w:rPr>
                <w:rFonts w:ascii="Arial" w:hAnsi="Arial" w:cs="Arial"/>
              </w:rPr>
            </w:pPr>
            <w:r w:rsidRPr="000B325E">
              <w:rPr>
                <w:rFonts w:ascii="Arial" w:hAnsi="Arial" w:cs="Arial"/>
                <w:color w:val="262626"/>
                <w:sz w:val="18"/>
                <w:szCs w:val="18"/>
              </w:rPr>
              <w:t xml:space="preserve">Consistente con el apalancamiento actual (LTV 37-45%) aplicado sobre la beta </w:t>
            </w:r>
            <w:proofErr w:type="spellStart"/>
            <w:r w:rsidRPr="000B325E">
              <w:rPr>
                <w:rFonts w:ascii="Arial" w:hAnsi="Arial" w:cs="Arial"/>
                <w:color w:val="262626"/>
                <w:sz w:val="18"/>
                <w:szCs w:val="18"/>
              </w:rPr>
              <w:t>desapalancada</w:t>
            </w:r>
            <w:proofErr w:type="spellEnd"/>
          </w:p>
        </w:tc>
      </w:tr>
      <w:tr w:rsidR="00214A41" w:rsidRPr="000B325E" w14:paraId="696790A7"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79B6E9FD" w14:textId="77777777" w:rsidR="00214A41" w:rsidRPr="000B325E" w:rsidRDefault="00000000">
            <w:pPr>
              <w:rPr>
                <w:rFonts w:ascii="Arial" w:hAnsi="Arial" w:cs="Arial"/>
              </w:rPr>
            </w:pPr>
            <w:r w:rsidRPr="000B325E">
              <w:rPr>
                <w:rFonts w:ascii="Arial" w:hAnsi="Arial" w:cs="Arial"/>
                <w:color w:val="262626"/>
                <w:sz w:val="18"/>
                <w:szCs w:val="18"/>
              </w:rPr>
              <w:t>Tasa de crecimiento terminal (g)</w:t>
            </w:r>
          </w:p>
        </w:tc>
        <w:tc>
          <w:tcPr>
            <w:tcW w:w="2400" w:type="dxa"/>
            <w:shd w:val="clear" w:color="auto" w:fill="F2F2F2"/>
            <w:tcMar>
              <w:top w:w="90" w:type="dxa"/>
              <w:left w:w="120" w:type="dxa"/>
              <w:bottom w:w="90" w:type="dxa"/>
              <w:right w:w="120" w:type="dxa"/>
            </w:tcMar>
            <w:vAlign w:val="center"/>
          </w:tcPr>
          <w:p w14:paraId="793B969A" w14:textId="77777777" w:rsidR="00214A41" w:rsidRPr="000B325E" w:rsidRDefault="00000000">
            <w:pPr>
              <w:rPr>
                <w:rFonts w:ascii="Arial" w:hAnsi="Arial" w:cs="Arial"/>
              </w:rPr>
            </w:pPr>
            <w:r w:rsidRPr="000B325E">
              <w:rPr>
                <w:rFonts w:ascii="Arial" w:hAnsi="Arial" w:cs="Arial"/>
                <w:color w:val="262626"/>
                <w:sz w:val="18"/>
                <w:szCs w:val="18"/>
              </w:rPr>
              <w:t>1,5% – 2,0%</w:t>
            </w:r>
          </w:p>
        </w:tc>
        <w:tc>
          <w:tcPr>
            <w:tcW w:w="4350" w:type="dxa"/>
            <w:shd w:val="clear" w:color="auto" w:fill="F2F2F2"/>
            <w:tcMar>
              <w:top w:w="90" w:type="dxa"/>
              <w:left w:w="120" w:type="dxa"/>
              <w:bottom w:w="90" w:type="dxa"/>
              <w:right w:w="120" w:type="dxa"/>
            </w:tcMar>
            <w:vAlign w:val="center"/>
          </w:tcPr>
          <w:p w14:paraId="7E0D9059" w14:textId="77777777" w:rsidR="00214A41" w:rsidRPr="000B325E" w:rsidRDefault="00000000">
            <w:pPr>
              <w:rPr>
                <w:rFonts w:ascii="Arial" w:hAnsi="Arial" w:cs="Arial"/>
              </w:rPr>
            </w:pPr>
            <w:r w:rsidRPr="000B325E">
              <w:rPr>
                <w:rFonts w:ascii="Arial" w:hAnsi="Arial" w:cs="Arial"/>
                <w:color w:val="262626"/>
                <w:sz w:val="18"/>
                <w:szCs w:val="18"/>
              </w:rPr>
              <w:t xml:space="preserve">En línea con indexación estructural de rentas; conservador frente al </w:t>
            </w:r>
            <w:proofErr w:type="spellStart"/>
            <w:r w:rsidRPr="000B325E">
              <w:rPr>
                <w:rFonts w:ascii="Arial" w:hAnsi="Arial" w:cs="Arial"/>
                <w:color w:val="262626"/>
                <w:sz w:val="18"/>
                <w:szCs w:val="18"/>
              </w:rPr>
              <w:t>release</w:t>
            </w:r>
            <w:proofErr w:type="spellEnd"/>
            <w:r w:rsidRPr="000B325E">
              <w:rPr>
                <w:rFonts w:ascii="Arial" w:hAnsi="Arial" w:cs="Arial"/>
                <w:color w:val="262626"/>
                <w:sz w:val="18"/>
                <w:szCs w:val="18"/>
              </w:rPr>
              <w:t xml:space="preserve"> spread actual (+7% a +18%), que no debe extrapolarse a perpetuidad</w:t>
            </w:r>
          </w:p>
        </w:tc>
      </w:tr>
      <w:tr w:rsidR="00214A41" w:rsidRPr="000B325E" w14:paraId="436B0C00" w14:textId="77777777">
        <w:tblPrEx>
          <w:tblCellMar>
            <w:top w:w="0" w:type="dxa"/>
            <w:bottom w:w="0" w:type="dxa"/>
          </w:tblCellMar>
        </w:tblPrEx>
        <w:tc>
          <w:tcPr>
            <w:tcW w:w="2600" w:type="dxa"/>
            <w:tcMar>
              <w:top w:w="90" w:type="dxa"/>
              <w:left w:w="120" w:type="dxa"/>
              <w:bottom w:w="90" w:type="dxa"/>
              <w:right w:w="120" w:type="dxa"/>
            </w:tcMar>
            <w:vAlign w:val="center"/>
          </w:tcPr>
          <w:p w14:paraId="45254D48" w14:textId="77777777" w:rsidR="00214A41" w:rsidRPr="000B325E" w:rsidRDefault="00000000">
            <w:pPr>
              <w:rPr>
                <w:rFonts w:ascii="Arial" w:hAnsi="Arial" w:cs="Arial"/>
              </w:rPr>
            </w:pPr>
            <w:proofErr w:type="spellStart"/>
            <w:r w:rsidRPr="000B325E">
              <w:rPr>
                <w:rFonts w:ascii="Arial" w:hAnsi="Arial" w:cs="Arial"/>
                <w:color w:val="262626"/>
                <w:sz w:val="18"/>
                <w:szCs w:val="18"/>
              </w:rPr>
              <w:t>Cap</w:t>
            </w:r>
            <w:proofErr w:type="spellEnd"/>
            <w:r w:rsidRPr="000B325E">
              <w:rPr>
                <w:rFonts w:ascii="Arial" w:hAnsi="Arial" w:cs="Arial"/>
                <w:color w:val="262626"/>
                <w:sz w:val="18"/>
                <w:szCs w:val="18"/>
              </w:rPr>
              <w:t xml:space="preserve"> </w:t>
            </w:r>
            <w:proofErr w:type="spellStart"/>
            <w:r w:rsidRPr="000B325E">
              <w:rPr>
                <w:rFonts w:ascii="Arial" w:hAnsi="Arial" w:cs="Arial"/>
                <w:color w:val="262626"/>
                <w:sz w:val="18"/>
                <w:szCs w:val="18"/>
              </w:rPr>
              <w:t>rate</w:t>
            </w:r>
            <w:proofErr w:type="spellEnd"/>
            <w:r w:rsidRPr="000B325E">
              <w:rPr>
                <w:rFonts w:ascii="Arial" w:hAnsi="Arial" w:cs="Arial"/>
                <w:color w:val="262626"/>
                <w:sz w:val="18"/>
                <w:szCs w:val="18"/>
              </w:rPr>
              <w:t xml:space="preserve"> de salida (terminal)</w:t>
            </w:r>
          </w:p>
        </w:tc>
        <w:tc>
          <w:tcPr>
            <w:tcW w:w="2400" w:type="dxa"/>
            <w:tcMar>
              <w:top w:w="90" w:type="dxa"/>
              <w:left w:w="120" w:type="dxa"/>
              <w:bottom w:w="90" w:type="dxa"/>
              <w:right w:w="120" w:type="dxa"/>
            </w:tcMar>
            <w:vAlign w:val="center"/>
          </w:tcPr>
          <w:p w14:paraId="43128B3D" w14:textId="77777777" w:rsidR="00214A41" w:rsidRPr="000B325E" w:rsidRDefault="00000000">
            <w:pPr>
              <w:rPr>
                <w:rFonts w:ascii="Arial" w:hAnsi="Arial" w:cs="Arial"/>
              </w:rPr>
            </w:pPr>
            <w:r w:rsidRPr="000B325E">
              <w:rPr>
                <w:rFonts w:ascii="Arial" w:hAnsi="Arial" w:cs="Arial"/>
                <w:color w:val="262626"/>
                <w:sz w:val="18"/>
                <w:szCs w:val="18"/>
              </w:rPr>
              <w:t>4,2% – 4,9%</w:t>
            </w:r>
          </w:p>
        </w:tc>
        <w:tc>
          <w:tcPr>
            <w:tcW w:w="4350" w:type="dxa"/>
            <w:tcMar>
              <w:top w:w="90" w:type="dxa"/>
              <w:left w:w="120" w:type="dxa"/>
              <w:bottom w:w="90" w:type="dxa"/>
              <w:right w:w="120" w:type="dxa"/>
            </w:tcMar>
            <w:vAlign w:val="center"/>
          </w:tcPr>
          <w:p w14:paraId="397472F6" w14:textId="77777777" w:rsidR="00214A41" w:rsidRPr="000B325E" w:rsidRDefault="00000000">
            <w:pPr>
              <w:rPr>
                <w:rFonts w:ascii="Arial" w:hAnsi="Arial" w:cs="Arial"/>
              </w:rPr>
            </w:pPr>
            <w:r w:rsidRPr="000B325E">
              <w:rPr>
                <w:rFonts w:ascii="Arial" w:hAnsi="Arial" w:cs="Arial"/>
                <w:color w:val="262626"/>
                <w:sz w:val="18"/>
                <w:szCs w:val="18"/>
              </w:rPr>
              <w:t xml:space="preserve">Coherente con las </w:t>
            </w:r>
            <w:proofErr w:type="spellStart"/>
            <w:r w:rsidRPr="000B325E">
              <w:rPr>
                <w:rFonts w:ascii="Arial" w:hAnsi="Arial" w:cs="Arial"/>
                <w:color w:val="262626"/>
                <w:sz w:val="18"/>
                <w:szCs w:val="18"/>
              </w:rPr>
              <w:t>yields</w:t>
            </w:r>
            <w:proofErr w:type="spellEnd"/>
            <w:r w:rsidRPr="000B325E">
              <w:rPr>
                <w:rFonts w:ascii="Arial" w:hAnsi="Arial" w:cs="Arial"/>
                <w:color w:val="262626"/>
                <w:sz w:val="18"/>
                <w:szCs w:val="18"/>
              </w:rPr>
              <w:t xml:space="preserve"> de tasación actuales por mercado (París 4,0-4,2%, Madrid 4,7-4,9%, Barcelona 4,2-4,9%)</w:t>
            </w:r>
          </w:p>
        </w:tc>
      </w:tr>
    </w:tbl>
    <w:p w14:paraId="7CB84486" w14:textId="77777777" w:rsidR="00214A41" w:rsidRPr="000B325E" w:rsidRDefault="00000000">
      <w:pPr>
        <w:rPr>
          <w:rFonts w:ascii="Arial" w:hAnsi="Arial" w:cs="Arial"/>
        </w:rPr>
      </w:pPr>
      <w:r w:rsidRPr="000B325E">
        <w:rPr>
          <w:rFonts w:ascii="Arial" w:hAnsi="Arial" w:cs="Arial"/>
        </w:rPr>
        <w:br w:type="page"/>
      </w:r>
    </w:p>
    <w:p w14:paraId="4429B16E" w14:textId="77777777" w:rsidR="00214A41" w:rsidRPr="000B325E" w:rsidRDefault="00000000">
      <w:pPr>
        <w:pStyle w:val="Ttulo1"/>
        <w:pBdr>
          <w:bottom w:val="single" w:sz="8" w:space="4" w:color="1F3864"/>
        </w:pBdr>
        <w:spacing w:before="400" w:after="200"/>
        <w:rPr>
          <w:rFonts w:ascii="Arial" w:hAnsi="Arial" w:cs="Arial"/>
        </w:rPr>
      </w:pPr>
      <w:r w:rsidRPr="000B325E">
        <w:rPr>
          <w:rFonts w:ascii="Arial" w:hAnsi="Arial" w:cs="Arial"/>
          <w:b/>
          <w:bCs/>
          <w:color w:val="1F3864"/>
          <w:sz w:val="26"/>
          <w:szCs w:val="26"/>
        </w:rPr>
        <w:lastRenderedPageBreak/>
        <w:t>6. MATRIZ DE RIESGOS</w:t>
      </w:r>
    </w:p>
    <w:p w14:paraId="0E88A041" w14:textId="77777777" w:rsidR="00214A41" w:rsidRPr="000B325E" w:rsidRDefault="00000000">
      <w:pPr>
        <w:pStyle w:val="Ttulo2"/>
        <w:spacing w:before="300" w:after="120"/>
        <w:rPr>
          <w:rFonts w:ascii="Arial" w:hAnsi="Arial" w:cs="Arial"/>
        </w:rPr>
      </w:pPr>
      <w:r w:rsidRPr="000B325E">
        <w:rPr>
          <w:rFonts w:ascii="Arial" w:hAnsi="Arial" w:cs="Arial"/>
          <w:b/>
          <w:bCs/>
          <w:color w:val="0E2240"/>
          <w:sz w:val="22"/>
          <w:szCs w:val="22"/>
        </w:rPr>
        <w:t>6.1 Riesgo #1 — Muro de refinanciación a coste creciente</w:t>
      </w:r>
    </w:p>
    <w:p w14:paraId="2A78A88B" w14:textId="77777777" w:rsidR="00214A41" w:rsidRPr="000B325E" w:rsidRDefault="00000000">
      <w:pPr>
        <w:spacing w:after="160" w:line="276" w:lineRule="auto"/>
        <w:jc w:val="both"/>
        <w:rPr>
          <w:rFonts w:ascii="Arial" w:hAnsi="Arial" w:cs="Arial"/>
        </w:rPr>
      </w:pPr>
      <w:r w:rsidRPr="000B325E">
        <w:rPr>
          <w:rFonts w:ascii="Arial" w:hAnsi="Arial" w:cs="Arial"/>
          <w:color w:val="262626"/>
        </w:rPr>
        <w:t>Aunque la liquidez actual (&gt;2.500M€) cubre los vencimientos de deuda hasta 2029, cada tramo que se refinancie a los tipos de mercado actuales (~3,5%-4% frente al 1,99% medio) erosionará directamente el resultado neto recurrente y la cobertura del dividendo. Si el ciclo de bajadas del BCE se frena o revierte, el diferencial entre coste medio y coste marginal se ampliará más de lo descontado por el consenso, presionando el AFFO por acción.</w:t>
      </w:r>
    </w:p>
    <w:p w14:paraId="71E6A88C" w14:textId="77777777" w:rsidR="00214A41" w:rsidRPr="00015A61" w:rsidRDefault="00000000">
      <w:pPr>
        <w:pStyle w:val="Ttulo2"/>
        <w:spacing w:before="300" w:after="120"/>
        <w:rPr>
          <w:rFonts w:ascii="Arial" w:hAnsi="Arial" w:cs="Arial"/>
        </w:rPr>
      </w:pPr>
      <w:r w:rsidRPr="000B325E">
        <w:rPr>
          <w:rFonts w:ascii="Arial" w:hAnsi="Arial" w:cs="Arial"/>
          <w:b/>
          <w:bCs/>
          <w:color w:val="0E2240"/>
          <w:sz w:val="22"/>
          <w:szCs w:val="22"/>
        </w:rPr>
        <w:t xml:space="preserve">6.2 </w:t>
      </w:r>
      <w:r w:rsidRPr="00015A61">
        <w:rPr>
          <w:rFonts w:ascii="Arial" w:hAnsi="Arial" w:cs="Arial"/>
          <w:b/>
          <w:bCs/>
          <w:color w:val="0E2240"/>
          <w:sz w:val="22"/>
          <w:szCs w:val="22"/>
        </w:rPr>
        <w:t xml:space="preserve">Riesgo #2 — Nueva caída de tasaciones (GAV) que active el LTV como </w:t>
      </w:r>
      <w:proofErr w:type="spellStart"/>
      <w:r w:rsidRPr="00015A61">
        <w:rPr>
          <w:rFonts w:ascii="Arial" w:hAnsi="Arial" w:cs="Arial"/>
          <w:b/>
          <w:bCs/>
          <w:color w:val="0E2240"/>
          <w:sz w:val="22"/>
          <w:szCs w:val="22"/>
        </w:rPr>
        <w:t>covenant</w:t>
      </w:r>
      <w:proofErr w:type="spellEnd"/>
    </w:p>
    <w:p w14:paraId="38DCEAB6" w14:textId="0FFED2CA" w:rsidR="00214A41" w:rsidRPr="00015A61" w:rsidRDefault="00000000">
      <w:pPr>
        <w:spacing w:after="160" w:line="276" w:lineRule="auto"/>
        <w:jc w:val="both"/>
        <w:rPr>
          <w:rFonts w:ascii="Arial" w:hAnsi="Arial" w:cs="Arial"/>
          <w:color w:val="262626"/>
        </w:rPr>
      </w:pPr>
      <w:r w:rsidRPr="00015A61">
        <w:rPr>
          <w:rFonts w:ascii="Arial" w:hAnsi="Arial" w:cs="Arial"/>
          <w:color w:val="262626"/>
        </w:rPr>
        <w:t>Con un LTV del 36,7% existe colchón hoy, pero una corrección adicional del valor de los activos —especialmente si el mercado de inversión en París (</w:t>
      </w:r>
      <w:proofErr w:type="spellStart"/>
      <w:r w:rsidRPr="00015A61">
        <w:rPr>
          <w:rFonts w:ascii="Arial" w:hAnsi="Arial" w:cs="Arial"/>
          <w:color w:val="262626"/>
        </w:rPr>
        <w:t>yields</w:t>
      </w:r>
      <w:proofErr w:type="spellEnd"/>
      <w:r w:rsidRPr="00015A61">
        <w:rPr>
          <w:rFonts w:ascii="Arial" w:hAnsi="Arial" w:cs="Arial"/>
          <w:color w:val="262626"/>
        </w:rPr>
        <w:t xml:space="preserve"> más ajustadas, 4,0-4,2%) no confirma el suelo marcado por las desinversiones recientes— elevaría el LTV mecánicamente. Esto podría forzar ventas adicionales en un mercado débil, diluir accionistas o comprometer el rating de grado de inversión (BBB+), encareciendo aún más el acceso a deuda.</w:t>
      </w:r>
    </w:p>
    <w:p w14:paraId="684AE64D" w14:textId="4579DC81" w:rsidR="00015A61" w:rsidRPr="00015A61" w:rsidRDefault="00015A61">
      <w:pPr>
        <w:spacing w:after="160" w:line="276" w:lineRule="auto"/>
        <w:jc w:val="both"/>
        <w:rPr>
          <w:rFonts w:ascii="Arial" w:hAnsi="Arial" w:cs="Arial"/>
        </w:rPr>
      </w:pPr>
      <w:r w:rsidRPr="00015A61">
        <w:rPr>
          <w:rFonts w:ascii="Arial" w:hAnsi="Arial" w:cs="Arial"/>
          <w:noProof/>
        </w:rPr>
        <w:drawing>
          <wp:anchor distT="0" distB="0" distL="114300" distR="114300" simplePos="0" relativeHeight="251659264" behindDoc="1" locked="0" layoutInCell="1" allowOverlap="1" wp14:anchorId="525263A4" wp14:editId="53E8E496">
            <wp:simplePos x="0" y="0"/>
            <wp:positionH relativeFrom="column">
              <wp:posOffset>30480</wp:posOffset>
            </wp:positionH>
            <wp:positionV relativeFrom="paragraph">
              <wp:posOffset>779780</wp:posOffset>
            </wp:positionV>
            <wp:extent cx="2577465" cy="1083945"/>
            <wp:effectExtent l="0" t="0" r="635" b="0"/>
            <wp:wrapTopAndBottom/>
            <wp:docPr id="11063439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4397" name="Imagen 11063439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77465" cy="1083945"/>
                    </a:xfrm>
                    <a:prstGeom prst="rect">
                      <a:avLst/>
                    </a:prstGeom>
                  </pic:spPr>
                </pic:pic>
              </a:graphicData>
            </a:graphic>
            <wp14:sizeRelH relativeFrom="page">
              <wp14:pctWidth>0</wp14:pctWidth>
            </wp14:sizeRelH>
            <wp14:sizeRelV relativeFrom="page">
              <wp14:pctHeight>0</wp14:pctHeight>
            </wp14:sizeRelV>
          </wp:anchor>
        </w:drawing>
      </w:r>
      <w:r w:rsidRPr="00015A61">
        <w:rPr>
          <w:rFonts w:ascii="Arial" w:hAnsi="Arial" w:cs="Arial"/>
          <w:b/>
          <w:bCs/>
          <w:color w:val="000000"/>
        </w:rPr>
        <w:t xml:space="preserve">Análisis de Sensibilidad de </w:t>
      </w:r>
      <w:proofErr w:type="spellStart"/>
      <w:r w:rsidRPr="00015A61">
        <w:rPr>
          <w:rFonts w:ascii="Arial" w:hAnsi="Arial" w:cs="Arial"/>
          <w:b/>
          <w:bCs/>
          <w:color w:val="000000"/>
        </w:rPr>
        <w:t>Covenants</w:t>
      </w:r>
      <w:proofErr w:type="spellEnd"/>
      <w:r w:rsidRPr="00015A61">
        <w:rPr>
          <w:rFonts w:ascii="Arial" w:hAnsi="Arial" w:cs="Arial"/>
          <w:b/>
          <w:bCs/>
          <w:color w:val="000000"/>
        </w:rPr>
        <w:t xml:space="preserve"> (Margen de Seguridad del GAV)</w:t>
      </w:r>
      <w:r>
        <w:rPr>
          <w:rFonts w:ascii="Arial" w:hAnsi="Arial" w:cs="Arial"/>
          <w:b/>
          <w:bCs/>
          <w:color w:val="000000"/>
        </w:rPr>
        <w:t>:</w:t>
      </w:r>
      <w:r w:rsidRPr="00015A61">
        <w:rPr>
          <w:rStyle w:val="apple-converted-space"/>
          <w:rFonts w:ascii="Arial" w:hAnsi="Arial" w:cs="Arial"/>
          <w:color w:val="000000"/>
        </w:rPr>
        <w:t> </w:t>
      </w:r>
      <w:r w:rsidRPr="00015A61">
        <w:rPr>
          <w:rFonts w:ascii="Arial" w:hAnsi="Arial" w:cs="Arial"/>
          <w:color w:val="000000"/>
        </w:rPr>
        <w:t>Para cuantificar el riesgo real de impago o dilución, hemos estresado el balance actual asumiendo que la deuda neta se mantiene constante. Sabiendo que el LTV actual del grupo es del 36,7%, podemos calcular qué porcentaje de caída adicional en el valor de los activos (GAV) se necesitaría para que Colonial rompa un</w:t>
      </w:r>
      <w:r w:rsidRPr="00015A61">
        <w:rPr>
          <w:rStyle w:val="apple-converted-space"/>
          <w:rFonts w:ascii="Arial" w:hAnsi="Arial" w:cs="Arial"/>
          <w:color w:val="000000"/>
        </w:rPr>
        <w:t> </w:t>
      </w:r>
      <w:proofErr w:type="spellStart"/>
      <w:r w:rsidRPr="00015A61">
        <w:rPr>
          <w:rFonts w:ascii="Arial" w:hAnsi="Arial" w:cs="Arial"/>
          <w:i/>
          <w:iCs/>
          <w:color w:val="000000"/>
        </w:rPr>
        <w:t>covenant</w:t>
      </w:r>
      <w:proofErr w:type="spellEnd"/>
      <w:r w:rsidRPr="00015A61">
        <w:rPr>
          <w:rStyle w:val="apple-converted-space"/>
          <w:rFonts w:ascii="Arial" w:hAnsi="Arial" w:cs="Arial"/>
          <w:color w:val="000000"/>
        </w:rPr>
        <w:t> </w:t>
      </w:r>
      <w:r w:rsidRPr="00015A61">
        <w:rPr>
          <w:rFonts w:ascii="Arial" w:hAnsi="Arial" w:cs="Arial"/>
          <w:color w:val="000000"/>
        </w:rPr>
        <w:t>bancario estándar del 50%:</w:t>
      </w:r>
    </w:p>
    <w:p w14:paraId="3A2E7BB7" w14:textId="4D18434E" w:rsidR="00015A61" w:rsidRPr="00015A61" w:rsidRDefault="00015A61" w:rsidP="00015A61">
      <w:pPr>
        <w:pStyle w:val="Ttulo2"/>
        <w:spacing w:before="300" w:after="120"/>
        <w:jc w:val="both"/>
        <w:rPr>
          <w:rFonts w:ascii="Arial" w:hAnsi="Arial" w:cs="Arial"/>
          <w:b/>
          <w:bCs/>
          <w:color w:val="0E2240"/>
          <w:sz w:val="20"/>
          <w:szCs w:val="20"/>
        </w:rPr>
      </w:pPr>
      <w:r w:rsidRPr="00015A61">
        <w:rPr>
          <w:rFonts w:ascii="Arial" w:hAnsi="Arial" w:cs="Arial"/>
          <w:color w:val="000000"/>
          <w:sz w:val="20"/>
          <w:szCs w:val="20"/>
        </w:rPr>
        <w:t>Las tasaciones de los edificios primen</w:t>
      </w:r>
      <w:r w:rsidRPr="00015A61">
        <w:rPr>
          <w:rFonts w:ascii="Arial" w:hAnsi="Arial" w:cs="Arial"/>
          <w:color w:val="000000"/>
          <w:sz w:val="20"/>
          <w:szCs w:val="20"/>
        </w:rPr>
        <w:t xml:space="preserve"> de Colonial tendrían que desplomarse un</w:t>
      </w:r>
      <w:r w:rsidRPr="00015A61">
        <w:rPr>
          <w:rStyle w:val="apple-converted-space"/>
          <w:rFonts w:ascii="Arial" w:hAnsi="Arial" w:cs="Arial"/>
          <w:color w:val="000000"/>
          <w:sz w:val="20"/>
          <w:szCs w:val="20"/>
        </w:rPr>
        <w:t> </w:t>
      </w:r>
      <w:r w:rsidRPr="00015A61">
        <w:rPr>
          <w:rFonts w:ascii="Arial" w:hAnsi="Arial" w:cs="Arial"/>
          <w:b/>
          <w:bCs/>
          <w:color w:val="000000"/>
          <w:sz w:val="20"/>
          <w:szCs w:val="20"/>
        </w:rPr>
        <w:t>26,6% adicional</w:t>
      </w:r>
      <w:r w:rsidRPr="00015A61">
        <w:rPr>
          <w:rStyle w:val="apple-converted-space"/>
          <w:rFonts w:ascii="Arial" w:hAnsi="Arial" w:cs="Arial"/>
          <w:color w:val="000000"/>
          <w:sz w:val="20"/>
          <w:szCs w:val="20"/>
        </w:rPr>
        <w:t> </w:t>
      </w:r>
      <w:r w:rsidRPr="00015A61">
        <w:rPr>
          <w:rFonts w:ascii="Arial" w:hAnsi="Arial" w:cs="Arial"/>
          <w:color w:val="000000"/>
          <w:sz w:val="20"/>
          <w:szCs w:val="20"/>
        </w:rPr>
        <w:t>(sobre las caídas ya registradas en los últimos 24 meses) para que la compañía se enfrente a un riesgo real de liquidez o ampliación de capital forzada. Consideramos este escenario altamente improbable dada la escasez de oferta en los distritos CBD y la estabilización de los tipos a largo plazo.</w:t>
      </w:r>
    </w:p>
    <w:p w14:paraId="0E251885" w14:textId="5CC98635" w:rsidR="00214A41" w:rsidRPr="000B325E" w:rsidRDefault="00000000">
      <w:pPr>
        <w:pStyle w:val="Ttulo2"/>
        <w:spacing w:before="300" w:after="120"/>
        <w:rPr>
          <w:rFonts w:ascii="Arial" w:hAnsi="Arial" w:cs="Arial"/>
        </w:rPr>
      </w:pPr>
      <w:r w:rsidRPr="000B325E">
        <w:rPr>
          <w:rFonts w:ascii="Arial" w:hAnsi="Arial" w:cs="Arial"/>
          <w:b/>
          <w:bCs/>
          <w:color w:val="0E2240"/>
          <w:sz w:val="22"/>
          <w:szCs w:val="22"/>
        </w:rPr>
        <w:t>6.3 Riesgos secundarios a vigilar</w:t>
      </w:r>
    </w:p>
    <w:p w14:paraId="402A55F9" w14:textId="0F34406C" w:rsidR="00214A41" w:rsidRPr="000B325E" w:rsidRDefault="00000000">
      <w:pPr>
        <w:pStyle w:val="Prrafodelista"/>
        <w:numPr>
          <w:ilvl w:val="0"/>
          <w:numId w:val="2"/>
        </w:numPr>
        <w:spacing w:after="90"/>
        <w:rPr>
          <w:rFonts w:ascii="Arial" w:hAnsi="Arial" w:cs="Arial"/>
        </w:rPr>
      </w:pPr>
      <w:r w:rsidRPr="000B325E">
        <w:rPr>
          <w:rFonts w:ascii="Arial" w:hAnsi="Arial" w:cs="Arial"/>
          <w:color w:val="262626"/>
        </w:rPr>
        <w:t>Ejecución de la expansión en Berlín: mercado nuevo para el equipo gestor, con su propio ciclo de ajuste de valoraciones todavía en curso.</w:t>
      </w:r>
    </w:p>
    <w:p w14:paraId="3330F904" w14:textId="77777777" w:rsidR="00214A41" w:rsidRPr="000B325E" w:rsidRDefault="00000000">
      <w:pPr>
        <w:pStyle w:val="Prrafodelista"/>
        <w:numPr>
          <w:ilvl w:val="0"/>
          <w:numId w:val="2"/>
        </w:numPr>
        <w:spacing w:after="90"/>
        <w:rPr>
          <w:rFonts w:ascii="Arial" w:hAnsi="Arial" w:cs="Arial"/>
        </w:rPr>
      </w:pPr>
      <w:r w:rsidRPr="000B325E">
        <w:rPr>
          <w:rFonts w:ascii="Arial" w:hAnsi="Arial" w:cs="Arial"/>
          <w:color w:val="262626"/>
        </w:rPr>
        <w:t xml:space="preserve">Concentración geográfica residual en París, donde el crecimiento </w:t>
      </w:r>
      <w:proofErr w:type="spellStart"/>
      <w:r w:rsidRPr="000B325E">
        <w:rPr>
          <w:rFonts w:ascii="Arial" w:hAnsi="Arial" w:cs="Arial"/>
          <w:color w:val="262626"/>
        </w:rPr>
        <w:t>like-for-like</w:t>
      </w:r>
      <w:proofErr w:type="spellEnd"/>
      <w:r w:rsidRPr="000B325E">
        <w:rPr>
          <w:rFonts w:ascii="Arial" w:hAnsi="Arial" w:cs="Arial"/>
          <w:color w:val="262626"/>
        </w:rPr>
        <w:t xml:space="preserve"> (+2,4%) es el más débil de los tres mercados históricos.</w:t>
      </w:r>
    </w:p>
    <w:p w14:paraId="78CDD3D5" w14:textId="77777777" w:rsidR="00214A41" w:rsidRPr="000B325E" w:rsidRDefault="00000000">
      <w:pPr>
        <w:pStyle w:val="Prrafodelista"/>
        <w:numPr>
          <w:ilvl w:val="0"/>
          <w:numId w:val="2"/>
        </w:numPr>
        <w:spacing w:after="90"/>
        <w:rPr>
          <w:rFonts w:ascii="Arial" w:hAnsi="Arial" w:cs="Arial"/>
        </w:rPr>
      </w:pPr>
      <w:r w:rsidRPr="000B325E">
        <w:rPr>
          <w:rFonts w:ascii="Arial" w:hAnsi="Arial" w:cs="Arial"/>
          <w:color w:val="262626"/>
        </w:rPr>
        <w:t>Persistencia de vacantes en activos de reciente entrega (</w:t>
      </w:r>
      <w:proofErr w:type="spellStart"/>
      <w:r w:rsidRPr="000B325E">
        <w:rPr>
          <w:rFonts w:ascii="Arial" w:hAnsi="Arial" w:cs="Arial"/>
          <w:color w:val="262626"/>
        </w:rPr>
        <w:t>Madnum</w:t>
      </w:r>
      <w:proofErr w:type="spellEnd"/>
      <w:r w:rsidRPr="000B325E">
        <w:rPr>
          <w:rFonts w:ascii="Arial" w:hAnsi="Arial" w:cs="Arial"/>
          <w:color w:val="262626"/>
        </w:rPr>
        <w:t>, Haussmann) más allá de lo previsto por la dirección.</w:t>
      </w:r>
    </w:p>
    <w:p w14:paraId="0B449A3A" w14:textId="77777777" w:rsidR="00214A41" w:rsidRPr="000B325E" w:rsidRDefault="00000000">
      <w:pPr>
        <w:rPr>
          <w:rFonts w:ascii="Arial" w:hAnsi="Arial" w:cs="Arial"/>
        </w:rPr>
      </w:pPr>
      <w:r w:rsidRPr="000B325E">
        <w:rPr>
          <w:rFonts w:ascii="Arial" w:hAnsi="Arial" w:cs="Arial"/>
        </w:rPr>
        <w:br w:type="page"/>
      </w:r>
    </w:p>
    <w:p w14:paraId="61DD62AF" w14:textId="77777777" w:rsidR="00214A41" w:rsidRPr="000B325E" w:rsidRDefault="00000000">
      <w:pPr>
        <w:pStyle w:val="Ttulo1"/>
        <w:pBdr>
          <w:bottom w:val="single" w:sz="8" w:space="4" w:color="1F3864"/>
        </w:pBdr>
        <w:spacing w:before="400" w:after="200"/>
        <w:rPr>
          <w:rFonts w:ascii="Arial" w:hAnsi="Arial" w:cs="Arial"/>
        </w:rPr>
      </w:pPr>
      <w:r w:rsidRPr="000B325E">
        <w:rPr>
          <w:rFonts w:ascii="Arial" w:hAnsi="Arial" w:cs="Arial"/>
          <w:b/>
          <w:bCs/>
          <w:color w:val="1F3864"/>
          <w:sz w:val="26"/>
          <w:szCs w:val="26"/>
        </w:rPr>
        <w:lastRenderedPageBreak/>
        <w:t>7. CONCLUSIÓN Y RECOMENDACIÓN</w:t>
      </w:r>
    </w:p>
    <w:p w14:paraId="051FB596" w14:textId="77777777" w:rsidR="00214A41" w:rsidRPr="000B325E" w:rsidRDefault="00000000">
      <w:pPr>
        <w:spacing w:after="160" w:line="276" w:lineRule="auto"/>
        <w:jc w:val="both"/>
        <w:rPr>
          <w:rFonts w:ascii="Arial" w:hAnsi="Arial" w:cs="Arial"/>
        </w:rPr>
      </w:pPr>
      <w:r w:rsidRPr="000B325E">
        <w:rPr>
          <w:rFonts w:ascii="Arial" w:hAnsi="Arial" w:cs="Arial"/>
          <w:color w:val="262626"/>
        </w:rPr>
        <w:t xml:space="preserve">Colonial SFL combina un perfil de activos defensivo y de máxima calidad con un descuento sobre NAV que consideramos excesivo a la luz de la mejora operativa sostenida (crecimiento de rentas, ocupación, </w:t>
      </w:r>
      <w:proofErr w:type="spellStart"/>
      <w:r w:rsidRPr="000B325E">
        <w:rPr>
          <w:rFonts w:ascii="Arial" w:hAnsi="Arial" w:cs="Arial"/>
          <w:color w:val="262626"/>
        </w:rPr>
        <w:t>release</w:t>
      </w:r>
      <w:proofErr w:type="spellEnd"/>
      <w:r w:rsidRPr="000B325E">
        <w:rPr>
          <w:rFonts w:ascii="Arial" w:hAnsi="Arial" w:cs="Arial"/>
          <w:color w:val="262626"/>
        </w:rPr>
        <w:t xml:space="preserve"> spreads) y de la disciplina de asignación de capital demostrada (desinversiones sobre tasación, recompras, gestión activa del vencimiento de deuda). El principal riesgo — la compresión de márgenes por refinanciación a tipos más altos — está parcialmente descontado mediante nuestro WACC conservador, pero debe monitorizarse de cerca en cada publicación trimestral, prestando especial atención al coste marginal de cualquier nueva emisión de deuda frente al coste medio reportado.</w:t>
      </w:r>
    </w:p>
    <w:p w14:paraId="2C85DF16" w14:textId="77777777" w:rsidR="00214A41" w:rsidRPr="000B325E" w:rsidRDefault="00000000">
      <w:pPr>
        <w:spacing w:after="160" w:line="276" w:lineRule="auto"/>
        <w:jc w:val="both"/>
        <w:rPr>
          <w:rFonts w:ascii="Arial" w:hAnsi="Arial" w:cs="Arial"/>
        </w:rPr>
      </w:pPr>
      <w:r w:rsidRPr="000B325E">
        <w:rPr>
          <w:rFonts w:ascii="Arial" w:hAnsi="Arial" w:cs="Arial"/>
          <w:color w:val="262626"/>
        </w:rPr>
        <w:t>Recomendación: SOBREPONDERAR con un rango de precio objetivo de 6,80€-7,50€ a 12-18 meses, sujeto a revisión si el coste marginal de la deuda se mantiene estructuralmente por encima del 3,5% durante los próximos dos trimestres o si el LTV EPRA se aproxima al 50%.</w:t>
      </w:r>
    </w:p>
    <w:sectPr w:rsidR="00214A41" w:rsidRPr="000B325E">
      <w:headerReference w:type="default" r:id="rId9"/>
      <w:footerReference w:type="default" r:id="rId10"/>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7D86D" w14:textId="77777777" w:rsidR="00825E83" w:rsidRDefault="00825E83">
      <w:r>
        <w:separator/>
      </w:r>
    </w:p>
  </w:endnote>
  <w:endnote w:type="continuationSeparator" w:id="0">
    <w:p w14:paraId="52E975FC" w14:textId="77777777" w:rsidR="00825E83" w:rsidRDefault="00825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5A302" w14:textId="77777777" w:rsidR="00214A41" w:rsidRDefault="00000000">
    <w:pPr>
      <w:jc w:val="center"/>
    </w:pPr>
    <w:r>
      <w:rPr>
        <w:color w:val="5A5A5A"/>
        <w:sz w:val="14"/>
        <w:szCs w:val="14"/>
      </w:rPr>
      <w:t xml:space="preserve">Página </w:t>
    </w:r>
    <w:r>
      <w:rPr>
        <w:color w:val="5A5A5A"/>
        <w:sz w:val="14"/>
        <w:szCs w:val="14"/>
      </w:rPr>
      <w:fldChar w:fldCharType="begin"/>
    </w:r>
    <w:r>
      <w:rPr>
        <w:color w:val="5A5A5A"/>
        <w:sz w:val="14"/>
        <w:szCs w:val="14"/>
      </w:rPr>
      <w:instrText>PAGE</w:instrText>
    </w:r>
    <w:r>
      <w:rPr>
        <w:color w:val="5A5A5A"/>
        <w:sz w:val="14"/>
        <w:szCs w:val="14"/>
      </w:rPr>
      <w:fldChar w:fldCharType="separate"/>
    </w:r>
    <w:r w:rsidR="00274871">
      <w:rPr>
        <w:noProof/>
        <w:color w:val="5A5A5A"/>
        <w:sz w:val="14"/>
        <w:szCs w:val="14"/>
      </w:rPr>
      <w:t>3</w:t>
    </w:r>
    <w:r>
      <w:rPr>
        <w:color w:val="5A5A5A"/>
        <w:sz w:val="14"/>
        <w:szCs w:val="14"/>
      </w:rPr>
      <w:fldChar w:fldCharType="end"/>
    </w:r>
    <w:r>
      <w:rPr>
        <w:color w:val="5A5A5A"/>
        <w:sz w:val="14"/>
        <w:szCs w:val="14"/>
      </w:rPr>
      <w:t xml:space="preserve"> de </w:t>
    </w:r>
    <w:r>
      <w:rPr>
        <w:color w:val="5A5A5A"/>
        <w:sz w:val="14"/>
        <w:szCs w:val="14"/>
      </w:rPr>
      <w:fldChar w:fldCharType="begin"/>
    </w:r>
    <w:r>
      <w:rPr>
        <w:color w:val="5A5A5A"/>
        <w:sz w:val="14"/>
        <w:szCs w:val="14"/>
      </w:rPr>
      <w:instrText>NUMPAGES</w:instrText>
    </w:r>
    <w:r>
      <w:rPr>
        <w:color w:val="5A5A5A"/>
        <w:sz w:val="14"/>
        <w:szCs w:val="14"/>
      </w:rPr>
      <w:fldChar w:fldCharType="separate"/>
    </w:r>
    <w:r w:rsidR="00274871">
      <w:rPr>
        <w:noProof/>
        <w:color w:val="5A5A5A"/>
        <w:sz w:val="14"/>
        <w:szCs w:val="14"/>
      </w:rPr>
      <w:t>4</w:t>
    </w:r>
    <w:r>
      <w:rPr>
        <w:color w:val="5A5A5A"/>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E79D1" w14:textId="77777777" w:rsidR="00825E83" w:rsidRDefault="00825E83">
      <w:r>
        <w:separator/>
      </w:r>
    </w:p>
  </w:footnote>
  <w:footnote w:type="continuationSeparator" w:id="0">
    <w:p w14:paraId="41159293" w14:textId="77777777" w:rsidR="00825E83" w:rsidRDefault="00825E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20140" w14:textId="77777777" w:rsidR="00214A41" w:rsidRDefault="00000000">
    <w:pPr>
      <w:pBdr>
        <w:bottom w:val="single" w:sz="4" w:space="4" w:color="BFBFBF"/>
      </w:pBdr>
      <w:jc w:val="right"/>
    </w:pPr>
    <w:r>
      <w:rPr>
        <w:color w:val="5A5A5A"/>
        <w:sz w:val="14"/>
        <w:szCs w:val="14"/>
      </w:rPr>
      <w:t>COLONIAL SFL (COL.MC) — NOTA DE INVERSIÓN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4320D"/>
    <w:multiLevelType w:val="hybridMultilevel"/>
    <w:tmpl w:val="BF300BC4"/>
    <w:lvl w:ilvl="0" w:tplc="C26E8B36">
      <w:start w:val="1"/>
      <w:numFmt w:val="bullet"/>
      <w:lvlText w:val="●"/>
      <w:lvlJc w:val="left"/>
      <w:pPr>
        <w:ind w:left="720" w:hanging="360"/>
      </w:pPr>
    </w:lvl>
    <w:lvl w:ilvl="1" w:tplc="0BB67EF6">
      <w:start w:val="1"/>
      <w:numFmt w:val="bullet"/>
      <w:lvlText w:val="○"/>
      <w:lvlJc w:val="left"/>
      <w:pPr>
        <w:ind w:left="1440" w:hanging="360"/>
      </w:pPr>
    </w:lvl>
    <w:lvl w:ilvl="2" w:tplc="35CAD24A">
      <w:start w:val="1"/>
      <w:numFmt w:val="bullet"/>
      <w:lvlText w:val="■"/>
      <w:lvlJc w:val="left"/>
      <w:pPr>
        <w:ind w:left="2160" w:hanging="360"/>
      </w:pPr>
    </w:lvl>
    <w:lvl w:ilvl="3" w:tplc="F0047AD6">
      <w:start w:val="1"/>
      <w:numFmt w:val="bullet"/>
      <w:lvlText w:val="●"/>
      <w:lvlJc w:val="left"/>
      <w:pPr>
        <w:ind w:left="2880" w:hanging="360"/>
      </w:pPr>
    </w:lvl>
    <w:lvl w:ilvl="4" w:tplc="FB6AA498">
      <w:start w:val="1"/>
      <w:numFmt w:val="bullet"/>
      <w:lvlText w:val="○"/>
      <w:lvlJc w:val="left"/>
      <w:pPr>
        <w:ind w:left="3600" w:hanging="360"/>
      </w:pPr>
    </w:lvl>
    <w:lvl w:ilvl="5" w:tplc="E3106782">
      <w:start w:val="1"/>
      <w:numFmt w:val="bullet"/>
      <w:lvlText w:val="■"/>
      <w:lvlJc w:val="left"/>
      <w:pPr>
        <w:ind w:left="4320" w:hanging="360"/>
      </w:pPr>
    </w:lvl>
    <w:lvl w:ilvl="6" w:tplc="5F221716">
      <w:start w:val="1"/>
      <w:numFmt w:val="bullet"/>
      <w:lvlText w:val="●"/>
      <w:lvlJc w:val="left"/>
      <w:pPr>
        <w:ind w:left="5040" w:hanging="360"/>
      </w:pPr>
    </w:lvl>
    <w:lvl w:ilvl="7" w:tplc="2E72306E">
      <w:start w:val="1"/>
      <w:numFmt w:val="bullet"/>
      <w:lvlText w:val="●"/>
      <w:lvlJc w:val="left"/>
      <w:pPr>
        <w:ind w:left="5760" w:hanging="360"/>
      </w:pPr>
    </w:lvl>
    <w:lvl w:ilvl="8" w:tplc="49D2591A">
      <w:start w:val="1"/>
      <w:numFmt w:val="bullet"/>
      <w:lvlText w:val="●"/>
      <w:lvlJc w:val="left"/>
      <w:pPr>
        <w:ind w:left="6480" w:hanging="360"/>
      </w:pPr>
    </w:lvl>
  </w:abstractNum>
  <w:abstractNum w:abstractNumId="1" w15:restartNumberingAfterBreak="0">
    <w:nsid w:val="75161E1A"/>
    <w:multiLevelType w:val="hybridMultilevel"/>
    <w:tmpl w:val="0BE6E7FE"/>
    <w:lvl w:ilvl="0" w:tplc="9628EEF2">
      <w:start w:val="1"/>
      <w:numFmt w:val="bullet"/>
      <w:lvlText w:val="•"/>
      <w:lvlJc w:val="left"/>
      <w:pPr>
        <w:ind w:left="420" w:hanging="260"/>
      </w:pPr>
    </w:lvl>
    <w:lvl w:ilvl="1" w:tplc="5CB4C09E">
      <w:numFmt w:val="decimal"/>
      <w:lvlText w:val=""/>
      <w:lvlJc w:val="left"/>
    </w:lvl>
    <w:lvl w:ilvl="2" w:tplc="0B840434">
      <w:numFmt w:val="decimal"/>
      <w:lvlText w:val=""/>
      <w:lvlJc w:val="left"/>
    </w:lvl>
    <w:lvl w:ilvl="3" w:tplc="BBFAFA4C">
      <w:numFmt w:val="decimal"/>
      <w:lvlText w:val=""/>
      <w:lvlJc w:val="left"/>
    </w:lvl>
    <w:lvl w:ilvl="4" w:tplc="C9680FE8">
      <w:numFmt w:val="decimal"/>
      <w:lvlText w:val=""/>
      <w:lvlJc w:val="left"/>
    </w:lvl>
    <w:lvl w:ilvl="5" w:tplc="AD52D15A">
      <w:numFmt w:val="decimal"/>
      <w:lvlText w:val=""/>
      <w:lvlJc w:val="left"/>
    </w:lvl>
    <w:lvl w:ilvl="6" w:tplc="EB26BD80">
      <w:numFmt w:val="decimal"/>
      <w:lvlText w:val=""/>
      <w:lvlJc w:val="left"/>
    </w:lvl>
    <w:lvl w:ilvl="7" w:tplc="619E4F9E">
      <w:numFmt w:val="decimal"/>
      <w:lvlText w:val=""/>
      <w:lvlJc w:val="left"/>
    </w:lvl>
    <w:lvl w:ilvl="8" w:tplc="F27E8392">
      <w:numFmt w:val="decimal"/>
      <w:lvlText w:val=""/>
      <w:lvlJc w:val="left"/>
    </w:lvl>
  </w:abstractNum>
  <w:num w:numId="1" w16cid:durableId="1116827751">
    <w:abstractNumId w:val="0"/>
    <w:lvlOverride w:ilvl="0">
      <w:startOverride w:val="1"/>
    </w:lvlOverride>
  </w:num>
  <w:num w:numId="2" w16cid:durableId="17590601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A41"/>
    <w:rsid w:val="00015A61"/>
    <w:rsid w:val="000B325E"/>
    <w:rsid w:val="00214A41"/>
    <w:rsid w:val="00274871"/>
    <w:rsid w:val="00825E83"/>
    <w:rsid w:val="00D61E5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FD1CF"/>
  <w15:docId w15:val="{7BC37015-DA9E-9446-A7F1-6BC4984F8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customStyle="1" w:styleId="apple-converted-space">
    <w:name w:val="apple-converted-space"/>
    <w:basedOn w:val="Fuentedeprrafopredeter"/>
    <w:rsid w:val="00015A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2530</Words>
  <Characters>13917</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Colonial SFL — Nota de Inversión</vt:lpstr>
    </vt:vector>
  </TitlesOfParts>
  <Company/>
  <LinksUpToDate>false</LinksUpToDate>
  <CharactersWithSpaces>16415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Colonial SFL — Nota de Inversión</dc:title>
  <dc:creator>Jaime Danus</dc:creator>
  <cp:lastModifiedBy>DANUS BONTEMPINI, JAIME</cp:lastModifiedBy>
  <cp:revision>2</cp:revision>
  <dcterms:created xsi:type="dcterms:W3CDTF">2026-09-04T20:35:00Z</dcterms:created>
  <dcterms:modified xsi:type="dcterms:W3CDTF">2026-09-04T21:11:00Z</dcterms:modified>
</cp:coreProperties>
</file>