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2643" w14:textId="1B6648A9" w:rsidR="00003AE7" w:rsidRDefault="00000000">
      <w:pPr>
        <w:spacing w:after="40"/>
        <w:jc w:val="center"/>
      </w:pPr>
      <w:r>
        <w:rPr>
          <w:b/>
          <w:bCs/>
          <w:color w:val="1F3864"/>
          <w:sz w:val="30"/>
          <w:szCs w:val="30"/>
        </w:rPr>
        <w:t>TESIS DE INVERSIÓN</w:t>
      </w:r>
      <w:r w:rsidR="00F41835">
        <w:rPr>
          <w:b/>
          <w:bCs/>
          <w:color w:val="1F3864"/>
          <w:sz w:val="30"/>
          <w:szCs w:val="30"/>
        </w:rPr>
        <w:t xml:space="preserve"> DE JAIME DANUS </w:t>
      </w:r>
    </w:p>
    <w:p w14:paraId="2B43B361" w14:textId="77777777" w:rsidR="00003AE7" w:rsidRDefault="00000000">
      <w:pPr>
        <w:spacing w:after="40"/>
        <w:jc w:val="center"/>
      </w:pPr>
      <w:r>
        <w:rPr>
          <w:b/>
          <w:bCs/>
          <w:color w:val="1F3864"/>
          <w:sz w:val="40"/>
          <w:szCs w:val="40"/>
        </w:rPr>
        <w:t>Douglas AG (XETRA: DOU)</w:t>
      </w:r>
    </w:p>
    <w:p w14:paraId="5F455E50" w14:textId="67CE7429" w:rsidR="00003AE7" w:rsidRDefault="00000000">
      <w:pPr>
        <w:spacing w:after="260"/>
        <w:jc w:val="center"/>
      </w:pPr>
      <w:r>
        <w:rPr>
          <w:b/>
          <w:bCs/>
          <w:i/>
          <w:iCs/>
          <w:color w:val="595959"/>
        </w:rPr>
        <w:t xml:space="preserve">LÍDER EUROPEO DE BELLEZA PREMIUM APALANCADO </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53"/>
        <w:gridCol w:w="2467"/>
        <w:gridCol w:w="2962"/>
        <w:gridCol w:w="1968"/>
      </w:tblGrid>
      <w:tr w:rsidR="00003AE7" w14:paraId="54D94981" w14:textId="77777777">
        <w:tblPrEx>
          <w:tblCellMar>
            <w:top w:w="0" w:type="dxa"/>
            <w:bottom w:w="0" w:type="dxa"/>
          </w:tblCellMar>
        </w:tblPrEx>
        <w:tc>
          <w:tcPr>
            <w:tcW w:w="0" w:type="auto"/>
            <w:shd w:val="clear" w:color="auto" w:fill="D9E2F3"/>
            <w:tcMar>
              <w:top w:w="90" w:type="dxa"/>
              <w:left w:w="110" w:type="dxa"/>
              <w:bottom w:w="90" w:type="dxa"/>
              <w:right w:w="110" w:type="dxa"/>
            </w:tcMar>
            <w:vAlign w:val="center"/>
          </w:tcPr>
          <w:p w14:paraId="0340073F" w14:textId="77777777" w:rsidR="00003AE7" w:rsidRDefault="00000000">
            <w:pPr>
              <w:jc w:val="center"/>
            </w:pPr>
            <w:r>
              <w:rPr>
                <w:b/>
                <w:bCs/>
                <w:color w:val="000000"/>
                <w:sz w:val="19"/>
                <w:szCs w:val="19"/>
              </w:rPr>
              <w:t>Precio actual</w:t>
            </w:r>
          </w:p>
        </w:tc>
        <w:tc>
          <w:tcPr>
            <w:tcW w:w="0" w:type="auto"/>
            <w:shd w:val="clear" w:color="auto" w:fill="D9E2F3"/>
            <w:tcMar>
              <w:top w:w="90" w:type="dxa"/>
              <w:left w:w="110" w:type="dxa"/>
              <w:bottom w:w="90" w:type="dxa"/>
              <w:right w:w="110" w:type="dxa"/>
            </w:tcMar>
            <w:vAlign w:val="center"/>
          </w:tcPr>
          <w:p w14:paraId="4A62A9BE" w14:textId="77777777" w:rsidR="00003AE7" w:rsidRDefault="00000000">
            <w:pPr>
              <w:jc w:val="center"/>
            </w:pPr>
            <w:r>
              <w:rPr>
                <w:b/>
                <w:bCs/>
                <w:color w:val="000000"/>
                <w:sz w:val="19"/>
                <w:szCs w:val="19"/>
              </w:rPr>
              <w:t>P. Objetivo (DCF)</w:t>
            </w:r>
          </w:p>
        </w:tc>
        <w:tc>
          <w:tcPr>
            <w:tcW w:w="0" w:type="auto"/>
            <w:shd w:val="clear" w:color="auto" w:fill="D9E2F3"/>
            <w:tcMar>
              <w:top w:w="90" w:type="dxa"/>
              <w:left w:w="110" w:type="dxa"/>
              <w:bottom w:w="90" w:type="dxa"/>
              <w:right w:w="110" w:type="dxa"/>
            </w:tcMar>
            <w:vAlign w:val="center"/>
          </w:tcPr>
          <w:p w14:paraId="4616BE29" w14:textId="77777777" w:rsidR="00003AE7" w:rsidRDefault="00000000">
            <w:pPr>
              <w:jc w:val="center"/>
            </w:pPr>
            <w:r>
              <w:rPr>
                <w:b/>
                <w:bCs/>
                <w:color w:val="000000"/>
                <w:sz w:val="19"/>
                <w:szCs w:val="19"/>
              </w:rPr>
              <w:t>Potencial (caso base)</w:t>
            </w:r>
          </w:p>
        </w:tc>
        <w:tc>
          <w:tcPr>
            <w:tcW w:w="0" w:type="auto"/>
            <w:shd w:val="clear" w:color="auto" w:fill="D9E2F3"/>
            <w:tcMar>
              <w:top w:w="90" w:type="dxa"/>
              <w:left w:w="110" w:type="dxa"/>
              <w:bottom w:w="90" w:type="dxa"/>
              <w:right w:w="110" w:type="dxa"/>
            </w:tcMar>
            <w:vAlign w:val="center"/>
          </w:tcPr>
          <w:p w14:paraId="7189F718" w14:textId="77777777" w:rsidR="00003AE7" w:rsidRDefault="00000000">
            <w:pPr>
              <w:jc w:val="center"/>
            </w:pPr>
            <w:r>
              <w:rPr>
                <w:b/>
                <w:bCs/>
                <w:color w:val="000000"/>
                <w:sz w:val="19"/>
                <w:szCs w:val="19"/>
              </w:rPr>
              <w:t>Calificación</w:t>
            </w:r>
          </w:p>
        </w:tc>
      </w:tr>
      <w:tr w:rsidR="00003AE7" w14:paraId="2B11A27F" w14:textId="77777777">
        <w:tblPrEx>
          <w:tblCellMar>
            <w:top w:w="0" w:type="dxa"/>
            <w:bottom w:w="0" w:type="dxa"/>
          </w:tblCellMar>
        </w:tblPrEx>
        <w:tc>
          <w:tcPr>
            <w:tcW w:w="0" w:type="auto"/>
            <w:tcMar>
              <w:top w:w="90" w:type="dxa"/>
              <w:left w:w="110" w:type="dxa"/>
              <w:bottom w:w="90" w:type="dxa"/>
              <w:right w:w="110" w:type="dxa"/>
            </w:tcMar>
            <w:vAlign w:val="center"/>
          </w:tcPr>
          <w:p w14:paraId="2EE5C862" w14:textId="77777777" w:rsidR="00003AE7" w:rsidRDefault="00000000">
            <w:pPr>
              <w:jc w:val="center"/>
            </w:pPr>
            <w:r>
              <w:rPr>
                <w:b/>
                <w:bCs/>
                <w:color w:val="000000"/>
                <w:sz w:val="24"/>
                <w:szCs w:val="24"/>
              </w:rPr>
              <w:t>7,04 €</w:t>
            </w:r>
          </w:p>
        </w:tc>
        <w:tc>
          <w:tcPr>
            <w:tcW w:w="0" w:type="auto"/>
            <w:tcMar>
              <w:top w:w="90" w:type="dxa"/>
              <w:left w:w="110" w:type="dxa"/>
              <w:bottom w:w="90" w:type="dxa"/>
              <w:right w:w="110" w:type="dxa"/>
            </w:tcMar>
            <w:vAlign w:val="center"/>
          </w:tcPr>
          <w:p w14:paraId="40452E5E" w14:textId="77777777" w:rsidR="00003AE7" w:rsidRDefault="00000000">
            <w:pPr>
              <w:jc w:val="center"/>
            </w:pPr>
            <w:r>
              <w:rPr>
                <w:b/>
                <w:bCs/>
                <w:color w:val="000000"/>
                <w:sz w:val="24"/>
                <w:szCs w:val="24"/>
              </w:rPr>
              <w:t>16,08 €</w:t>
            </w:r>
          </w:p>
        </w:tc>
        <w:tc>
          <w:tcPr>
            <w:tcW w:w="0" w:type="auto"/>
            <w:tcMar>
              <w:top w:w="90" w:type="dxa"/>
              <w:left w:w="110" w:type="dxa"/>
              <w:bottom w:w="90" w:type="dxa"/>
              <w:right w:w="110" w:type="dxa"/>
            </w:tcMar>
            <w:vAlign w:val="center"/>
          </w:tcPr>
          <w:p w14:paraId="3910B307" w14:textId="77777777" w:rsidR="00003AE7" w:rsidRDefault="00000000">
            <w:pPr>
              <w:jc w:val="center"/>
            </w:pPr>
            <w:r>
              <w:rPr>
                <w:b/>
                <w:bCs/>
                <w:color w:val="2E7D32"/>
                <w:sz w:val="24"/>
                <w:szCs w:val="24"/>
              </w:rPr>
              <w:t>~+128%*</w:t>
            </w:r>
          </w:p>
        </w:tc>
        <w:tc>
          <w:tcPr>
            <w:tcW w:w="0" w:type="auto"/>
            <w:tcMar>
              <w:top w:w="90" w:type="dxa"/>
              <w:left w:w="110" w:type="dxa"/>
              <w:bottom w:w="90" w:type="dxa"/>
              <w:right w:w="110" w:type="dxa"/>
            </w:tcMar>
            <w:vAlign w:val="center"/>
          </w:tcPr>
          <w:p w14:paraId="50B0D614" w14:textId="77777777" w:rsidR="00003AE7" w:rsidRDefault="00000000">
            <w:pPr>
              <w:jc w:val="center"/>
            </w:pPr>
            <w:r>
              <w:rPr>
                <w:b/>
                <w:bCs/>
                <w:color w:val="2E7D32"/>
                <w:sz w:val="24"/>
                <w:szCs w:val="24"/>
              </w:rPr>
              <w:t>COMPRA*</w:t>
            </w:r>
          </w:p>
        </w:tc>
      </w:tr>
    </w:tbl>
    <w:p w14:paraId="5E93A4D2" w14:textId="1E907F1C" w:rsidR="00003AE7" w:rsidRDefault="00003AE7">
      <w:pPr>
        <w:spacing w:after="16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3"/>
        <w:gridCol w:w="3934"/>
        <w:gridCol w:w="2063"/>
      </w:tblGrid>
      <w:tr w:rsidR="00003AE7" w14:paraId="33AE66C8" w14:textId="77777777">
        <w:tblPrEx>
          <w:tblCellMar>
            <w:top w:w="0" w:type="dxa"/>
            <w:bottom w:w="0" w:type="dxa"/>
          </w:tblCellMar>
        </w:tblPrEx>
        <w:tc>
          <w:tcPr>
            <w:tcW w:w="0" w:type="auto"/>
            <w:tcMar>
              <w:top w:w="90" w:type="dxa"/>
              <w:left w:w="110" w:type="dxa"/>
              <w:bottom w:w="90" w:type="dxa"/>
              <w:right w:w="110" w:type="dxa"/>
            </w:tcMar>
            <w:vAlign w:val="center"/>
          </w:tcPr>
          <w:p w14:paraId="6126FF74" w14:textId="77777777" w:rsidR="00003AE7" w:rsidRDefault="00000000">
            <w:r>
              <w:rPr>
                <w:color w:val="000000"/>
                <w:sz w:val="18"/>
                <w:szCs w:val="18"/>
              </w:rPr>
              <w:t>Elaborado por: Jaime Danus</w:t>
            </w:r>
          </w:p>
        </w:tc>
        <w:tc>
          <w:tcPr>
            <w:tcW w:w="0" w:type="auto"/>
            <w:tcMar>
              <w:top w:w="90" w:type="dxa"/>
              <w:left w:w="110" w:type="dxa"/>
              <w:bottom w:w="90" w:type="dxa"/>
              <w:right w:w="110" w:type="dxa"/>
            </w:tcMar>
            <w:vAlign w:val="center"/>
          </w:tcPr>
          <w:p w14:paraId="3022E5F3" w14:textId="5FE22E6C" w:rsidR="00003AE7" w:rsidRDefault="00000000">
            <w:r>
              <w:rPr>
                <w:color w:val="000000"/>
                <w:sz w:val="18"/>
                <w:szCs w:val="18"/>
              </w:rPr>
              <w:t>Fecha: 2</w:t>
            </w:r>
            <w:r w:rsidR="0006274E">
              <w:rPr>
                <w:color w:val="000000"/>
                <w:sz w:val="18"/>
                <w:szCs w:val="18"/>
              </w:rPr>
              <w:t xml:space="preserve">1 </w:t>
            </w:r>
            <w:r>
              <w:rPr>
                <w:color w:val="000000"/>
                <w:sz w:val="18"/>
                <w:szCs w:val="18"/>
              </w:rPr>
              <w:t>de septiembre de 2026</w:t>
            </w:r>
          </w:p>
        </w:tc>
        <w:tc>
          <w:tcPr>
            <w:tcW w:w="0" w:type="auto"/>
            <w:tcMar>
              <w:top w:w="90" w:type="dxa"/>
              <w:left w:w="110" w:type="dxa"/>
              <w:bottom w:w="90" w:type="dxa"/>
              <w:right w:w="110" w:type="dxa"/>
            </w:tcMar>
            <w:vAlign w:val="center"/>
          </w:tcPr>
          <w:p w14:paraId="45DC68D4" w14:textId="5BF52D0F" w:rsidR="00003AE7" w:rsidRDefault="00F41835">
            <w:r>
              <w:rPr>
                <w:color w:val="000000"/>
                <w:sz w:val="18"/>
                <w:szCs w:val="18"/>
              </w:rPr>
              <w:t>NO COMPARTIR</w:t>
            </w:r>
          </w:p>
        </w:tc>
      </w:tr>
    </w:tbl>
    <w:p w14:paraId="41D193EF" w14:textId="04D978EF" w:rsidR="00003AE7" w:rsidRDefault="00E92A10">
      <w:pPr>
        <w:spacing w:after="220"/>
        <w:jc w:val="both"/>
      </w:pPr>
      <w:r>
        <w:fldChar w:fldCharType="begin"/>
      </w:r>
      <w:r>
        <w:instrText xml:space="preserve"> INCLUDEPICTURE "/Users/jaimedanus/Library/Group Containers/UBF8T346G9.ms/WebArchiveCopyPasteTempFiles/com.microsoft.Word/shutterstock_1921588562.jpg" \* MERGEFORMATINET </w:instrText>
      </w:r>
      <w:r>
        <w:fldChar w:fldCharType="separate"/>
      </w:r>
      <w:r>
        <w:fldChar w:fldCharType="end"/>
      </w:r>
    </w:p>
    <w:tbl>
      <w:tblPr>
        <w:tblW w:w="9350" w:type="dxa"/>
        <w:tblBorders>
          <w:top w:val="single" w:sz="12" w:space="0" w:color="1F3864"/>
          <w:left w:val="single" w:sz="12" w:space="0" w:color="1F3864"/>
          <w:bottom w:val="single" w:sz="12" w:space="0" w:color="1F3864"/>
          <w:right w:val="single" w:sz="12" w:space="0" w:color="1F3864"/>
        </w:tblBorders>
        <w:tblCellMar>
          <w:left w:w="10" w:type="dxa"/>
          <w:right w:w="10" w:type="dxa"/>
        </w:tblCellMar>
        <w:tblLook w:val="04A0" w:firstRow="1" w:lastRow="0" w:firstColumn="1" w:lastColumn="0" w:noHBand="0" w:noVBand="1"/>
      </w:tblPr>
      <w:tblGrid>
        <w:gridCol w:w="9350"/>
      </w:tblGrid>
      <w:tr w:rsidR="00003AE7" w14:paraId="04CDBED9" w14:textId="77777777">
        <w:tblPrEx>
          <w:tblCellMar>
            <w:top w:w="0" w:type="dxa"/>
            <w:bottom w:w="0" w:type="dxa"/>
          </w:tblCellMar>
        </w:tblPrEx>
        <w:trPr>
          <w:cantSplit/>
        </w:trPr>
        <w:tc>
          <w:tcPr>
            <w:tcW w:w="0" w:type="auto"/>
            <w:shd w:val="clear" w:color="auto" w:fill="D9E2F3"/>
            <w:tcMar>
              <w:top w:w="160" w:type="dxa"/>
              <w:left w:w="200" w:type="dxa"/>
              <w:bottom w:w="160" w:type="dxa"/>
              <w:right w:w="200" w:type="dxa"/>
            </w:tcMar>
          </w:tcPr>
          <w:p w14:paraId="47578D1F" w14:textId="14D03428" w:rsidR="00003AE7" w:rsidRDefault="00000000">
            <w:pPr>
              <w:spacing w:after="100"/>
              <w:jc w:val="both"/>
            </w:pPr>
            <w:r>
              <w:rPr>
                <w:i/>
                <w:iCs/>
                <w:color w:val="000000"/>
                <w:sz w:val="18"/>
                <w:szCs w:val="18"/>
              </w:rPr>
              <w:t xml:space="preserve">Esta tesis se ha elaborado a partir de  </w:t>
            </w:r>
            <w:r w:rsidR="001E3FFB">
              <w:rPr>
                <w:i/>
                <w:iCs/>
                <w:color w:val="000000"/>
                <w:sz w:val="18"/>
                <w:szCs w:val="18"/>
              </w:rPr>
              <w:t>mi</w:t>
            </w:r>
            <w:r>
              <w:rPr>
                <w:i/>
                <w:iCs/>
                <w:color w:val="000000"/>
                <w:sz w:val="18"/>
                <w:szCs w:val="18"/>
              </w:rPr>
              <w:t xml:space="preserve"> modelo DCF propio  (DCF_DOUGLAS_AG.xlsx, con corrección metodológica aplicada sobre el </w:t>
            </w:r>
            <w:proofErr w:type="spellStart"/>
            <w:r>
              <w:rPr>
                <w:i/>
                <w:iCs/>
                <w:color w:val="000000"/>
                <w:sz w:val="18"/>
                <w:szCs w:val="18"/>
              </w:rPr>
              <w:t>CapEx</w:t>
            </w:r>
            <w:proofErr w:type="spellEnd"/>
            <w:r>
              <w:rPr>
                <w:i/>
                <w:iCs/>
                <w:color w:val="000000"/>
                <w:sz w:val="18"/>
                <w:szCs w:val="18"/>
              </w:rPr>
              <w:t xml:space="preserve"> del año terminal — ver Sección 5.3) y (</w:t>
            </w:r>
            <w:proofErr w:type="spellStart"/>
            <w:r>
              <w:rPr>
                <w:i/>
                <w:iCs/>
                <w:color w:val="000000"/>
                <w:sz w:val="18"/>
                <w:szCs w:val="18"/>
              </w:rPr>
              <w:t>ii</w:t>
            </w:r>
            <w:proofErr w:type="spellEnd"/>
            <w:r>
              <w:rPr>
                <w:i/>
                <w:iCs/>
                <w:color w:val="000000"/>
                <w:sz w:val="18"/>
                <w:szCs w:val="18"/>
              </w:rPr>
              <w:t xml:space="preserve">) fuentes públicas verificables: </w:t>
            </w:r>
            <w:proofErr w:type="spellStart"/>
            <w:r>
              <w:rPr>
                <w:i/>
                <w:iCs/>
                <w:color w:val="000000"/>
                <w:sz w:val="18"/>
                <w:szCs w:val="18"/>
              </w:rPr>
              <w:t>MarketScreener</w:t>
            </w:r>
            <w:proofErr w:type="spellEnd"/>
            <w:r>
              <w:rPr>
                <w:i/>
                <w:iCs/>
                <w:color w:val="000000"/>
                <w:sz w:val="18"/>
                <w:szCs w:val="18"/>
              </w:rPr>
              <w:t xml:space="preserve"> (consenso de analistas y proyecciones financieras 2024A-2028e, datos al 21-22 de septiembre de 2026), </w:t>
            </w:r>
            <w:proofErr w:type="spellStart"/>
            <w:r>
              <w:rPr>
                <w:i/>
                <w:iCs/>
                <w:color w:val="000000"/>
                <w:sz w:val="18"/>
                <w:szCs w:val="18"/>
              </w:rPr>
              <w:t>Morningstar</w:t>
            </w:r>
            <w:proofErr w:type="spellEnd"/>
            <w:r>
              <w:rPr>
                <w:i/>
                <w:iCs/>
                <w:color w:val="000000"/>
                <w:sz w:val="18"/>
                <w:szCs w:val="18"/>
              </w:rPr>
              <w:t xml:space="preserve"> (accionariado institucional), comunicados corporativos de Douglas AG (</w:t>
            </w:r>
            <w:proofErr w:type="spellStart"/>
            <w:r>
              <w:rPr>
                <w:i/>
                <w:iCs/>
                <w:color w:val="000000"/>
                <w:sz w:val="18"/>
                <w:szCs w:val="18"/>
              </w:rPr>
              <w:t>profit</w:t>
            </w:r>
            <w:proofErr w:type="spellEnd"/>
            <w:r>
              <w:rPr>
                <w:i/>
                <w:iCs/>
                <w:color w:val="000000"/>
                <w:sz w:val="18"/>
                <w:szCs w:val="18"/>
              </w:rPr>
              <w:t xml:space="preserve"> </w:t>
            </w:r>
            <w:proofErr w:type="spellStart"/>
            <w:r>
              <w:rPr>
                <w:i/>
                <w:iCs/>
                <w:color w:val="000000"/>
                <w:sz w:val="18"/>
                <w:szCs w:val="18"/>
              </w:rPr>
              <w:t>warnings</w:t>
            </w:r>
            <w:proofErr w:type="spellEnd"/>
            <w:r>
              <w:rPr>
                <w:i/>
                <w:iCs/>
                <w:color w:val="000000"/>
                <w:sz w:val="18"/>
                <w:szCs w:val="18"/>
              </w:rPr>
              <w:t xml:space="preserve">, resultados semestrales FY2025/26), prensa financiera especializada (Deutsche Bank, Reuters) y la carta semestral de Cobas </w:t>
            </w:r>
            <w:proofErr w:type="spellStart"/>
            <w:r>
              <w:rPr>
                <w:i/>
                <w:iCs/>
                <w:color w:val="000000"/>
                <w:sz w:val="18"/>
                <w:szCs w:val="18"/>
              </w:rPr>
              <w:t>Asset</w:t>
            </w:r>
            <w:proofErr w:type="spellEnd"/>
            <w:r>
              <w:rPr>
                <w:i/>
                <w:iCs/>
                <w:color w:val="000000"/>
                <w:sz w:val="18"/>
                <w:szCs w:val="18"/>
              </w:rPr>
              <w:t xml:space="preserve"> Management (1S 2026). Las cifras de accionariado (CVC ~54-55%, familia </w:t>
            </w:r>
            <w:proofErr w:type="spellStart"/>
            <w:r>
              <w:rPr>
                <w:i/>
                <w:iCs/>
                <w:color w:val="000000"/>
                <w:sz w:val="18"/>
                <w:szCs w:val="18"/>
              </w:rPr>
              <w:t>Kreke</w:t>
            </w:r>
            <w:proofErr w:type="spellEnd"/>
            <w:r>
              <w:rPr>
                <w:i/>
                <w:iCs/>
                <w:color w:val="000000"/>
                <w:sz w:val="18"/>
                <w:szCs w:val="18"/>
              </w:rPr>
              <w:t xml:space="preserve"> ~10%), deuda neta desglosada y minoritarios son aproximaciones a partir de fuentes públicas — deben verificarse contra el informe anual FY2025/26.</w:t>
            </w:r>
          </w:p>
        </w:tc>
      </w:tr>
    </w:tbl>
    <w:p w14:paraId="641F437A" w14:textId="26010BBE" w:rsidR="00003AE7" w:rsidRDefault="00E92A10">
      <w:r>
        <w:rPr>
          <w:noProof/>
        </w:rPr>
        <w:drawing>
          <wp:anchor distT="0" distB="0" distL="114300" distR="114300" simplePos="0" relativeHeight="251658240" behindDoc="0" locked="0" layoutInCell="1" allowOverlap="1" wp14:anchorId="75210739" wp14:editId="42CFACF5">
            <wp:simplePos x="0" y="0"/>
            <wp:positionH relativeFrom="column">
              <wp:posOffset>-67310</wp:posOffset>
            </wp:positionH>
            <wp:positionV relativeFrom="paragraph">
              <wp:posOffset>744450</wp:posOffset>
            </wp:positionV>
            <wp:extent cx="6163945" cy="4110990"/>
            <wp:effectExtent l="0" t="0" r="0" b="3810"/>
            <wp:wrapTopAndBottom/>
            <wp:docPr id="1836617930" name="Imagen 1" descr="Douglas maintains fast growth pace - RetailDetail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uglas maintains fast growth pace - RetailDetail E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3945" cy="411099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br w:type="page"/>
      </w:r>
    </w:p>
    <w:p w14:paraId="1E6C8573" w14:textId="3DFE35EA" w:rsidR="00003AE7" w:rsidRDefault="00000000">
      <w:pPr>
        <w:pStyle w:val="Ttulo1"/>
        <w:keepNext/>
        <w:keepLines/>
        <w:pBdr>
          <w:bottom w:val="single" w:sz="8" w:space="4" w:color="1F3864"/>
        </w:pBdr>
        <w:spacing w:before="380" w:after="180"/>
      </w:pPr>
      <w:r>
        <w:rPr>
          <w:b/>
          <w:bCs/>
          <w:color w:val="1F3864"/>
          <w:sz w:val="28"/>
          <w:szCs w:val="28"/>
        </w:rPr>
        <w:lastRenderedPageBreak/>
        <w:t>1. Resumen — Jaime Danus</w:t>
      </w:r>
    </w:p>
    <w:tbl>
      <w:tblPr>
        <w:tblW w:w="9350" w:type="dxa"/>
        <w:tblBorders>
          <w:top w:val="single" w:sz="12" w:space="0" w:color="1F3864"/>
          <w:left w:val="single" w:sz="12" w:space="0" w:color="1F3864"/>
          <w:bottom w:val="single" w:sz="12" w:space="0" w:color="1F3864"/>
          <w:right w:val="single" w:sz="12" w:space="0" w:color="1F3864"/>
        </w:tblBorders>
        <w:tblCellMar>
          <w:left w:w="10" w:type="dxa"/>
          <w:right w:w="10" w:type="dxa"/>
        </w:tblCellMar>
        <w:tblLook w:val="04A0" w:firstRow="1" w:lastRow="0" w:firstColumn="1" w:lastColumn="0" w:noHBand="0" w:noVBand="1"/>
      </w:tblPr>
      <w:tblGrid>
        <w:gridCol w:w="9350"/>
      </w:tblGrid>
      <w:tr w:rsidR="00003AE7" w14:paraId="6C4CB0AF" w14:textId="77777777">
        <w:tblPrEx>
          <w:tblCellMar>
            <w:top w:w="0" w:type="dxa"/>
            <w:bottom w:w="0" w:type="dxa"/>
          </w:tblCellMar>
        </w:tblPrEx>
        <w:trPr>
          <w:cantSplit/>
        </w:trPr>
        <w:tc>
          <w:tcPr>
            <w:tcW w:w="0" w:type="auto"/>
            <w:shd w:val="clear" w:color="auto" w:fill="D9E2F3"/>
            <w:tcMar>
              <w:top w:w="160" w:type="dxa"/>
              <w:left w:w="200" w:type="dxa"/>
              <w:bottom w:w="160" w:type="dxa"/>
              <w:right w:w="200" w:type="dxa"/>
            </w:tcMar>
          </w:tcPr>
          <w:p w14:paraId="4448565B" w14:textId="353DC1E2" w:rsidR="00003AE7" w:rsidRDefault="00000000">
            <w:pPr>
              <w:spacing w:after="120"/>
            </w:pPr>
            <w:r>
              <w:rPr>
                <w:b/>
                <w:bCs/>
                <w:color w:val="1F3864"/>
              </w:rPr>
              <w:t>TESIS RESUMEN — Jaime Danus</w:t>
            </w:r>
          </w:p>
          <w:p w14:paraId="18017C7E" w14:textId="585E4EC2" w:rsidR="00C0755E" w:rsidRPr="00C0755E" w:rsidRDefault="00C0755E" w:rsidP="00C0755E">
            <w:pPr>
              <w:pStyle w:val="NormalWeb"/>
              <w:rPr>
                <w:rFonts w:ascii="Calibri" w:hAnsi="Calibri" w:cs="Calibri"/>
                <w:color w:val="000000"/>
                <w:sz w:val="20"/>
                <w:szCs w:val="20"/>
              </w:rPr>
            </w:pPr>
            <w:r w:rsidRPr="00C0755E">
              <w:rPr>
                <w:rFonts w:ascii="Calibri" w:hAnsi="Calibri" w:cs="Calibri"/>
                <w:color w:val="000000"/>
                <w:sz w:val="20"/>
                <w:szCs w:val="20"/>
              </w:rPr>
              <w:t>Douglas cotiza actualmente a un precio de derribo de 7,04€ por acción. El mercado está extrapolando un escenario de estrés extremo tras encadenar dos rebajas de guía consecutivas en 2026 y lidiar con un alto apalancamiento heredado de su etapa bajo el</w:t>
            </w:r>
            <w:r w:rsidRPr="00C0755E">
              <w:rPr>
                <w:rStyle w:val="apple-converted-space"/>
                <w:rFonts w:ascii="Calibri" w:hAnsi="Calibri" w:cs="Calibri"/>
                <w:color w:val="000000"/>
                <w:sz w:val="20"/>
                <w:szCs w:val="20"/>
              </w:rPr>
              <w:t> </w:t>
            </w:r>
            <w:proofErr w:type="spellStart"/>
            <w:r w:rsidRPr="00C0755E">
              <w:rPr>
                <w:rFonts w:ascii="Calibri" w:hAnsi="Calibri" w:cs="Calibri"/>
                <w:i/>
                <w:iCs/>
                <w:color w:val="000000"/>
                <w:sz w:val="20"/>
                <w:szCs w:val="20"/>
              </w:rPr>
              <w:t>private</w:t>
            </w:r>
            <w:proofErr w:type="spellEnd"/>
            <w:r w:rsidRPr="00C0755E">
              <w:rPr>
                <w:rFonts w:ascii="Calibri" w:hAnsi="Calibri" w:cs="Calibri"/>
                <w:i/>
                <w:iCs/>
                <w:color w:val="000000"/>
                <w:sz w:val="20"/>
                <w:szCs w:val="20"/>
              </w:rPr>
              <w:t xml:space="preserve"> </w:t>
            </w:r>
            <w:proofErr w:type="spellStart"/>
            <w:r w:rsidRPr="00C0755E">
              <w:rPr>
                <w:rFonts w:ascii="Calibri" w:hAnsi="Calibri" w:cs="Calibri"/>
                <w:i/>
                <w:iCs/>
                <w:color w:val="000000"/>
                <w:sz w:val="20"/>
                <w:szCs w:val="20"/>
              </w:rPr>
              <w:t>equity</w:t>
            </w:r>
            <w:proofErr w:type="spellEnd"/>
            <w:r w:rsidRPr="00C0755E">
              <w:rPr>
                <w:rStyle w:val="apple-converted-space"/>
                <w:rFonts w:ascii="Calibri" w:hAnsi="Calibri" w:cs="Calibri"/>
                <w:color w:val="000000"/>
                <w:sz w:val="20"/>
                <w:szCs w:val="20"/>
              </w:rPr>
              <w:t> </w:t>
            </w:r>
            <w:r w:rsidRPr="00C0755E">
              <w:rPr>
                <w:rFonts w:ascii="Calibri" w:hAnsi="Calibri" w:cs="Calibri"/>
                <w:color w:val="000000"/>
                <w:sz w:val="20"/>
                <w:szCs w:val="20"/>
              </w:rPr>
              <w:t>CVC. A estos precios, la compañía cotiza a múltiplos de compresión severa (EV/EBITDA ~4x), asumiendo un riesgo casi de reestructuración o dilución inminente. Sin embargo, la realidad operativa es muy distinta: estamos ante el líder absoluto del mercado europeo de belleza</w:t>
            </w:r>
            <w:r w:rsidRPr="00C0755E">
              <w:rPr>
                <w:rStyle w:val="apple-converted-space"/>
                <w:rFonts w:ascii="Calibri" w:hAnsi="Calibri" w:cs="Calibri"/>
                <w:color w:val="000000"/>
                <w:sz w:val="20"/>
                <w:szCs w:val="20"/>
              </w:rPr>
              <w:t> </w:t>
            </w:r>
            <w:r w:rsidRPr="00C0755E">
              <w:rPr>
                <w:rFonts w:ascii="Calibri" w:hAnsi="Calibri" w:cs="Calibri"/>
                <w:i/>
                <w:iCs/>
                <w:color w:val="000000"/>
                <w:sz w:val="20"/>
                <w:szCs w:val="20"/>
              </w:rPr>
              <w:t>premium</w:t>
            </w:r>
            <w:r w:rsidRPr="00C0755E">
              <w:rPr>
                <w:rStyle w:val="apple-converted-space"/>
                <w:rFonts w:ascii="Calibri" w:hAnsi="Calibri" w:cs="Calibri"/>
                <w:color w:val="000000"/>
                <w:sz w:val="20"/>
                <w:szCs w:val="20"/>
              </w:rPr>
              <w:t> </w:t>
            </w:r>
            <w:r w:rsidRPr="00C0755E">
              <w:rPr>
                <w:rFonts w:ascii="Calibri" w:hAnsi="Calibri" w:cs="Calibri"/>
                <w:color w:val="000000"/>
                <w:sz w:val="20"/>
                <w:szCs w:val="20"/>
              </w:rPr>
              <w:t>(23% de cuota frente al 12% de su principal rival, Sephora), que sigue generando un</w:t>
            </w:r>
            <w:r w:rsidRPr="00C0755E">
              <w:rPr>
                <w:rStyle w:val="apple-converted-space"/>
                <w:rFonts w:ascii="Calibri" w:hAnsi="Calibri" w:cs="Calibri"/>
                <w:color w:val="000000"/>
                <w:sz w:val="20"/>
                <w:szCs w:val="20"/>
              </w:rPr>
              <w:t> </w:t>
            </w:r>
            <w:r w:rsidRPr="00C0755E">
              <w:rPr>
                <w:rFonts w:ascii="Calibri" w:hAnsi="Calibri" w:cs="Calibri"/>
                <w:i/>
                <w:iCs/>
                <w:color w:val="000000"/>
                <w:sz w:val="20"/>
                <w:szCs w:val="20"/>
              </w:rPr>
              <w:t>Free Cash Flow</w:t>
            </w:r>
            <w:r w:rsidRPr="00C0755E">
              <w:rPr>
                <w:rStyle w:val="apple-converted-space"/>
                <w:rFonts w:ascii="Calibri" w:hAnsi="Calibri" w:cs="Calibri"/>
                <w:color w:val="000000"/>
                <w:sz w:val="20"/>
                <w:szCs w:val="20"/>
              </w:rPr>
              <w:t> </w:t>
            </w:r>
            <w:r w:rsidRPr="00C0755E">
              <w:rPr>
                <w:rFonts w:ascii="Calibri" w:hAnsi="Calibri" w:cs="Calibri"/>
                <w:color w:val="000000"/>
                <w:sz w:val="20"/>
                <w:szCs w:val="20"/>
              </w:rPr>
              <w:t>fuertemente positivo.</w:t>
            </w:r>
          </w:p>
          <w:p w14:paraId="7548D6C2" w14:textId="77777777" w:rsidR="00003AE7" w:rsidRPr="00C0755E" w:rsidRDefault="00C0755E" w:rsidP="00C0755E">
            <w:pPr>
              <w:pStyle w:val="NormalWeb"/>
              <w:rPr>
                <w:rFonts w:ascii="Calibri" w:hAnsi="Calibri" w:cs="Calibri"/>
                <w:color w:val="000000"/>
                <w:sz w:val="20"/>
                <w:szCs w:val="20"/>
              </w:rPr>
            </w:pPr>
            <w:r w:rsidRPr="00C0755E">
              <w:rPr>
                <w:rFonts w:ascii="Calibri" w:hAnsi="Calibri" w:cs="Calibri"/>
                <w:color w:val="000000"/>
                <w:sz w:val="20"/>
                <w:szCs w:val="20"/>
              </w:rPr>
              <w:t xml:space="preserve">Mi modelo DCF arroja un valor intrínseco de 16,08€ por acción, lo que supone un potencial de revalorización del +128%. La ineficiencia nace de una mala lectura del mercado sobre los flujos de 2026, donde ha coincidido una caída del EBITDA con un repunte excepcional del </w:t>
            </w:r>
            <w:proofErr w:type="spellStart"/>
            <w:r w:rsidRPr="00C0755E">
              <w:rPr>
                <w:rFonts w:ascii="Calibri" w:hAnsi="Calibri" w:cs="Calibri"/>
                <w:color w:val="000000"/>
                <w:sz w:val="20"/>
                <w:szCs w:val="20"/>
              </w:rPr>
              <w:t>CapEx</w:t>
            </w:r>
            <w:proofErr w:type="spellEnd"/>
            <w:r w:rsidRPr="00C0755E">
              <w:rPr>
                <w:rFonts w:ascii="Calibri" w:hAnsi="Calibri" w:cs="Calibri"/>
                <w:color w:val="000000"/>
                <w:sz w:val="20"/>
                <w:szCs w:val="20"/>
              </w:rPr>
              <w:t xml:space="preserve"> del +47%. Tras ajustar mi modelo para normalizar la reinversión (haciendo converger el </w:t>
            </w:r>
            <w:proofErr w:type="spellStart"/>
            <w:r w:rsidRPr="00C0755E">
              <w:rPr>
                <w:rFonts w:ascii="Calibri" w:hAnsi="Calibri" w:cs="Calibri"/>
                <w:color w:val="000000"/>
                <w:sz w:val="20"/>
                <w:szCs w:val="20"/>
              </w:rPr>
              <w:t>CapEx</w:t>
            </w:r>
            <w:proofErr w:type="spellEnd"/>
            <w:r w:rsidRPr="00C0755E">
              <w:rPr>
                <w:rFonts w:ascii="Calibri" w:hAnsi="Calibri" w:cs="Calibri"/>
                <w:color w:val="000000"/>
                <w:sz w:val="20"/>
                <w:szCs w:val="20"/>
              </w:rPr>
              <w:t xml:space="preserve"> con la amortización en el año terminal), el WACC implícito actual (~10,3%) demuestra que hay un margen de seguridad amplísimo. No necesitamos que Douglas sea un negocio perfecto; solo necesitamos que la situación deje de empeorar.</w:t>
            </w:r>
          </w:p>
          <w:p w14:paraId="25DA650F" w14:textId="77777777" w:rsidR="00C0755E" w:rsidRPr="00C0755E" w:rsidRDefault="00C0755E" w:rsidP="00C0755E">
            <w:pPr>
              <w:pStyle w:val="NormalWeb"/>
              <w:rPr>
                <w:rFonts w:ascii="Calibri" w:hAnsi="Calibri" w:cs="Calibri"/>
                <w:color w:val="000000"/>
                <w:sz w:val="20"/>
                <w:szCs w:val="20"/>
              </w:rPr>
            </w:pPr>
            <w:r w:rsidRPr="00C0755E">
              <w:rPr>
                <w:rFonts w:ascii="Calibri" w:hAnsi="Calibri" w:cs="Calibri"/>
                <w:color w:val="000000"/>
                <w:sz w:val="20"/>
                <w:szCs w:val="20"/>
              </w:rPr>
              <w:t>Recomendación y Catalizadores:</w:t>
            </w:r>
            <w:r w:rsidRPr="00C0755E">
              <w:rPr>
                <w:rStyle w:val="apple-converted-space"/>
                <w:rFonts w:ascii="Calibri" w:hAnsi="Calibri" w:cs="Calibri"/>
                <w:color w:val="000000"/>
                <w:sz w:val="20"/>
                <w:szCs w:val="20"/>
              </w:rPr>
              <w:t> </w:t>
            </w:r>
            <w:r w:rsidRPr="00C0755E">
              <w:rPr>
                <w:rFonts w:ascii="Calibri" w:hAnsi="Calibri" w:cs="Calibri"/>
                <w:color w:val="000000"/>
                <w:sz w:val="20"/>
                <w:szCs w:val="20"/>
              </w:rPr>
              <w:t>Mi recomendación es de</w:t>
            </w:r>
            <w:r w:rsidRPr="00C0755E">
              <w:rPr>
                <w:rStyle w:val="apple-converted-space"/>
                <w:rFonts w:ascii="Calibri" w:hAnsi="Calibri" w:cs="Calibri"/>
                <w:color w:val="000000"/>
                <w:sz w:val="20"/>
                <w:szCs w:val="20"/>
              </w:rPr>
              <w:t> </w:t>
            </w:r>
            <w:r w:rsidRPr="00C0755E">
              <w:rPr>
                <w:rFonts w:ascii="Calibri" w:hAnsi="Calibri" w:cs="Calibri"/>
                <w:color w:val="000000"/>
                <w:sz w:val="20"/>
                <w:szCs w:val="20"/>
              </w:rPr>
              <w:t>COMPRA con alta convicción. La asimetría es brutal y el margen de seguridad cubre sobradamente nuestro riesgo a la baja. Para que la acción repunte y el mercado cierre esta brecha de valor, necesitamos ver dos confirmaciones a corto plazo en el próximo cierre fiscal (diciembre de 2026):</w:t>
            </w:r>
          </w:p>
          <w:p w14:paraId="2E1341E0" w14:textId="3EE9BED9" w:rsidR="00C0755E" w:rsidRPr="00C0755E" w:rsidRDefault="00C0755E" w:rsidP="00C0755E">
            <w:pPr>
              <w:pStyle w:val="NormalWeb"/>
              <w:numPr>
                <w:ilvl w:val="0"/>
                <w:numId w:val="3"/>
              </w:numPr>
              <w:rPr>
                <w:rFonts w:ascii="Calibri" w:hAnsi="Calibri" w:cs="Calibri"/>
                <w:color w:val="000000"/>
                <w:sz w:val="20"/>
                <w:szCs w:val="20"/>
              </w:rPr>
            </w:pPr>
            <w:r w:rsidRPr="00C0755E">
              <w:rPr>
                <w:rFonts w:ascii="Calibri" w:hAnsi="Calibri" w:cs="Calibri"/>
                <w:color w:val="000000"/>
                <w:sz w:val="20"/>
                <w:szCs w:val="20"/>
              </w:rPr>
              <w:t>Que no se produzca una tercera rebaja de guía, estabilizando así las expectativas.</w:t>
            </w:r>
          </w:p>
          <w:p w14:paraId="33D2ED3E" w14:textId="6E50D871" w:rsidR="00C0755E" w:rsidRPr="00C0755E" w:rsidRDefault="00C0755E" w:rsidP="00C0755E">
            <w:pPr>
              <w:pStyle w:val="NormalWeb"/>
              <w:numPr>
                <w:ilvl w:val="0"/>
                <w:numId w:val="3"/>
              </w:numPr>
              <w:rPr>
                <w:rFonts w:ascii="Calibri" w:hAnsi="Calibri" w:cs="Calibri"/>
                <w:color w:val="000000"/>
                <w:sz w:val="20"/>
                <w:szCs w:val="20"/>
              </w:rPr>
            </w:pPr>
            <w:r w:rsidRPr="00C0755E">
              <w:rPr>
                <w:rFonts w:ascii="Calibri" w:hAnsi="Calibri" w:cs="Calibri"/>
                <w:color w:val="000000"/>
                <w:sz w:val="20"/>
                <w:szCs w:val="20"/>
              </w:rPr>
              <w:t xml:space="preserve">Que el apalancamiento (Deuda Neta / EBITDA) inicie una bajada estructural y sostenida desde su pico actual de 3,32x, demostrando que el pico de </w:t>
            </w:r>
            <w:proofErr w:type="spellStart"/>
            <w:r w:rsidRPr="00C0755E">
              <w:rPr>
                <w:rFonts w:ascii="Calibri" w:hAnsi="Calibri" w:cs="Calibri"/>
                <w:color w:val="000000"/>
                <w:sz w:val="20"/>
                <w:szCs w:val="20"/>
              </w:rPr>
              <w:t>Cap</w:t>
            </w:r>
            <w:r w:rsidRPr="00C0755E">
              <w:rPr>
                <w:rFonts w:ascii="Calibri" w:hAnsi="Calibri" w:cs="Calibri"/>
                <w:color w:val="000000"/>
                <w:sz w:val="20"/>
                <w:szCs w:val="20"/>
              </w:rPr>
              <w:t>e</w:t>
            </w:r>
            <w:r w:rsidRPr="00C0755E">
              <w:rPr>
                <w:rFonts w:ascii="Calibri" w:hAnsi="Calibri" w:cs="Calibri"/>
                <w:color w:val="000000"/>
                <w:sz w:val="20"/>
                <w:szCs w:val="20"/>
              </w:rPr>
              <w:t>x</w:t>
            </w:r>
            <w:proofErr w:type="spellEnd"/>
            <w:r w:rsidRPr="00C0755E">
              <w:rPr>
                <w:rFonts w:ascii="Calibri" w:hAnsi="Calibri" w:cs="Calibri"/>
                <w:color w:val="000000"/>
                <w:sz w:val="20"/>
                <w:szCs w:val="20"/>
              </w:rPr>
              <w:t xml:space="preserve"> fue transitorio y no estructural.</w:t>
            </w:r>
          </w:p>
          <w:p w14:paraId="12A202A8" w14:textId="08CC9B18" w:rsidR="00C0755E" w:rsidRPr="00C0755E" w:rsidRDefault="00C0755E" w:rsidP="00C0755E">
            <w:pPr>
              <w:pStyle w:val="NormalWeb"/>
              <w:rPr>
                <w:rFonts w:ascii="Calibri" w:hAnsi="Calibri" w:cs="Calibri"/>
                <w:color w:val="000000"/>
                <w:sz w:val="20"/>
                <w:szCs w:val="20"/>
              </w:rPr>
            </w:pPr>
          </w:p>
        </w:tc>
      </w:tr>
    </w:tbl>
    <w:p w14:paraId="5523189E" w14:textId="77777777" w:rsidR="00003AE7" w:rsidRDefault="00003AE7">
      <w:pPr>
        <w:spacing w:after="160"/>
      </w:pPr>
    </w:p>
    <w:p w14:paraId="1E57D3AA" w14:textId="77777777" w:rsidR="00003AE7" w:rsidRDefault="00000000">
      <w:pPr>
        <w:pStyle w:val="Ttulo1"/>
        <w:keepNext/>
        <w:keepLines/>
        <w:pBdr>
          <w:bottom w:val="single" w:sz="8" w:space="4" w:color="1F3864"/>
        </w:pBdr>
        <w:spacing w:before="380" w:after="180"/>
      </w:pPr>
      <w:r>
        <w:rPr>
          <w:b/>
          <w:bCs/>
          <w:color w:val="1F3864"/>
          <w:sz w:val="28"/>
          <w:szCs w:val="28"/>
        </w:rPr>
        <w:t>2. El Negocio y el Sector</w:t>
      </w:r>
    </w:p>
    <w:p w14:paraId="2A5FECA9" w14:textId="77777777" w:rsidR="00003AE7" w:rsidRDefault="00000000">
      <w:pPr>
        <w:pStyle w:val="Ttulo2"/>
        <w:keepNext/>
        <w:keepLines/>
        <w:spacing w:before="280" w:after="140"/>
      </w:pPr>
      <w:r>
        <w:rPr>
          <w:b/>
          <w:bCs/>
          <w:color w:val="1F3864"/>
          <w:sz w:val="24"/>
          <w:szCs w:val="24"/>
        </w:rPr>
        <w:t>2.1 Modelo de negocio: cómo gana dinero Douglas</w:t>
      </w:r>
    </w:p>
    <w:p w14:paraId="3D06E94F" w14:textId="2324C86E" w:rsidR="00003AE7" w:rsidRDefault="00000000">
      <w:pPr>
        <w:spacing w:after="160"/>
        <w:jc w:val="both"/>
      </w:pPr>
      <w:r>
        <w:rPr>
          <w:color w:val="000000"/>
        </w:rPr>
        <w:t xml:space="preserve">Douglas opera un modelo de </w:t>
      </w:r>
      <w:proofErr w:type="spellStart"/>
      <w:r>
        <w:rPr>
          <w:color w:val="000000"/>
        </w:rPr>
        <w:t>retail</w:t>
      </w:r>
      <w:proofErr w:type="spellEnd"/>
      <w:r>
        <w:rPr>
          <w:color w:val="000000"/>
        </w:rPr>
        <w:t xml:space="preserve"> especializado en perfumería, cosmética y cuidado de la piel, articulado en dos motores:</w:t>
      </w:r>
    </w:p>
    <w:p w14:paraId="4D315457" w14:textId="77777777" w:rsidR="00003AE7" w:rsidRDefault="00000000">
      <w:pPr>
        <w:pStyle w:val="Prrafodelista"/>
        <w:numPr>
          <w:ilvl w:val="0"/>
          <w:numId w:val="2"/>
        </w:numPr>
        <w:spacing w:after="100"/>
        <w:jc w:val="both"/>
      </w:pPr>
      <w:proofErr w:type="spellStart"/>
      <w:r>
        <w:rPr>
          <w:b/>
          <w:bCs/>
        </w:rPr>
        <w:t>Retail</w:t>
      </w:r>
      <w:proofErr w:type="spellEnd"/>
      <w:r>
        <w:rPr>
          <w:b/>
          <w:bCs/>
        </w:rPr>
        <w:t xml:space="preserve"> físico (tienda propia + concesión): </w:t>
      </w:r>
      <w:r>
        <w:t>venta de marcas de terceros (</w:t>
      </w:r>
      <w:proofErr w:type="spellStart"/>
      <w:r>
        <w:t>L'Oréal</w:t>
      </w:r>
      <w:proofErr w:type="spellEnd"/>
      <w:r>
        <w:t xml:space="preserve">, Estée Lauder, Chanel, etc.) más una cartera creciente de marca propia/exclusivas, a través de ~1.850-1.900 tiendas en ~22 países bajo las enseñas Douglas, </w:t>
      </w:r>
      <w:proofErr w:type="spellStart"/>
      <w:r>
        <w:t>Nocibé</w:t>
      </w:r>
      <w:proofErr w:type="spellEnd"/>
      <w:r>
        <w:t xml:space="preserve"> (Francia) y </w:t>
      </w:r>
      <w:proofErr w:type="spellStart"/>
      <w:r>
        <w:t>Parfumdreams</w:t>
      </w:r>
      <w:proofErr w:type="spellEnd"/>
      <w:r>
        <w:t xml:space="preserve">/Niche </w:t>
      </w:r>
      <w:proofErr w:type="spellStart"/>
      <w:r>
        <w:t>Beauty</w:t>
      </w:r>
      <w:proofErr w:type="spellEnd"/>
      <w:r>
        <w:t>.</w:t>
      </w:r>
    </w:p>
    <w:p w14:paraId="787D62DF" w14:textId="77777777" w:rsidR="00003AE7" w:rsidRDefault="00000000">
      <w:pPr>
        <w:pStyle w:val="Prrafodelista"/>
        <w:numPr>
          <w:ilvl w:val="0"/>
          <w:numId w:val="2"/>
        </w:numPr>
        <w:spacing w:after="100"/>
        <w:jc w:val="both"/>
      </w:pPr>
      <w:r>
        <w:rPr>
          <w:b/>
          <w:bCs/>
        </w:rPr>
        <w:t xml:space="preserve">Online: </w:t>
      </w:r>
      <w:r>
        <w:t>canal impulsado agresivamente desde la era de la anterior CEO Tina Müller (triplicó los ingresos e-</w:t>
      </w:r>
      <w:proofErr w:type="spellStart"/>
      <w:r>
        <w:t>tail</w:t>
      </w:r>
      <w:proofErr w:type="spellEnd"/>
      <w:r>
        <w:t xml:space="preserve">), reforzado por el programa de fidelización </w:t>
      </w:r>
      <w:proofErr w:type="spellStart"/>
      <w:r>
        <w:t>Beauty</w:t>
      </w:r>
      <w:proofErr w:type="spellEnd"/>
      <w:r>
        <w:t xml:space="preserve"> </w:t>
      </w:r>
      <w:proofErr w:type="spellStart"/>
      <w:r>
        <w:t>Card</w:t>
      </w:r>
      <w:proofErr w:type="spellEnd"/>
      <w:r>
        <w:t>, con más de 64 millones de miembros — el activo de datos de cliente y personalización más valioso de la compañía.</w:t>
      </w:r>
    </w:p>
    <w:p w14:paraId="7D46F9F9" w14:textId="77777777" w:rsidR="00003AE7" w:rsidRDefault="00000000">
      <w:pPr>
        <w:spacing w:after="160"/>
        <w:jc w:val="both"/>
      </w:pPr>
      <w:r>
        <w:rPr>
          <w:color w:val="000000"/>
        </w:rPr>
        <w:t xml:space="preserve">Los márgenes brutos se mantienen estables en el rango 43-46%, típicos de </w:t>
      </w:r>
      <w:proofErr w:type="spellStart"/>
      <w:r>
        <w:rPr>
          <w:color w:val="000000"/>
        </w:rPr>
        <w:t>retail</w:t>
      </w:r>
      <w:proofErr w:type="spellEnd"/>
      <w:r>
        <w:rPr>
          <w:color w:val="000000"/>
        </w:rPr>
        <w:t xml:space="preserve"> especializado, con un componente relevante de bonificaciones de proveedor ("</w:t>
      </w:r>
      <w:proofErr w:type="spellStart"/>
      <w:r>
        <w:rPr>
          <w:color w:val="000000"/>
        </w:rPr>
        <w:t>supplier</w:t>
      </w:r>
      <w:proofErr w:type="spellEnd"/>
      <w:r>
        <w:rPr>
          <w:color w:val="000000"/>
        </w:rPr>
        <w:t xml:space="preserve"> </w:t>
      </w:r>
      <w:proofErr w:type="spellStart"/>
      <w:r>
        <w:rPr>
          <w:color w:val="000000"/>
        </w:rPr>
        <w:t>bonuses</w:t>
      </w:r>
      <w:proofErr w:type="spellEnd"/>
      <w:r>
        <w:rPr>
          <w:color w:val="000000"/>
        </w:rPr>
        <w:t>") que ya ha demostrado ser volátil y sensible a la relación de poder con las marcas — precisamente uno de los factores citados por la propia compañía en sus rebajas de guía recientes.</w:t>
      </w:r>
    </w:p>
    <w:p w14:paraId="26F0B421" w14:textId="77777777" w:rsidR="00003AE7" w:rsidRDefault="00000000">
      <w:pPr>
        <w:pStyle w:val="Ttulo2"/>
        <w:keepNext/>
        <w:keepLines/>
        <w:spacing w:before="280" w:after="140"/>
      </w:pPr>
      <w:r>
        <w:rPr>
          <w:b/>
          <w:bCs/>
          <w:color w:val="1F3864"/>
          <w:sz w:val="24"/>
          <w:szCs w:val="24"/>
        </w:rPr>
        <w:lastRenderedPageBreak/>
        <w:t>2.2 Dinámica sectorial y competencia</w:t>
      </w:r>
    </w:p>
    <w:p w14:paraId="7B3B1466" w14:textId="081726A2" w:rsidR="00003AE7" w:rsidRDefault="00F41835">
      <w:pPr>
        <w:spacing w:after="160"/>
        <w:jc w:val="both"/>
      </w:pPr>
      <w:r>
        <w:rPr>
          <w:noProof/>
        </w:rPr>
        <w:drawing>
          <wp:anchor distT="0" distB="0" distL="114300" distR="114300" simplePos="0" relativeHeight="251659264" behindDoc="0" locked="0" layoutInCell="1" allowOverlap="1" wp14:anchorId="2EBFFDE7" wp14:editId="5C672687">
            <wp:simplePos x="0" y="0"/>
            <wp:positionH relativeFrom="column">
              <wp:posOffset>3804920</wp:posOffset>
            </wp:positionH>
            <wp:positionV relativeFrom="paragraph">
              <wp:posOffset>55245</wp:posOffset>
            </wp:positionV>
            <wp:extent cx="2586990" cy="1490980"/>
            <wp:effectExtent l="0" t="0" r="3810" b="0"/>
            <wp:wrapSquare wrapText="bothSides"/>
            <wp:docPr id="112336014" name="Imagen 2" descr="Empresas del sector Cadena Minorista de Cosméticos y Fragancias: lista de  los principales 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resas del sector Cadena Minorista de Cosméticos y Fragancias: lista de  los principales actor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6990" cy="149098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color w:val="000000"/>
        </w:rPr>
        <w:t>El sector de "</w:t>
      </w:r>
      <w:r w:rsidR="006A123E">
        <w:rPr>
          <w:color w:val="000000"/>
        </w:rPr>
        <w:t xml:space="preserve">belleza </w:t>
      </w:r>
      <w:r w:rsidR="00000000">
        <w:rPr>
          <w:color w:val="000000"/>
        </w:rPr>
        <w:t>premium" es cíclico con un componente defensivo parcial pero no es inmune al ciclo de consumo: la propia Douglas ha citado explícitamente "mayor sensibilidad al precio del consumidor" y "presión competitiva de campañas de descuento" como causas de sus rebajas de guía de 2026. No es un sector estancado —crece en volumen— pero tampoco de crecimiento secular estructural.</w:t>
      </w:r>
      <w:r w:rsidRPr="00F41835">
        <w:t xml:space="preserve"> </w:t>
      </w:r>
      <w:r>
        <w:fldChar w:fldCharType="begin"/>
      </w:r>
      <w:r>
        <w:instrText xml:space="preserve"> INCLUDEPICTURE "/Users/jaimedanus/Library/Group Containers/UBF8T346G9.ms/WebArchiveCopyPasteTempFiles/com.microsoft.Word/cosmetic-and-fragrance-retail-chain-market-1758787817756-major-players.webp" \* MERGEFORMATINET </w:instrText>
      </w:r>
      <w:r>
        <w:fldChar w:fldCharType="separate"/>
      </w:r>
      <w:r>
        <w:fldChar w:fldCharType="end"/>
      </w:r>
    </w:p>
    <w:p w14:paraId="248A9906" w14:textId="77777777" w:rsidR="00003AE7" w:rsidRDefault="00000000">
      <w:pPr>
        <w:spacing w:after="160"/>
        <w:jc w:val="both"/>
      </w:pPr>
      <w:r>
        <w:rPr>
          <w:color w:val="000000"/>
        </w:rPr>
        <w:t>En los 5 mercados continentales principales (Alemania, Países Bajos, Francia, Italia, Polonia = 81% del mercado continental europeo), la cuota de mercado se reparte así:</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88"/>
        <w:gridCol w:w="1424"/>
        <w:gridCol w:w="5538"/>
      </w:tblGrid>
      <w:tr w:rsidR="00003AE7" w14:paraId="3E2B4483" w14:textId="77777777">
        <w:tblPrEx>
          <w:tblCellMar>
            <w:top w:w="0" w:type="dxa"/>
            <w:bottom w:w="0" w:type="dxa"/>
          </w:tblCellMar>
        </w:tblPrEx>
        <w:tc>
          <w:tcPr>
            <w:tcW w:w="0" w:type="auto"/>
            <w:shd w:val="clear" w:color="auto" w:fill="D9E2F3"/>
            <w:tcMar>
              <w:top w:w="90" w:type="dxa"/>
              <w:left w:w="110" w:type="dxa"/>
              <w:bottom w:w="90" w:type="dxa"/>
              <w:right w:w="110" w:type="dxa"/>
            </w:tcMar>
            <w:vAlign w:val="center"/>
          </w:tcPr>
          <w:p w14:paraId="741D3A57" w14:textId="77777777" w:rsidR="00003AE7" w:rsidRDefault="00000000">
            <w:r>
              <w:rPr>
                <w:b/>
                <w:bCs/>
                <w:color w:val="000000"/>
                <w:sz w:val="19"/>
                <w:szCs w:val="19"/>
              </w:rPr>
              <w:t>Competidor</w:t>
            </w:r>
          </w:p>
        </w:tc>
        <w:tc>
          <w:tcPr>
            <w:tcW w:w="0" w:type="auto"/>
            <w:shd w:val="clear" w:color="auto" w:fill="D9E2F3"/>
            <w:tcMar>
              <w:top w:w="90" w:type="dxa"/>
              <w:left w:w="110" w:type="dxa"/>
              <w:bottom w:w="90" w:type="dxa"/>
              <w:right w:w="110" w:type="dxa"/>
            </w:tcMar>
            <w:vAlign w:val="center"/>
          </w:tcPr>
          <w:p w14:paraId="20542088" w14:textId="77777777" w:rsidR="00003AE7" w:rsidRDefault="00000000">
            <w:pPr>
              <w:jc w:val="center"/>
            </w:pPr>
            <w:r>
              <w:rPr>
                <w:b/>
                <w:bCs/>
                <w:color w:val="000000"/>
                <w:sz w:val="19"/>
                <w:szCs w:val="19"/>
              </w:rPr>
              <w:t>Cuota de mercado</w:t>
            </w:r>
          </w:p>
        </w:tc>
        <w:tc>
          <w:tcPr>
            <w:tcW w:w="0" w:type="auto"/>
            <w:shd w:val="clear" w:color="auto" w:fill="D9E2F3"/>
            <w:tcMar>
              <w:top w:w="90" w:type="dxa"/>
              <w:left w:w="110" w:type="dxa"/>
              <w:bottom w:w="90" w:type="dxa"/>
              <w:right w:w="110" w:type="dxa"/>
            </w:tcMar>
            <w:vAlign w:val="center"/>
          </w:tcPr>
          <w:p w14:paraId="5670BDB9" w14:textId="77777777" w:rsidR="00003AE7" w:rsidRDefault="00000000">
            <w:r>
              <w:rPr>
                <w:b/>
                <w:bCs/>
                <w:color w:val="000000"/>
                <w:sz w:val="19"/>
                <w:szCs w:val="19"/>
              </w:rPr>
              <w:t>Posición / comentario</w:t>
            </w:r>
          </w:p>
        </w:tc>
      </w:tr>
      <w:tr w:rsidR="00003AE7" w14:paraId="5B483931" w14:textId="77777777">
        <w:tblPrEx>
          <w:tblCellMar>
            <w:top w:w="0" w:type="dxa"/>
            <w:bottom w:w="0" w:type="dxa"/>
          </w:tblCellMar>
        </w:tblPrEx>
        <w:tc>
          <w:tcPr>
            <w:tcW w:w="0" w:type="auto"/>
            <w:tcMar>
              <w:top w:w="90" w:type="dxa"/>
              <w:left w:w="110" w:type="dxa"/>
              <w:bottom w:w="90" w:type="dxa"/>
              <w:right w:w="110" w:type="dxa"/>
            </w:tcMar>
            <w:vAlign w:val="center"/>
          </w:tcPr>
          <w:p w14:paraId="1CF03B6B" w14:textId="77777777" w:rsidR="00003AE7" w:rsidRDefault="00000000">
            <w:r>
              <w:rPr>
                <w:b/>
                <w:bCs/>
                <w:color w:val="000000"/>
                <w:sz w:val="19"/>
                <w:szCs w:val="19"/>
              </w:rPr>
              <w:t>Douglas AG</w:t>
            </w:r>
          </w:p>
        </w:tc>
        <w:tc>
          <w:tcPr>
            <w:tcW w:w="0" w:type="auto"/>
            <w:tcMar>
              <w:top w:w="90" w:type="dxa"/>
              <w:left w:w="110" w:type="dxa"/>
              <w:bottom w:w="90" w:type="dxa"/>
              <w:right w:w="110" w:type="dxa"/>
            </w:tcMar>
            <w:vAlign w:val="center"/>
          </w:tcPr>
          <w:p w14:paraId="47244BF1" w14:textId="77777777" w:rsidR="00003AE7" w:rsidRDefault="00000000">
            <w:pPr>
              <w:jc w:val="center"/>
            </w:pPr>
            <w:r>
              <w:rPr>
                <w:b/>
                <w:bCs/>
                <w:color w:val="000000"/>
                <w:sz w:val="19"/>
                <w:szCs w:val="19"/>
              </w:rPr>
              <w:t>~23%</w:t>
            </w:r>
          </w:p>
        </w:tc>
        <w:tc>
          <w:tcPr>
            <w:tcW w:w="0" w:type="auto"/>
            <w:tcMar>
              <w:top w:w="90" w:type="dxa"/>
              <w:left w:w="110" w:type="dxa"/>
              <w:bottom w:w="90" w:type="dxa"/>
              <w:right w:w="110" w:type="dxa"/>
            </w:tcMar>
            <w:vAlign w:val="center"/>
          </w:tcPr>
          <w:p w14:paraId="56822EBF" w14:textId="77777777" w:rsidR="00003AE7" w:rsidRDefault="00000000">
            <w:r>
              <w:rPr>
                <w:color w:val="000000"/>
                <w:sz w:val="19"/>
                <w:szCs w:val="19"/>
              </w:rPr>
              <w:t xml:space="preserve">Líder en la mayoría de </w:t>
            </w:r>
            <w:proofErr w:type="gramStart"/>
            <w:r>
              <w:rPr>
                <w:color w:val="000000"/>
                <w:sz w:val="19"/>
                <w:szCs w:val="19"/>
              </w:rPr>
              <w:t>mercados</w:t>
            </w:r>
            <w:proofErr w:type="gramEnd"/>
            <w:r>
              <w:rPr>
                <w:color w:val="000000"/>
                <w:sz w:val="19"/>
                <w:szCs w:val="19"/>
              </w:rPr>
              <w:t xml:space="preserve">; #2 en Francia (tras Sephora, vía </w:t>
            </w:r>
            <w:proofErr w:type="spellStart"/>
            <w:r>
              <w:rPr>
                <w:color w:val="000000"/>
                <w:sz w:val="19"/>
                <w:szCs w:val="19"/>
              </w:rPr>
              <w:t>Nocibé</w:t>
            </w:r>
            <w:proofErr w:type="spellEnd"/>
            <w:r>
              <w:rPr>
                <w:color w:val="000000"/>
                <w:sz w:val="19"/>
                <w:szCs w:val="19"/>
              </w:rPr>
              <w:t>)</w:t>
            </w:r>
          </w:p>
        </w:tc>
      </w:tr>
      <w:tr w:rsidR="00003AE7" w14:paraId="17131734" w14:textId="77777777">
        <w:tblPrEx>
          <w:tblCellMar>
            <w:top w:w="0" w:type="dxa"/>
            <w:bottom w:w="0" w:type="dxa"/>
          </w:tblCellMar>
        </w:tblPrEx>
        <w:tc>
          <w:tcPr>
            <w:tcW w:w="0" w:type="auto"/>
            <w:tcMar>
              <w:top w:w="90" w:type="dxa"/>
              <w:left w:w="110" w:type="dxa"/>
              <w:bottom w:w="90" w:type="dxa"/>
              <w:right w:w="110" w:type="dxa"/>
            </w:tcMar>
            <w:vAlign w:val="center"/>
          </w:tcPr>
          <w:p w14:paraId="7CC6E48A" w14:textId="77777777" w:rsidR="00003AE7" w:rsidRDefault="00000000">
            <w:r>
              <w:rPr>
                <w:color w:val="000000"/>
                <w:sz w:val="19"/>
                <w:szCs w:val="19"/>
              </w:rPr>
              <w:t>Sephora (LVMH)</w:t>
            </w:r>
          </w:p>
        </w:tc>
        <w:tc>
          <w:tcPr>
            <w:tcW w:w="0" w:type="auto"/>
            <w:tcMar>
              <w:top w:w="90" w:type="dxa"/>
              <w:left w:w="110" w:type="dxa"/>
              <w:bottom w:w="90" w:type="dxa"/>
              <w:right w:w="110" w:type="dxa"/>
            </w:tcMar>
            <w:vAlign w:val="center"/>
          </w:tcPr>
          <w:p w14:paraId="753A76DE" w14:textId="77777777" w:rsidR="00003AE7" w:rsidRDefault="00000000">
            <w:pPr>
              <w:jc w:val="center"/>
            </w:pPr>
            <w:r>
              <w:rPr>
                <w:color w:val="000000"/>
                <w:sz w:val="19"/>
                <w:szCs w:val="19"/>
              </w:rPr>
              <w:t>~12%</w:t>
            </w:r>
          </w:p>
        </w:tc>
        <w:tc>
          <w:tcPr>
            <w:tcW w:w="0" w:type="auto"/>
            <w:tcMar>
              <w:top w:w="90" w:type="dxa"/>
              <w:left w:w="110" w:type="dxa"/>
              <w:bottom w:w="90" w:type="dxa"/>
              <w:right w:w="110" w:type="dxa"/>
            </w:tcMar>
            <w:vAlign w:val="center"/>
          </w:tcPr>
          <w:p w14:paraId="5EEF22B3" w14:textId="77777777" w:rsidR="00003AE7" w:rsidRDefault="00000000">
            <w:r>
              <w:rPr>
                <w:color w:val="000000"/>
                <w:sz w:val="19"/>
                <w:szCs w:val="19"/>
              </w:rPr>
              <w:t>Respaldado por balance de conglomerado de lujo; factura ~3,4x más que Douglas globalmente</w:t>
            </w:r>
          </w:p>
        </w:tc>
      </w:tr>
      <w:tr w:rsidR="00003AE7" w14:paraId="5E57A261" w14:textId="77777777">
        <w:tblPrEx>
          <w:tblCellMar>
            <w:top w:w="0" w:type="dxa"/>
            <w:bottom w:w="0" w:type="dxa"/>
          </w:tblCellMar>
        </w:tblPrEx>
        <w:tc>
          <w:tcPr>
            <w:tcW w:w="0" w:type="auto"/>
            <w:tcMar>
              <w:top w:w="90" w:type="dxa"/>
              <w:left w:w="110" w:type="dxa"/>
              <w:bottom w:w="90" w:type="dxa"/>
              <w:right w:w="110" w:type="dxa"/>
            </w:tcMar>
            <w:vAlign w:val="center"/>
          </w:tcPr>
          <w:p w14:paraId="526DE820" w14:textId="77777777" w:rsidR="00003AE7" w:rsidRDefault="00000000">
            <w:proofErr w:type="spellStart"/>
            <w:r>
              <w:rPr>
                <w:color w:val="000000"/>
                <w:sz w:val="19"/>
                <w:szCs w:val="19"/>
              </w:rPr>
              <w:t>Marionnaud</w:t>
            </w:r>
            <w:proofErr w:type="spellEnd"/>
            <w:r>
              <w:rPr>
                <w:color w:val="000000"/>
                <w:sz w:val="19"/>
                <w:szCs w:val="19"/>
              </w:rPr>
              <w:t xml:space="preserve"> (Hutchison </w:t>
            </w:r>
            <w:proofErr w:type="spellStart"/>
            <w:r>
              <w:rPr>
                <w:color w:val="000000"/>
                <w:sz w:val="19"/>
                <w:szCs w:val="19"/>
              </w:rPr>
              <w:t>Whampoa</w:t>
            </w:r>
            <w:proofErr w:type="spellEnd"/>
            <w:r>
              <w:rPr>
                <w:color w:val="000000"/>
                <w:sz w:val="19"/>
                <w:szCs w:val="19"/>
              </w:rPr>
              <w:t>)</w:t>
            </w:r>
          </w:p>
        </w:tc>
        <w:tc>
          <w:tcPr>
            <w:tcW w:w="0" w:type="auto"/>
            <w:tcMar>
              <w:top w:w="90" w:type="dxa"/>
              <w:left w:w="110" w:type="dxa"/>
              <w:bottom w:w="90" w:type="dxa"/>
              <w:right w:w="110" w:type="dxa"/>
            </w:tcMar>
            <w:vAlign w:val="center"/>
          </w:tcPr>
          <w:p w14:paraId="5D6F0357" w14:textId="77777777" w:rsidR="00003AE7" w:rsidRDefault="00000000">
            <w:pPr>
              <w:jc w:val="center"/>
            </w:pPr>
            <w:r>
              <w:rPr>
                <w:color w:val="000000"/>
                <w:sz w:val="19"/>
                <w:szCs w:val="19"/>
              </w:rPr>
              <w:t>~5%</w:t>
            </w:r>
          </w:p>
        </w:tc>
        <w:tc>
          <w:tcPr>
            <w:tcW w:w="0" w:type="auto"/>
            <w:tcMar>
              <w:top w:w="90" w:type="dxa"/>
              <w:left w:w="110" w:type="dxa"/>
              <w:bottom w:w="90" w:type="dxa"/>
              <w:right w:w="110" w:type="dxa"/>
            </w:tcMar>
            <w:vAlign w:val="center"/>
          </w:tcPr>
          <w:p w14:paraId="06E01A25" w14:textId="77777777" w:rsidR="00003AE7" w:rsidRDefault="00000000">
            <w:r>
              <w:rPr>
                <w:color w:val="000000"/>
                <w:sz w:val="19"/>
                <w:szCs w:val="19"/>
              </w:rPr>
              <w:t>Jugador secundario, sin escala comparable</w:t>
            </w:r>
          </w:p>
        </w:tc>
      </w:tr>
    </w:tbl>
    <w:p w14:paraId="62FD5221" w14:textId="1A28F6B4" w:rsidR="00003AE7" w:rsidRDefault="00000000">
      <w:pPr>
        <w:spacing w:before="60" w:after="220"/>
        <w:jc w:val="both"/>
      </w:pPr>
      <w:r>
        <w:rPr>
          <w:i/>
          <w:iCs/>
          <w:color w:val="595959"/>
          <w:sz w:val="16"/>
          <w:szCs w:val="16"/>
        </w:rPr>
        <w:t xml:space="preserve">Fuente: datos de cuota de mercado citados en la </w:t>
      </w:r>
      <w:proofErr w:type="spellStart"/>
      <w:r>
        <w:rPr>
          <w:i/>
          <w:iCs/>
          <w:color w:val="595959"/>
          <w:sz w:val="16"/>
          <w:szCs w:val="16"/>
        </w:rPr>
        <w:t>due</w:t>
      </w:r>
      <w:proofErr w:type="spellEnd"/>
      <w:r>
        <w:rPr>
          <w:i/>
          <w:iCs/>
          <w:color w:val="595959"/>
          <w:sz w:val="16"/>
          <w:szCs w:val="16"/>
        </w:rPr>
        <w:t xml:space="preserve"> </w:t>
      </w:r>
      <w:proofErr w:type="spellStart"/>
      <w:r>
        <w:rPr>
          <w:i/>
          <w:iCs/>
          <w:color w:val="595959"/>
          <w:sz w:val="16"/>
          <w:szCs w:val="16"/>
        </w:rPr>
        <w:t>diligence</w:t>
      </w:r>
      <w:proofErr w:type="spellEnd"/>
      <w:r>
        <w:rPr>
          <w:i/>
          <w:iCs/>
          <w:color w:val="595959"/>
          <w:sz w:val="16"/>
          <w:szCs w:val="16"/>
        </w:rPr>
        <w:t xml:space="preserve"> previa (prensa sectorial europea de </w:t>
      </w:r>
      <w:proofErr w:type="spellStart"/>
      <w:r>
        <w:rPr>
          <w:i/>
          <w:iCs/>
          <w:color w:val="595959"/>
          <w:sz w:val="16"/>
          <w:szCs w:val="16"/>
        </w:rPr>
        <w:t>retail</w:t>
      </w:r>
      <w:proofErr w:type="spellEnd"/>
      <w:r>
        <w:rPr>
          <w:i/>
          <w:iCs/>
          <w:color w:val="595959"/>
          <w:sz w:val="16"/>
          <w:szCs w:val="16"/>
        </w:rPr>
        <w:t xml:space="preserve"> de belleza, 2026). </w:t>
      </w:r>
      <w:proofErr w:type="spellStart"/>
      <w:r>
        <w:rPr>
          <w:i/>
          <w:iCs/>
          <w:color w:val="595959"/>
          <w:sz w:val="16"/>
          <w:szCs w:val="16"/>
        </w:rPr>
        <w:t>Wayfair</w:t>
      </w:r>
      <w:proofErr w:type="spellEnd"/>
      <w:r>
        <w:rPr>
          <w:i/>
          <w:iCs/>
          <w:color w:val="595959"/>
          <w:sz w:val="16"/>
          <w:szCs w:val="16"/>
        </w:rPr>
        <w:t xml:space="preserve"> (no directamente comparable, mueble/hogar) se retiró de Alemania en enero de 2025.</w:t>
      </w:r>
    </w:p>
    <w:p w14:paraId="2B44B599" w14:textId="7F35A045" w:rsidR="00003AE7" w:rsidRDefault="00000000">
      <w:pPr>
        <w:spacing w:after="160"/>
        <w:jc w:val="both"/>
      </w:pPr>
      <w:r>
        <w:rPr>
          <w:color w:val="000000"/>
        </w:rPr>
        <w:t xml:space="preserve">Esta posición de liderazgo es </w:t>
      </w:r>
      <w:r w:rsidR="001E3FFB">
        <w:rPr>
          <w:color w:val="000000"/>
        </w:rPr>
        <w:t>buena</w:t>
      </w:r>
      <w:r>
        <w:rPr>
          <w:color w:val="000000"/>
        </w:rPr>
        <w:t xml:space="preserve">, pero tiene una </w:t>
      </w:r>
      <w:r w:rsidR="001E3FFB">
        <w:rPr>
          <w:color w:val="000000"/>
        </w:rPr>
        <w:t>inconveniente</w:t>
      </w:r>
      <w:r>
        <w:rPr>
          <w:color w:val="000000"/>
        </w:rPr>
        <w:t xml:space="preserve"> estructural importante: Sephora compite con el balance de un conglomerado de lujo (LVMH), lo que le da mejor acceso a marcas exclusivas y mayor capacidad de inversión sostenida en experiencia de cliente — un lujo que Douglas, apalancada 3x EBITDA, no tiene en la misma medida.</w:t>
      </w:r>
    </w:p>
    <w:p w14:paraId="05F780DB" w14:textId="77777777" w:rsidR="00003AE7" w:rsidRDefault="00000000">
      <w:pPr>
        <w:pStyle w:val="Ttulo2"/>
        <w:keepNext/>
        <w:keepLines/>
        <w:spacing w:before="280" w:after="140"/>
      </w:pPr>
      <w:r>
        <w:rPr>
          <w:b/>
          <w:bCs/>
          <w:color w:val="1F3864"/>
          <w:sz w:val="24"/>
          <w:szCs w:val="24"/>
        </w:rPr>
        <w:t xml:space="preserve">2.3 </w:t>
      </w:r>
      <w:proofErr w:type="spellStart"/>
      <w:r>
        <w:rPr>
          <w:b/>
          <w:bCs/>
          <w:color w:val="1F3864"/>
          <w:sz w:val="24"/>
          <w:szCs w:val="24"/>
        </w:rPr>
        <w:t>Predecibilidad</w:t>
      </w:r>
      <w:proofErr w:type="spellEnd"/>
      <w:r>
        <w:rPr>
          <w:b/>
          <w:bCs/>
          <w:color w:val="1F3864"/>
          <w:sz w:val="24"/>
          <w:szCs w:val="24"/>
        </w:rPr>
        <w:t xml:space="preserve"> de ingresos y </w:t>
      </w:r>
      <w:proofErr w:type="spellStart"/>
      <w:r>
        <w:rPr>
          <w:b/>
          <w:bCs/>
          <w:color w:val="1F3864"/>
          <w:sz w:val="24"/>
          <w:szCs w:val="24"/>
        </w:rPr>
        <w:t>moat</w:t>
      </w:r>
      <w:proofErr w:type="spellEnd"/>
    </w:p>
    <w:p w14:paraId="031715F9" w14:textId="0FE9C6E2" w:rsidR="00003AE7" w:rsidRDefault="00000000">
      <w:pPr>
        <w:spacing w:after="160"/>
        <w:jc w:val="both"/>
      </w:pPr>
      <w:r>
        <w:rPr>
          <w:color w:val="000000"/>
        </w:rPr>
        <w:t xml:space="preserve">Los ingresos agregados son moderadamente predecibles a nivel de </w:t>
      </w:r>
      <w:r w:rsidR="001E3FFB">
        <w:rPr>
          <w:color w:val="000000"/>
        </w:rPr>
        <w:t xml:space="preserve">sector, </w:t>
      </w:r>
      <w:r>
        <w:rPr>
          <w:color w:val="000000"/>
        </w:rPr>
        <w:t>pero el margen y el beneficio neto son mucho menos predecibles: dependen críticamente del apalancamiento y coste de la deuda, de las bonificaciones de proveedor, y de la intensidad promocional del sector — las tres variables han sido volátiles en los últimos ejercicios, como demuestran las dos rebajas de guía consecutivas de 2026.</w:t>
      </w:r>
    </w:p>
    <w:p w14:paraId="27B29EB7" w14:textId="3692C851" w:rsidR="00003AE7" w:rsidRDefault="00000000">
      <w:pPr>
        <w:spacing w:after="160"/>
        <w:jc w:val="both"/>
      </w:pPr>
      <w:r>
        <w:rPr>
          <w:color w:val="000000"/>
        </w:rPr>
        <w:t>El foso competitivo es débil</w:t>
      </w:r>
      <w:r w:rsidR="001E3FFB">
        <w:rPr>
          <w:color w:val="000000"/>
        </w:rPr>
        <w:t>/</w:t>
      </w:r>
      <w:r>
        <w:rPr>
          <w:color w:val="000000"/>
        </w:rPr>
        <w:t xml:space="preserve">moderado, no estructural: no hay efectos de red ni costes de cambio relevantes para el cliente. El único activo intangible genuinamente defendible es el programa </w:t>
      </w:r>
      <w:proofErr w:type="spellStart"/>
      <w:r>
        <w:rPr>
          <w:color w:val="000000"/>
        </w:rPr>
        <w:t>Beauty</w:t>
      </w:r>
      <w:proofErr w:type="spellEnd"/>
      <w:r>
        <w:rPr>
          <w:color w:val="000000"/>
        </w:rPr>
        <w:t xml:space="preserve"> </w:t>
      </w:r>
      <w:proofErr w:type="spellStart"/>
      <w:r>
        <w:rPr>
          <w:color w:val="000000"/>
        </w:rPr>
        <w:t>Card</w:t>
      </w:r>
      <w:proofErr w:type="spellEnd"/>
      <w:r>
        <w:rPr>
          <w:color w:val="000000"/>
        </w:rPr>
        <w:t xml:space="preserve"> (64M+ miembros), que aporta datos de comportamiento de compra y personalización que un competidor pequeño no puede replicar fácilmente. La propia compañía ha reconocido contablemente el deterioro de parte de este foso: los </w:t>
      </w:r>
      <w:proofErr w:type="spellStart"/>
      <w:r>
        <w:rPr>
          <w:color w:val="000000"/>
        </w:rPr>
        <w:t>impairments</w:t>
      </w:r>
      <w:proofErr w:type="spellEnd"/>
      <w:r>
        <w:rPr>
          <w:color w:val="000000"/>
        </w:rPr>
        <w:t xml:space="preserve"> de </w:t>
      </w:r>
      <w:proofErr w:type="spellStart"/>
      <w:r>
        <w:rPr>
          <w:color w:val="000000"/>
        </w:rPr>
        <w:t>goodwill</w:t>
      </w:r>
      <w:proofErr w:type="spellEnd"/>
      <w:r>
        <w:rPr>
          <w:color w:val="000000"/>
        </w:rPr>
        <w:t xml:space="preserve"> de -99M€ sobre </w:t>
      </w:r>
      <w:proofErr w:type="spellStart"/>
      <w:r>
        <w:rPr>
          <w:color w:val="000000"/>
        </w:rPr>
        <w:t>Nocibé</w:t>
      </w:r>
      <w:proofErr w:type="spellEnd"/>
      <w:r>
        <w:rPr>
          <w:color w:val="000000"/>
        </w:rPr>
        <w:t xml:space="preserve"> y </w:t>
      </w:r>
      <w:proofErr w:type="spellStart"/>
      <w:r>
        <w:rPr>
          <w:color w:val="000000"/>
        </w:rPr>
        <w:t>Parfumdreams</w:t>
      </w:r>
      <w:proofErr w:type="spellEnd"/>
      <w:r>
        <w:rPr>
          <w:color w:val="000000"/>
        </w:rPr>
        <w:t xml:space="preserve">/Niche </w:t>
      </w:r>
      <w:proofErr w:type="spellStart"/>
      <w:r>
        <w:rPr>
          <w:color w:val="000000"/>
        </w:rPr>
        <w:t>Beauty</w:t>
      </w:r>
      <w:proofErr w:type="spellEnd"/>
      <w:r>
        <w:rPr>
          <w:color w:val="000000"/>
        </w:rPr>
        <w:t xml:space="preserve"> materializados en el segundo trimestre de FY2025/26 son la prueba directa de que el valor económico esperado de esas adquisiciones —bajo gestión de CVC— fue inferior al precio pagado.</w:t>
      </w:r>
    </w:p>
    <w:p w14:paraId="0A7FA13C" w14:textId="77777777" w:rsidR="00003AE7" w:rsidRDefault="00000000">
      <w:pPr>
        <w:pStyle w:val="Ttulo1"/>
        <w:keepNext/>
        <w:keepLines/>
        <w:pBdr>
          <w:bottom w:val="single" w:sz="8" w:space="4" w:color="1F3864"/>
        </w:pBdr>
        <w:spacing w:before="380" w:after="180"/>
      </w:pPr>
      <w:r>
        <w:rPr>
          <w:b/>
          <w:bCs/>
          <w:color w:val="1F3864"/>
          <w:sz w:val="28"/>
          <w:szCs w:val="28"/>
        </w:rPr>
        <w:t xml:space="preserve">3. Directiva, Capital </w:t>
      </w:r>
      <w:proofErr w:type="spellStart"/>
      <w:r>
        <w:rPr>
          <w:b/>
          <w:bCs/>
          <w:color w:val="1F3864"/>
          <w:sz w:val="28"/>
          <w:szCs w:val="28"/>
        </w:rPr>
        <w:t>Allocation</w:t>
      </w:r>
      <w:proofErr w:type="spellEnd"/>
      <w:r>
        <w:rPr>
          <w:b/>
          <w:bCs/>
          <w:color w:val="1F3864"/>
          <w:sz w:val="28"/>
          <w:szCs w:val="28"/>
        </w:rPr>
        <w:t xml:space="preserve"> y Skin in </w:t>
      </w:r>
      <w:proofErr w:type="spellStart"/>
      <w:r>
        <w:rPr>
          <w:b/>
          <w:bCs/>
          <w:color w:val="1F3864"/>
          <w:sz w:val="28"/>
          <w:szCs w:val="28"/>
        </w:rPr>
        <w:t>the</w:t>
      </w:r>
      <w:proofErr w:type="spellEnd"/>
      <w:r>
        <w:rPr>
          <w:b/>
          <w:bCs/>
          <w:color w:val="1F3864"/>
          <w:sz w:val="28"/>
          <w:szCs w:val="28"/>
        </w:rPr>
        <w:t xml:space="preserve"> </w:t>
      </w:r>
      <w:proofErr w:type="spellStart"/>
      <w:r>
        <w:rPr>
          <w:b/>
          <w:bCs/>
          <w:color w:val="1F3864"/>
          <w:sz w:val="28"/>
          <w:szCs w:val="28"/>
        </w:rPr>
        <w:t>Game</w:t>
      </w:r>
      <w:proofErr w:type="spellEnd"/>
    </w:p>
    <w:p w14:paraId="5D59419A" w14:textId="77777777" w:rsidR="00003AE7" w:rsidRDefault="00000000">
      <w:pPr>
        <w:pStyle w:val="Ttulo2"/>
        <w:keepNext/>
        <w:keepLines/>
        <w:spacing w:before="280" w:after="140"/>
      </w:pPr>
      <w:r>
        <w:rPr>
          <w:b/>
          <w:bCs/>
          <w:color w:val="1F3864"/>
          <w:sz w:val="24"/>
          <w:szCs w:val="24"/>
        </w:rPr>
        <w:t>3.1 Equipo gestor y estructura de propiedad</w:t>
      </w:r>
    </w:p>
    <w:p w14:paraId="4436A3BC" w14:textId="77777777" w:rsidR="00003AE7" w:rsidRDefault="00000000">
      <w:pPr>
        <w:spacing w:after="160"/>
        <w:jc w:val="both"/>
      </w:pPr>
      <w:r>
        <w:rPr>
          <w:color w:val="000000"/>
        </w:rPr>
        <w:t xml:space="preserve">Sander van </w:t>
      </w:r>
      <w:proofErr w:type="spellStart"/>
      <w:r>
        <w:rPr>
          <w:color w:val="000000"/>
        </w:rPr>
        <w:t>der</w:t>
      </w:r>
      <w:proofErr w:type="spellEnd"/>
      <w:r>
        <w:rPr>
          <w:color w:val="000000"/>
        </w:rPr>
        <w:t xml:space="preserve"> </w:t>
      </w:r>
      <w:proofErr w:type="spellStart"/>
      <w:r>
        <w:rPr>
          <w:color w:val="000000"/>
        </w:rPr>
        <w:t>Laan</w:t>
      </w:r>
      <w:proofErr w:type="spellEnd"/>
      <w:r>
        <w:rPr>
          <w:color w:val="000000"/>
        </w:rPr>
        <w:t xml:space="preserve"> es CEO desde octubre de 2022 (~4 años en el cargo), procedente de </w:t>
      </w:r>
      <w:proofErr w:type="spellStart"/>
      <w:r>
        <w:rPr>
          <w:color w:val="000000"/>
        </w:rPr>
        <w:t>Action</w:t>
      </w:r>
      <w:proofErr w:type="spellEnd"/>
      <w:r>
        <w:rPr>
          <w:color w:val="000000"/>
        </w:rPr>
        <w:t xml:space="preserve"> (</w:t>
      </w:r>
      <w:proofErr w:type="spellStart"/>
      <w:r>
        <w:rPr>
          <w:color w:val="000000"/>
        </w:rPr>
        <w:t>discount</w:t>
      </w:r>
      <w:proofErr w:type="spellEnd"/>
      <w:r>
        <w:rPr>
          <w:color w:val="000000"/>
        </w:rPr>
        <w:t xml:space="preserve"> </w:t>
      </w:r>
      <w:proofErr w:type="spellStart"/>
      <w:r>
        <w:rPr>
          <w:color w:val="000000"/>
        </w:rPr>
        <w:t>retailer</w:t>
      </w:r>
      <w:proofErr w:type="spellEnd"/>
      <w:r>
        <w:rPr>
          <w:color w:val="000000"/>
        </w:rPr>
        <w:t xml:space="preserve"> holandés), donde escaló las ventas de 2.000M€ a 5.000M€ — un perfil de gestor operativo con historial de crecimiento agresivo. Henning </w:t>
      </w:r>
      <w:proofErr w:type="spellStart"/>
      <w:r>
        <w:rPr>
          <w:color w:val="000000"/>
        </w:rPr>
        <w:t>Kreke</w:t>
      </w:r>
      <w:proofErr w:type="spellEnd"/>
      <w:r>
        <w:rPr>
          <w:color w:val="000000"/>
        </w:rPr>
        <w:t>, de la familia fundadora, preside el consejo de supervisión, aportando continuidad histórica a la marca.</w:t>
      </w:r>
    </w:p>
    <w:p w14:paraId="7F34479F" w14:textId="77777777" w:rsidR="00003AE7" w:rsidRDefault="00000000">
      <w:pPr>
        <w:spacing w:after="160"/>
        <w:jc w:val="both"/>
      </w:pPr>
      <w:r>
        <w:rPr>
          <w:color w:val="000000"/>
        </w:rPr>
        <w:t>La estructura de propiedad es el elemento más determinante de toda la tesis de gobierno corporativo, y es estructuralmente distinta a la de una empresa "normal":</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26"/>
        <w:gridCol w:w="1054"/>
        <w:gridCol w:w="6770"/>
      </w:tblGrid>
      <w:tr w:rsidR="00003AE7" w14:paraId="1C6914EF" w14:textId="77777777">
        <w:tblPrEx>
          <w:tblCellMar>
            <w:top w:w="0" w:type="dxa"/>
            <w:bottom w:w="0" w:type="dxa"/>
          </w:tblCellMar>
        </w:tblPrEx>
        <w:tc>
          <w:tcPr>
            <w:tcW w:w="0" w:type="auto"/>
            <w:shd w:val="clear" w:color="auto" w:fill="D9E2F3"/>
            <w:tcMar>
              <w:top w:w="90" w:type="dxa"/>
              <w:left w:w="110" w:type="dxa"/>
              <w:bottom w:w="90" w:type="dxa"/>
              <w:right w:w="110" w:type="dxa"/>
            </w:tcMar>
            <w:vAlign w:val="center"/>
          </w:tcPr>
          <w:p w14:paraId="13ACA749" w14:textId="77777777" w:rsidR="00003AE7" w:rsidRDefault="00000000">
            <w:r>
              <w:rPr>
                <w:b/>
                <w:bCs/>
                <w:color w:val="000000"/>
                <w:sz w:val="19"/>
                <w:szCs w:val="19"/>
              </w:rPr>
              <w:lastRenderedPageBreak/>
              <w:t>Accionista</w:t>
            </w:r>
          </w:p>
        </w:tc>
        <w:tc>
          <w:tcPr>
            <w:tcW w:w="0" w:type="auto"/>
            <w:shd w:val="clear" w:color="auto" w:fill="D9E2F3"/>
            <w:tcMar>
              <w:top w:w="90" w:type="dxa"/>
              <w:left w:w="110" w:type="dxa"/>
              <w:bottom w:w="90" w:type="dxa"/>
              <w:right w:w="110" w:type="dxa"/>
            </w:tcMar>
            <w:vAlign w:val="center"/>
          </w:tcPr>
          <w:p w14:paraId="619A4D0C" w14:textId="77777777" w:rsidR="00003AE7" w:rsidRDefault="00000000">
            <w:pPr>
              <w:jc w:val="center"/>
            </w:pPr>
            <w:r>
              <w:rPr>
                <w:b/>
                <w:bCs/>
                <w:color w:val="000000"/>
                <w:sz w:val="19"/>
                <w:szCs w:val="19"/>
              </w:rPr>
              <w:t>% del capital</w:t>
            </w:r>
          </w:p>
        </w:tc>
        <w:tc>
          <w:tcPr>
            <w:tcW w:w="0" w:type="auto"/>
            <w:shd w:val="clear" w:color="auto" w:fill="D9E2F3"/>
            <w:tcMar>
              <w:top w:w="90" w:type="dxa"/>
              <w:left w:w="110" w:type="dxa"/>
              <w:bottom w:w="90" w:type="dxa"/>
              <w:right w:w="110" w:type="dxa"/>
            </w:tcMar>
            <w:vAlign w:val="center"/>
          </w:tcPr>
          <w:p w14:paraId="778AA1AB" w14:textId="77777777" w:rsidR="00003AE7" w:rsidRDefault="00000000">
            <w:r>
              <w:rPr>
                <w:b/>
                <w:bCs/>
                <w:color w:val="000000"/>
                <w:sz w:val="19"/>
                <w:szCs w:val="19"/>
              </w:rPr>
              <w:t>Naturaleza</w:t>
            </w:r>
          </w:p>
        </w:tc>
      </w:tr>
      <w:tr w:rsidR="00003AE7" w14:paraId="55BFBB56" w14:textId="77777777">
        <w:tblPrEx>
          <w:tblCellMar>
            <w:top w:w="0" w:type="dxa"/>
            <w:bottom w:w="0" w:type="dxa"/>
          </w:tblCellMar>
        </w:tblPrEx>
        <w:tc>
          <w:tcPr>
            <w:tcW w:w="0" w:type="auto"/>
            <w:tcMar>
              <w:top w:w="90" w:type="dxa"/>
              <w:left w:w="110" w:type="dxa"/>
              <w:bottom w:w="90" w:type="dxa"/>
              <w:right w:w="110" w:type="dxa"/>
            </w:tcMar>
            <w:vAlign w:val="center"/>
          </w:tcPr>
          <w:p w14:paraId="0654D963" w14:textId="77777777" w:rsidR="00003AE7" w:rsidRDefault="00000000">
            <w:r>
              <w:rPr>
                <w:b/>
                <w:bCs/>
                <w:color w:val="000000"/>
                <w:sz w:val="19"/>
                <w:szCs w:val="19"/>
              </w:rPr>
              <w:t xml:space="preserve">CVC Capital </w:t>
            </w:r>
            <w:proofErr w:type="spellStart"/>
            <w:r>
              <w:rPr>
                <w:b/>
                <w:bCs/>
                <w:color w:val="000000"/>
                <w:sz w:val="19"/>
                <w:szCs w:val="19"/>
              </w:rPr>
              <w:t>Partners</w:t>
            </w:r>
            <w:proofErr w:type="spellEnd"/>
          </w:p>
        </w:tc>
        <w:tc>
          <w:tcPr>
            <w:tcW w:w="0" w:type="auto"/>
            <w:tcMar>
              <w:top w:w="90" w:type="dxa"/>
              <w:left w:w="110" w:type="dxa"/>
              <w:bottom w:w="90" w:type="dxa"/>
              <w:right w:w="110" w:type="dxa"/>
            </w:tcMar>
            <w:vAlign w:val="center"/>
          </w:tcPr>
          <w:p w14:paraId="0024662A" w14:textId="77777777" w:rsidR="00003AE7" w:rsidRDefault="00000000">
            <w:pPr>
              <w:jc w:val="center"/>
            </w:pPr>
            <w:r>
              <w:rPr>
                <w:b/>
                <w:bCs/>
                <w:color w:val="000000"/>
                <w:sz w:val="19"/>
                <w:szCs w:val="19"/>
              </w:rPr>
              <w:t>~54-55%</w:t>
            </w:r>
          </w:p>
        </w:tc>
        <w:tc>
          <w:tcPr>
            <w:tcW w:w="0" w:type="auto"/>
            <w:tcMar>
              <w:top w:w="90" w:type="dxa"/>
              <w:left w:w="110" w:type="dxa"/>
              <w:bottom w:w="90" w:type="dxa"/>
              <w:right w:w="110" w:type="dxa"/>
            </w:tcMar>
            <w:vAlign w:val="center"/>
          </w:tcPr>
          <w:p w14:paraId="0F6FF968" w14:textId="77777777" w:rsidR="00003AE7" w:rsidRDefault="00000000">
            <w:r>
              <w:rPr>
                <w:color w:val="000000"/>
                <w:sz w:val="19"/>
                <w:szCs w:val="19"/>
              </w:rPr>
              <w:t xml:space="preserve">Accionista de control de </w:t>
            </w:r>
            <w:proofErr w:type="spellStart"/>
            <w:r>
              <w:rPr>
                <w:color w:val="000000"/>
                <w:sz w:val="19"/>
                <w:szCs w:val="19"/>
              </w:rPr>
              <w:t>private</w:t>
            </w:r>
            <w:proofErr w:type="spellEnd"/>
            <w:r>
              <w:rPr>
                <w:color w:val="000000"/>
                <w:sz w:val="19"/>
                <w:szCs w:val="19"/>
              </w:rPr>
              <w:t xml:space="preserve"> </w:t>
            </w:r>
            <w:proofErr w:type="spellStart"/>
            <w:r>
              <w:rPr>
                <w:color w:val="000000"/>
                <w:sz w:val="19"/>
                <w:szCs w:val="19"/>
              </w:rPr>
              <w:t>equity</w:t>
            </w:r>
            <w:proofErr w:type="spellEnd"/>
            <w:r>
              <w:rPr>
                <w:color w:val="000000"/>
                <w:sz w:val="19"/>
                <w:szCs w:val="19"/>
              </w:rPr>
              <w:t xml:space="preserve">; compró Douglas a </w:t>
            </w:r>
            <w:proofErr w:type="spellStart"/>
            <w:r>
              <w:rPr>
                <w:color w:val="000000"/>
                <w:sz w:val="19"/>
                <w:szCs w:val="19"/>
              </w:rPr>
              <w:t>Advent</w:t>
            </w:r>
            <w:proofErr w:type="spellEnd"/>
            <w:r>
              <w:rPr>
                <w:color w:val="000000"/>
                <w:sz w:val="19"/>
                <w:szCs w:val="19"/>
              </w:rPr>
              <w:t xml:space="preserve"> en 2015 (~2.800M€), salió a bolsa en 2024 tras 9 años de LBO</w:t>
            </w:r>
          </w:p>
        </w:tc>
      </w:tr>
      <w:tr w:rsidR="00003AE7" w14:paraId="52250E8B" w14:textId="77777777">
        <w:tblPrEx>
          <w:tblCellMar>
            <w:top w:w="0" w:type="dxa"/>
            <w:bottom w:w="0" w:type="dxa"/>
          </w:tblCellMar>
        </w:tblPrEx>
        <w:tc>
          <w:tcPr>
            <w:tcW w:w="0" w:type="auto"/>
            <w:tcMar>
              <w:top w:w="90" w:type="dxa"/>
              <w:left w:w="110" w:type="dxa"/>
              <w:bottom w:w="90" w:type="dxa"/>
              <w:right w:w="110" w:type="dxa"/>
            </w:tcMar>
            <w:vAlign w:val="center"/>
          </w:tcPr>
          <w:p w14:paraId="3782AF0F" w14:textId="77777777" w:rsidR="00003AE7" w:rsidRDefault="00000000">
            <w:r>
              <w:rPr>
                <w:color w:val="000000"/>
                <w:sz w:val="19"/>
                <w:szCs w:val="19"/>
              </w:rPr>
              <w:t xml:space="preserve">Familia </w:t>
            </w:r>
            <w:proofErr w:type="spellStart"/>
            <w:r>
              <w:rPr>
                <w:color w:val="000000"/>
                <w:sz w:val="19"/>
                <w:szCs w:val="19"/>
              </w:rPr>
              <w:t>Kreke</w:t>
            </w:r>
            <w:proofErr w:type="spellEnd"/>
          </w:p>
        </w:tc>
        <w:tc>
          <w:tcPr>
            <w:tcW w:w="0" w:type="auto"/>
            <w:tcMar>
              <w:top w:w="90" w:type="dxa"/>
              <w:left w:w="110" w:type="dxa"/>
              <w:bottom w:w="90" w:type="dxa"/>
              <w:right w:w="110" w:type="dxa"/>
            </w:tcMar>
            <w:vAlign w:val="center"/>
          </w:tcPr>
          <w:p w14:paraId="2B82B62E" w14:textId="77777777" w:rsidR="00003AE7" w:rsidRDefault="00000000">
            <w:pPr>
              <w:jc w:val="center"/>
            </w:pPr>
            <w:r>
              <w:rPr>
                <w:color w:val="000000"/>
                <w:sz w:val="19"/>
                <w:szCs w:val="19"/>
              </w:rPr>
              <w:t>~10-10,4%</w:t>
            </w:r>
          </w:p>
        </w:tc>
        <w:tc>
          <w:tcPr>
            <w:tcW w:w="0" w:type="auto"/>
            <w:tcMar>
              <w:top w:w="90" w:type="dxa"/>
              <w:left w:w="110" w:type="dxa"/>
              <w:bottom w:w="90" w:type="dxa"/>
              <w:right w:w="110" w:type="dxa"/>
            </w:tcMar>
            <w:vAlign w:val="center"/>
          </w:tcPr>
          <w:p w14:paraId="5093D37C" w14:textId="77777777" w:rsidR="00003AE7" w:rsidRDefault="00000000">
            <w:r>
              <w:rPr>
                <w:color w:val="000000"/>
                <w:sz w:val="19"/>
                <w:szCs w:val="19"/>
              </w:rPr>
              <w:t>Familia fundadora; continuidad histórica de marca vía presidencia del consejo</w:t>
            </w:r>
          </w:p>
        </w:tc>
      </w:tr>
      <w:tr w:rsidR="00003AE7" w14:paraId="08B9EFBC" w14:textId="77777777">
        <w:tblPrEx>
          <w:tblCellMar>
            <w:top w:w="0" w:type="dxa"/>
            <w:bottom w:w="0" w:type="dxa"/>
          </w:tblCellMar>
        </w:tblPrEx>
        <w:tc>
          <w:tcPr>
            <w:tcW w:w="0" w:type="auto"/>
            <w:tcMar>
              <w:top w:w="90" w:type="dxa"/>
              <w:left w:w="110" w:type="dxa"/>
              <w:bottom w:w="90" w:type="dxa"/>
              <w:right w:w="110" w:type="dxa"/>
            </w:tcMar>
            <w:vAlign w:val="center"/>
          </w:tcPr>
          <w:p w14:paraId="72ABC3CF" w14:textId="77777777" w:rsidR="00003AE7" w:rsidRDefault="00000000">
            <w:r>
              <w:rPr>
                <w:b/>
                <w:bCs/>
                <w:color w:val="000000"/>
                <w:sz w:val="19"/>
                <w:szCs w:val="19"/>
              </w:rPr>
              <w:t xml:space="preserve">Free </w:t>
            </w:r>
            <w:proofErr w:type="spellStart"/>
            <w:r>
              <w:rPr>
                <w:b/>
                <w:bCs/>
                <w:color w:val="000000"/>
                <w:sz w:val="19"/>
                <w:szCs w:val="19"/>
              </w:rPr>
              <w:t>float</w:t>
            </w:r>
            <w:proofErr w:type="spellEnd"/>
          </w:p>
        </w:tc>
        <w:tc>
          <w:tcPr>
            <w:tcW w:w="0" w:type="auto"/>
            <w:tcMar>
              <w:top w:w="90" w:type="dxa"/>
              <w:left w:w="110" w:type="dxa"/>
              <w:bottom w:w="90" w:type="dxa"/>
              <w:right w:w="110" w:type="dxa"/>
            </w:tcMar>
            <w:vAlign w:val="center"/>
          </w:tcPr>
          <w:p w14:paraId="4283C9D2" w14:textId="77777777" w:rsidR="00003AE7" w:rsidRDefault="00000000">
            <w:pPr>
              <w:jc w:val="center"/>
            </w:pPr>
            <w:r>
              <w:rPr>
                <w:b/>
                <w:bCs/>
                <w:color w:val="000000"/>
                <w:sz w:val="19"/>
                <w:szCs w:val="19"/>
              </w:rPr>
              <w:t>27,17%</w:t>
            </w:r>
          </w:p>
        </w:tc>
        <w:tc>
          <w:tcPr>
            <w:tcW w:w="0" w:type="auto"/>
            <w:tcMar>
              <w:top w:w="90" w:type="dxa"/>
              <w:left w:w="110" w:type="dxa"/>
              <w:bottom w:w="90" w:type="dxa"/>
              <w:right w:w="110" w:type="dxa"/>
            </w:tcMar>
            <w:vAlign w:val="center"/>
          </w:tcPr>
          <w:p w14:paraId="54E24D3D" w14:textId="77777777" w:rsidR="00003AE7" w:rsidRDefault="00000000">
            <w:r>
              <w:rPr>
                <w:color w:val="000000"/>
                <w:sz w:val="19"/>
                <w:szCs w:val="19"/>
              </w:rPr>
              <w:t xml:space="preserve">Único capital realmente líquido en mercado — confirmado en captura de </w:t>
            </w:r>
            <w:proofErr w:type="spellStart"/>
            <w:r>
              <w:rPr>
                <w:color w:val="000000"/>
                <w:sz w:val="19"/>
                <w:szCs w:val="19"/>
              </w:rPr>
              <w:t>MarketScreener</w:t>
            </w:r>
            <w:proofErr w:type="spellEnd"/>
            <w:r>
              <w:rPr>
                <w:color w:val="000000"/>
                <w:sz w:val="19"/>
                <w:szCs w:val="19"/>
              </w:rPr>
              <w:t>, sept. 2026</w:t>
            </w:r>
          </w:p>
        </w:tc>
      </w:tr>
    </w:tbl>
    <w:p w14:paraId="762D25F3" w14:textId="68B6FC2D" w:rsidR="00003AE7" w:rsidRDefault="00000000" w:rsidP="006E49DD">
      <w:pPr>
        <w:spacing w:before="60" w:after="220"/>
        <w:jc w:val="both"/>
      </w:pPr>
      <w:r>
        <w:rPr>
          <w:i/>
          <w:iCs/>
          <w:color w:val="595959"/>
          <w:sz w:val="16"/>
          <w:szCs w:val="16"/>
        </w:rPr>
        <w:t xml:space="preserve">Fuente: comunicados de IPO de Douglas AG (2024), </w:t>
      </w:r>
      <w:proofErr w:type="spellStart"/>
      <w:r>
        <w:rPr>
          <w:i/>
          <w:iCs/>
          <w:color w:val="595959"/>
          <w:sz w:val="16"/>
          <w:szCs w:val="16"/>
        </w:rPr>
        <w:t>MarketScreener</w:t>
      </w:r>
      <w:proofErr w:type="spellEnd"/>
      <w:r>
        <w:rPr>
          <w:i/>
          <w:iCs/>
          <w:color w:val="595959"/>
          <w:sz w:val="16"/>
          <w:szCs w:val="16"/>
        </w:rPr>
        <w:t xml:space="preserve"> (dato de flotante, captura del 21 sept. 2026).</w:t>
      </w:r>
    </w:p>
    <w:p w14:paraId="3D15C228" w14:textId="77777777" w:rsidR="00003AE7" w:rsidRDefault="00000000">
      <w:pPr>
        <w:pStyle w:val="Ttulo2"/>
        <w:keepNext/>
        <w:keepLines/>
        <w:spacing w:before="280" w:after="140"/>
      </w:pPr>
      <w:r>
        <w:rPr>
          <w:b/>
          <w:bCs/>
          <w:color w:val="1F3864"/>
          <w:sz w:val="24"/>
          <w:szCs w:val="24"/>
        </w:rPr>
        <w:t>3.2 Estructura de incentivos</w:t>
      </w:r>
    </w:p>
    <w:p w14:paraId="06C63B25" w14:textId="27A033AA" w:rsidR="00003AE7" w:rsidRDefault="00000000">
      <w:pPr>
        <w:spacing w:after="160"/>
        <w:jc w:val="both"/>
      </w:pPr>
      <w:r>
        <w:rPr>
          <w:color w:val="000000"/>
        </w:rPr>
        <w:t xml:space="preserve">No hay evidencia pública de que el bonus del </w:t>
      </w:r>
      <w:proofErr w:type="spellStart"/>
      <w:r>
        <w:rPr>
          <w:color w:val="000000"/>
        </w:rPr>
        <w:t>management</w:t>
      </w:r>
      <w:proofErr w:type="spellEnd"/>
      <w:r>
        <w:rPr>
          <w:color w:val="000000"/>
        </w:rPr>
        <w:t xml:space="preserve"> esté ligado a ROIC o FCF/acción; la comunicación de resultados de Douglas gira sistemáticamente en torno a "sales </w:t>
      </w:r>
      <w:proofErr w:type="spellStart"/>
      <w:r>
        <w:rPr>
          <w:color w:val="000000"/>
        </w:rPr>
        <w:t>growth</w:t>
      </w:r>
      <w:proofErr w:type="spellEnd"/>
      <w:r>
        <w:rPr>
          <w:color w:val="000000"/>
        </w:rPr>
        <w:t>", "</w:t>
      </w:r>
      <w:proofErr w:type="spellStart"/>
      <w:r>
        <w:rPr>
          <w:color w:val="000000"/>
        </w:rPr>
        <w:t>adjusted</w:t>
      </w:r>
      <w:proofErr w:type="spellEnd"/>
      <w:r>
        <w:rPr>
          <w:color w:val="000000"/>
        </w:rPr>
        <w:t xml:space="preserve"> EBITDA </w:t>
      </w:r>
      <w:proofErr w:type="spellStart"/>
      <w:r>
        <w:rPr>
          <w:color w:val="000000"/>
        </w:rPr>
        <w:t>margin</w:t>
      </w:r>
      <w:proofErr w:type="spellEnd"/>
      <w:r>
        <w:rPr>
          <w:color w:val="000000"/>
        </w:rPr>
        <w:t xml:space="preserve">" y "net </w:t>
      </w:r>
      <w:proofErr w:type="spellStart"/>
      <w:r>
        <w:rPr>
          <w:color w:val="000000"/>
        </w:rPr>
        <w:t>leverage</w:t>
      </w:r>
      <w:proofErr w:type="spellEnd"/>
      <w:r>
        <w:rPr>
          <w:color w:val="000000"/>
        </w:rPr>
        <w:t>" — métricas de tamaño y apalancamiento, no de creación de valor económico por acción. Además, los "</w:t>
      </w:r>
      <w:proofErr w:type="spellStart"/>
      <w:r>
        <w:rPr>
          <w:color w:val="000000"/>
        </w:rPr>
        <w:t>one</w:t>
      </w:r>
      <w:proofErr w:type="spellEnd"/>
      <w:r>
        <w:rPr>
          <w:color w:val="000000"/>
        </w:rPr>
        <w:t xml:space="preserve">-time </w:t>
      </w:r>
      <w:proofErr w:type="spellStart"/>
      <w:r>
        <w:rPr>
          <w:color w:val="000000"/>
        </w:rPr>
        <w:t>add</w:t>
      </w:r>
      <w:proofErr w:type="spellEnd"/>
      <w:r>
        <w:rPr>
          <w:color w:val="000000"/>
        </w:rPr>
        <w:t>-backs" al EBITDA ajustado han representado el 11% del EBITDA en FY22, el 6% en FY23 y el 10% en FY24 un patrón recurrente y no decreciente de "excepcionales" que debería hacer sonar la alarma sobre la fiabilidad del EBITDA ajustado como métrica de referencia de bonus y como base de comunicación al mercado.</w:t>
      </w:r>
    </w:p>
    <w:p w14:paraId="7DD7C045" w14:textId="77777777" w:rsidR="00003AE7" w:rsidRDefault="00000000">
      <w:pPr>
        <w:pStyle w:val="Ttulo2"/>
        <w:keepNext/>
        <w:keepLines/>
        <w:spacing w:before="280" w:after="140"/>
      </w:pPr>
      <w:r>
        <w:rPr>
          <w:b/>
          <w:bCs/>
          <w:color w:val="1F3864"/>
          <w:sz w:val="24"/>
          <w:szCs w:val="24"/>
        </w:rPr>
        <w:t xml:space="preserve">3.3 Historial de Capital </w:t>
      </w:r>
      <w:proofErr w:type="spellStart"/>
      <w:r>
        <w:rPr>
          <w:b/>
          <w:bCs/>
          <w:color w:val="1F3864"/>
          <w:sz w:val="24"/>
          <w:szCs w:val="24"/>
        </w:rPr>
        <w:t>Allocation</w:t>
      </w:r>
      <w:proofErr w:type="spellEnd"/>
    </w:p>
    <w:p w14:paraId="58F8225B" w14:textId="77777777" w:rsidR="00003AE7" w:rsidRDefault="00000000">
      <w:pPr>
        <w:pStyle w:val="Prrafodelista"/>
        <w:numPr>
          <w:ilvl w:val="0"/>
          <w:numId w:val="2"/>
        </w:numPr>
        <w:spacing w:after="100"/>
        <w:jc w:val="both"/>
      </w:pPr>
      <w:r>
        <w:rPr>
          <w:b/>
          <w:bCs/>
        </w:rPr>
        <w:t xml:space="preserve">Recompras y dividendos: </w:t>
      </w:r>
      <w:r>
        <w:t xml:space="preserve">no hay recompras de acciones ni dividendo en el histórico reciente (el consenso solo proyecta un dividendo simbólico de 0,116€/acción en 2027 y 0,592€ en 2028). Toda la generación de caja se dirige, correctamente dado el contexto, a </w:t>
      </w:r>
      <w:proofErr w:type="spellStart"/>
      <w:r>
        <w:t>desapalancamiento</w:t>
      </w:r>
      <w:proofErr w:type="spellEnd"/>
      <w:r>
        <w:t>.</w:t>
      </w:r>
    </w:p>
    <w:p w14:paraId="424AF0AC" w14:textId="77777777" w:rsidR="00003AE7" w:rsidRDefault="00000000">
      <w:pPr>
        <w:pStyle w:val="Prrafodelista"/>
        <w:numPr>
          <w:ilvl w:val="0"/>
          <w:numId w:val="2"/>
        </w:numPr>
        <w:spacing w:after="100"/>
        <w:jc w:val="both"/>
      </w:pPr>
      <w:r>
        <w:rPr>
          <w:b/>
          <w:bCs/>
        </w:rPr>
        <w:t xml:space="preserve">Historial de M&amp;A — sobrepago ya confirmado contablemente: </w:t>
      </w:r>
      <w:r>
        <w:t xml:space="preserve">los </w:t>
      </w:r>
      <w:proofErr w:type="spellStart"/>
      <w:r>
        <w:t>impairments</w:t>
      </w:r>
      <w:proofErr w:type="spellEnd"/>
      <w:r>
        <w:t xml:space="preserve"> de -99M€ (más -14,5M€ adicionales de deterioro de otros activos) sobre </w:t>
      </w:r>
      <w:proofErr w:type="spellStart"/>
      <w:r>
        <w:t>Nocibé</w:t>
      </w:r>
      <w:proofErr w:type="spellEnd"/>
      <w:r>
        <w:t xml:space="preserve"> y </w:t>
      </w:r>
      <w:proofErr w:type="spellStart"/>
      <w:r>
        <w:t>Parfumdreams</w:t>
      </w:r>
      <w:proofErr w:type="spellEnd"/>
      <w:r>
        <w:t xml:space="preserve">/Niche </w:t>
      </w:r>
      <w:proofErr w:type="spellStart"/>
      <w:r>
        <w:t>Beauty</w:t>
      </w:r>
      <w:proofErr w:type="spellEnd"/>
      <w:r>
        <w:t xml:space="preserve">, materializados en el 2T de FY2025/26, son la prueba directa de que el precio pagado por esas adquisiciones bajo gestión de CVC excedió el valor económico real generado. Es exactamente el patrón de "destrucción de valor vía M&amp;A </w:t>
      </w:r>
      <w:proofErr w:type="spellStart"/>
      <w:r>
        <w:t>sobrepagado</w:t>
      </w:r>
      <w:proofErr w:type="spellEnd"/>
      <w:r>
        <w:t>" que un análisis forense debe identificar y penalizar en la valoración.</w:t>
      </w:r>
    </w:p>
    <w:p w14:paraId="4FFFDABD" w14:textId="77777777" w:rsidR="00003AE7" w:rsidRDefault="00000000">
      <w:pPr>
        <w:spacing w:after="160"/>
        <w:jc w:val="both"/>
      </w:pPr>
      <w:r>
        <w:rPr>
          <w:color w:val="000000"/>
        </w:rPr>
        <w:t xml:space="preserve">En el lado positivo, no hay evidencia de M&amp;A adicional agresivo desde el IPO — la prioridad declarada y ejecutada es </w:t>
      </w:r>
      <w:proofErr w:type="spellStart"/>
      <w:r>
        <w:rPr>
          <w:color w:val="000000"/>
        </w:rPr>
        <w:t>desapalancar</w:t>
      </w:r>
      <w:proofErr w:type="spellEnd"/>
      <w:r>
        <w:rPr>
          <w:color w:val="000000"/>
        </w:rPr>
        <w:t>, no seguir comprando activos, lo cual es la decisión correcta dado el nivel de apalancamiento actual.</w:t>
      </w:r>
    </w:p>
    <w:p w14:paraId="25775FDA" w14:textId="77777777" w:rsidR="00003AE7" w:rsidRDefault="00000000">
      <w:pPr>
        <w:pStyle w:val="Ttulo1"/>
        <w:keepNext/>
        <w:keepLines/>
        <w:pBdr>
          <w:bottom w:val="single" w:sz="8" w:space="4" w:color="1F3864"/>
        </w:pBdr>
        <w:spacing w:before="380" w:after="180"/>
      </w:pPr>
      <w:r>
        <w:rPr>
          <w:b/>
          <w:bCs/>
          <w:color w:val="1F3864"/>
          <w:sz w:val="28"/>
          <w:szCs w:val="28"/>
        </w:rPr>
        <w:t xml:space="preserve">4. Análisis Contable Forense — Buscando "Red </w:t>
      </w:r>
      <w:proofErr w:type="spellStart"/>
      <w:r>
        <w:rPr>
          <w:b/>
          <w:bCs/>
          <w:color w:val="1F3864"/>
          <w:sz w:val="28"/>
          <w:szCs w:val="28"/>
        </w:rPr>
        <w:t>Flags</w:t>
      </w:r>
      <w:proofErr w:type="spellEnd"/>
      <w:r>
        <w:rPr>
          <w:b/>
          <w:bCs/>
          <w:color w:val="1F3864"/>
          <w:sz w:val="28"/>
          <w:szCs w:val="28"/>
        </w:rPr>
        <w:t>"</w:t>
      </w:r>
    </w:p>
    <w:p w14:paraId="6FA4E3D7" w14:textId="77777777" w:rsidR="00003AE7" w:rsidRDefault="00000000">
      <w:pPr>
        <w:pStyle w:val="Ttulo2"/>
        <w:keepNext/>
        <w:keepLines/>
        <w:spacing w:before="280" w:after="140"/>
      </w:pPr>
      <w:r>
        <w:rPr>
          <w:b/>
          <w:bCs/>
          <w:color w:val="1F3864"/>
          <w:sz w:val="24"/>
          <w:szCs w:val="24"/>
        </w:rPr>
        <w:t>4.1 La cronología de las dos rebajas de guía</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6"/>
        <w:gridCol w:w="5626"/>
        <w:gridCol w:w="2718"/>
      </w:tblGrid>
      <w:tr w:rsidR="00003AE7" w14:paraId="76BB8FB5" w14:textId="77777777">
        <w:tblPrEx>
          <w:tblCellMar>
            <w:top w:w="0" w:type="dxa"/>
            <w:bottom w:w="0" w:type="dxa"/>
          </w:tblCellMar>
        </w:tblPrEx>
        <w:tc>
          <w:tcPr>
            <w:tcW w:w="0" w:type="auto"/>
            <w:shd w:val="clear" w:color="auto" w:fill="D9E2F3"/>
            <w:tcMar>
              <w:top w:w="90" w:type="dxa"/>
              <w:left w:w="110" w:type="dxa"/>
              <w:bottom w:w="90" w:type="dxa"/>
              <w:right w:w="110" w:type="dxa"/>
            </w:tcMar>
            <w:vAlign w:val="center"/>
          </w:tcPr>
          <w:p w14:paraId="23C5B168" w14:textId="77777777" w:rsidR="00003AE7" w:rsidRDefault="00000000">
            <w:r>
              <w:rPr>
                <w:b/>
                <w:bCs/>
                <w:color w:val="000000"/>
                <w:sz w:val="19"/>
                <w:szCs w:val="19"/>
              </w:rPr>
              <w:t>Fecha</w:t>
            </w:r>
          </w:p>
        </w:tc>
        <w:tc>
          <w:tcPr>
            <w:tcW w:w="0" w:type="auto"/>
            <w:shd w:val="clear" w:color="auto" w:fill="D9E2F3"/>
            <w:tcMar>
              <w:top w:w="90" w:type="dxa"/>
              <w:left w:w="110" w:type="dxa"/>
              <w:bottom w:w="90" w:type="dxa"/>
              <w:right w:w="110" w:type="dxa"/>
            </w:tcMar>
            <w:vAlign w:val="center"/>
          </w:tcPr>
          <w:p w14:paraId="7233B7D2" w14:textId="77777777" w:rsidR="00003AE7" w:rsidRDefault="00000000">
            <w:r>
              <w:rPr>
                <w:b/>
                <w:bCs/>
                <w:color w:val="000000"/>
                <w:sz w:val="19"/>
                <w:szCs w:val="19"/>
              </w:rPr>
              <w:t>Evento</w:t>
            </w:r>
          </w:p>
        </w:tc>
        <w:tc>
          <w:tcPr>
            <w:tcW w:w="0" w:type="auto"/>
            <w:shd w:val="clear" w:color="auto" w:fill="D9E2F3"/>
            <w:tcMar>
              <w:top w:w="90" w:type="dxa"/>
              <w:left w:w="110" w:type="dxa"/>
              <w:bottom w:w="90" w:type="dxa"/>
              <w:right w:w="110" w:type="dxa"/>
            </w:tcMar>
            <w:vAlign w:val="center"/>
          </w:tcPr>
          <w:p w14:paraId="451FF9B6" w14:textId="77777777" w:rsidR="00003AE7" w:rsidRDefault="00000000">
            <w:r>
              <w:rPr>
                <w:b/>
                <w:bCs/>
                <w:color w:val="000000"/>
                <w:sz w:val="19"/>
                <w:szCs w:val="19"/>
              </w:rPr>
              <w:t>Reacción de mercado</w:t>
            </w:r>
          </w:p>
        </w:tc>
      </w:tr>
      <w:tr w:rsidR="00003AE7" w14:paraId="498C99E3" w14:textId="77777777">
        <w:tblPrEx>
          <w:tblCellMar>
            <w:top w:w="0" w:type="dxa"/>
            <w:bottom w:w="0" w:type="dxa"/>
          </w:tblCellMar>
        </w:tblPrEx>
        <w:tc>
          <w:tcPr>
            <w:tcW w:w="0" w:type="auto"/>
            <w:tcMar>
              <w:top w:w="90" w:type="dxa"/>
              <w:left w:w="110" w:type="dxa"/>
              <w:bottom w:w="90" w:type="dxa"/>
              <w:right w:w="110" w:type="dxa"/>
            </w:tcMar>
            <w:vAlign w:val="center"/>
          </w:tcPr>
          <w:p w14:paraId="148515BB" w14:textId="77777777" w:rsidR="00003AE7" w:rsidRDefault="00000000">
            <w:r>
              <w:rPr>
                <w:color w:val="000000"/>
                <w:sz w:val="19"/>
                <w:szCs w:val="19"/>
              </w:rPr>
              <w:t>Dic. 2025</w:t>
            </w:r>
          </w:p>
        </w:tc>
        <w:tc>
          <w:tcPr>
            <w:tcW w:w="0" w:type="auto"/>
            <w:tcMar>
              <w:top w:w="90" w:type="dxa"/>
              <w:left w:w="110" w:type="dxa"/>
              <w:bottom w:w="90" w:type="dxa"/>
              <w:right w:w="110" w:type="dxa"/>
            </w:tcMar>
            <w:vAlign w:val="center"/>
          </w:tcPr>
          <w:p w14:paraId="509F6DE4" w14:textId="77777777" w:rsidR="00003AE7" w:rsidRDefault="00000000">
            <w:r>
              <w:rPr>
                <w:color w:val="000000"/>
                <w:sz w:val="19"/>
                <w:szCs w:val="19"/>
              </w:rPr>
              <w:t>Primera rebaja de guía</w:t>
            </w:r>
          </w:p>
        </w:tc>
        <w:tc>
          <w:tcPr>
            <w:tcW w:w="0" w:type="auto"/>
            <w:tcMar>
              <w:top w:w="90" w:type="dxa"/>
              <w:left w:w="110" w:type="dxa"/>
              <w:bottom w:w="90" w:type="dxa"/>
              <w:right w:w="110" w:type="dxa"/>
            </w:tcMar>
            <w:vAlign w:val="center"/>
          </w:tcPr>
          <w:p w14:paraId="0F479E32" w14:textId="77777777" w:rsidR="00003AE7" w:rsidRDefault="00000000">
            <w:r>
              <w:rPr>
                <w:color w:val="000000"/>
                <w:sz w:val="19"/>
                <w:szCs w:val="19"/>
              </w:rPr>
              <w:t>Caída de -5% a ~11,66€</w:t>
            </w:r>
          </w:p>
        </w:tc>
      </w:tr>
      <w:tr w:rsidR="00003AE7" w14:paraId="2A7854A9" w14:textId="77777777">
        <w:tblPrEx>
          <w:tblCellMar>
            <w:top w:w="0" w:type="dxa"/>
            <w:bottom w:w="0" w:type="dxa"/>
          </w:tblCellMar>
        </w:tblPrEx>
        <w:tc>
          <w:tcPr>
            <w:tcW w:w="0" w:type="auto"/>
            <w:tcMar>
              <w:top w:w="90" w:type="dxa"/>
              <w:left w:w="110" w:type="dxa"/>
              <w:bottom w:w="90" w:type="dxa"/>
              <w:right w:w="110" w:type="dxa"/>
            </w:tcMar>
            <w:vAlign w:val="center"/>
          </w:tcPr>
          <w:p w14:paraId="31F87C5F" w14:textId="77777777" w:rsidR="00003AE7" w:rsidRDefault="00000000">
            <w:r>
              <w:rPr>
                <w:color w:val="000000"/>
                <w:sz w:val="19"/>
                <w:szCs w:val="19"/>
              </w:rPr>
              <w:t>Abr.-</w:t>
            </w:r>
            <w:proofErr w:type="spellStart"/>
            <w:r>
              <w:rPr>
                <w:color w:val="000000"/>
                <w:sz w:val="19"/>
                <w:szCs w:val="19"/>
              </w:rPr>
              <w:t>may</w:t>
            </w:r>
            <w:proofErr w:type="spellEnd"/>
            <w:r>
              <w:rPr>
                <w:color w:val="000000"/>
                <w:sz w:val="19"/>
                <w:szCs w:val="19"/>
              </w:rPr>
              <w:t>. 2026</w:t>
            </w:r>
          </w:p>
        </w:tc>
        <w:tc>
          <w:tcPr>
            <w:tcW w:w="0" w:type="auto"/>
            <w:tcMar>
              <w:top w:w="90" w:type="dxa"/>
              <w:left w:w="110" w:type="dxa"/>
              <w:bottom w:w="90" w:type="dxa"/>
              <w:right w:w="110" w:type="dxa"/>
            </w:tcMar>
            <w:vAlign w:val="center"/>
          </w:tcPr>
          <w:p w14:paraId="24C8195D" w14:textId="77777777" w:rsidR="00003AE7" w:rsidRDefault="00000000">
            <w:r>
              <w:rPr>
                <w:color w:val="000000"/>
                <w:sz w:val="19"/>
                <w:szCs w:val="19"/>
              </w:rPr>
              <w:t xml:space="preserve">Compañía reconoce mayor sensibilidad al precio del consumidor; </w:t>
            </w:r>
            <w:proofErr w:type="spellStart"/>
            <w:r>
              <w:rPr>
                <w:color w:val="000000"/>
                <w:sz w:val="19"/>
                <w:szCs w:val="19"/>
              </w:rPr>
              <w:t>impairments</w:t>
            </w:r>
            <w:proofErr w:type="spellEnd"/>
            <w:r>
              <w:rPr>
                <w:color w:val="000000"/>
                <w:sz w:val="19"/>
                <w:szCs w:val="19"/>
              </w:rPr>
              <w:t xml:space="preserve"> de -99M€+ materializados (</w:t>
            </w:r>
            <w:proofErr w:type="spellStart"/>
            <w:r>
              <w:rPr>
                <w:color w:val="000000"/>
                <w:sz w:val="19"/>
                <w:szCs w:val="19"/>
              </w:rPr>
              <w:t>Nocibé</w:t>
            </w:r>
            <w:proofErr w:type="spellEnd"/>
            <w:r>
              <w:rPr>
                <w:color w:val="000000"/>
                <w:sz w:val="19"/>
                <w:szCs w:val="19"/>
              </w:rPr>
              <w:t xml:space="preserve">, </w:t>
            </w:r>
            <w:proofErr w:type="spellStart"/>
            <w:r>
              <w:rPr>
                <w:color w:val="000000"/>
                <w:sz w:val="19"/>
                <w:szCs w:val="19"/>
              </w:rPr>
              <w:t>Parfumdreams</w:t>
            </w:r>
            <w:proofErr w:type="spellEnd"/>
            <w:r>
              <w:rPr>
                <w:color w:val="000000"/>
                <w:sz w:val="19"/>
                <w:szCs w:val="19"/>
              </w:rPr>
              <w:t>)</w:t>
            </w:r>
          </w:p>
        </w:tc>
        <w:tc>
          <w:tcPr>
            <w:tcW w:w="0" w:type="auto"/>
            <w:tcMar>
              <w:top w:w="90" w:type="dxa"/>
              <w:left w:w="110" w:type="dxa"/>
              <w:bottom w:w="90" w:type="dxa"/>
              <w:right w:w="110" w:type="dxa"/>
            </w:tcMar>
            <w:vAlign w:val="center"/>
          </w:tcPr>
          <w:p w14:paraId="2B81B7E3" w14:textId="77777777" w:rsidR="00003AE7" w:rsidRDefault="00000000">
            <w:r>
              <w:rPr>
                <w:color w:val="000000"/>
                <w:sz w:val="19"/>
                <w:szCs w:val="19"/>
              </w:rPr>
              <w:t>Deterioro sostenido de sentimiento</w:t>
            </w:r>
          </w:p>
        </w:tc>
      </w:tr>
      <w:tr w:rsidR="00003AE7" w14:paraId="3E4F7080" w14:textId="77777777">
        <w:tblPrEx>
          <w:tblCellMar>
            <w:top w:w="0" w:type="dxa"/>
            <w:bottom w:w="0" w:type="dxa"/>
          </w:tblCellMar>
        </w:tblPrEx>
        <w:tc>
          <w:tcPr>
            <w:tcW w:w="0" w:type="auto"/>
            <w:tcMar>
              <w:top w:w="90" w:type="dxa"/>
              <w:left w:w="110" w:type="dxa"/>
              <w:bottom w:w="90" w:type="dxa"/>
              <w:right w:w="110" w:type="dxa"/>
            </w:tcMar>
            <w:vAlign w:val="center"/>
          </w:tcPr>
          <w:p w14:paraId="65549F06" w14:textId="77777777" w:rsidR="00003AE7" w:rsidRDefault="00000000">
            <w:r>
              <w:rPr>
                <w:color w:val="000000"/>
                <w:sz w:val="19"/>
                <w:szCs w:val="19"/>
              </w:rPr>
              <w:t>Jun.-jul. 2026</w:t>
            </w:r>
          </w:p>
        </w:tc>
        <w:tc>
          <w:tcPr>
            <w:tcW w:w="0" w:type="auto"/>
            <w:tcMar>
              <w:top w:w="90" w:type="dxa"/>
              <w:left w:w="110" w:type="dxa"/>
              <w:bottom w:w="90" w:type="dxa"/>
              <w:right w:w="110" w:type="dxa"/>
            </w:tcMar>
            <w:vAlign w:val="center"/>
          </w:tcPr>
          <w:p w14:paraId="7A659BE4" w14:textId="77777777" w:rsidR="00003AE7" w:rsidRDefault="00000000">
            <w:r>
              <w:rPr>
                <w:color w:val="000000"/>
                <w:sz w:val="19"/>
                <w:szCs w:val="19"/>
              </w:rPr>
              <w:t>Caída violenta intradía &gt;20% a mínimos ~11€; Deutsche Bank cita pérdida de credibilidad ante inversores</w:t>
            </w:r>
          </w:p>
        </w:tc>
        <w:tc>
          <w:tcPr>
            <w:tcW w:w="0" w:type="auto"/>
            <w:tcMar>
              <w:top w:w="90" w:type="dxa"/>
              <w:left w:w="110" w:type="dxa"/>
              <w:bottom w:w="90" w:type="dxa"/>
              <w:right w:w="110" w:type="dxa"/>
            </w:tcMar>
            <w:vAlign w:val="center"/>
          </w:tcPr>
          <w:p w14:paraId="271A7D8E" w14:textId="77777777" w:rsidR="00003AE7" w:rsidRDefault="00000000">
            <w:r>
              <w:rPr>
                <w:color w:val="000000"/>
                <w:sz w:val="19"/>
                <w:szCs w:val="19"/>
              </w:rPr>
              <w:t>Caída específica de la compañía, no arrastre macro (DAX plano ese día)</w:t>
            </w:r>
          </w:p>
        </w:tc>
      </w:tr>
      <w:tr w:rsidR="00003AE7" w14:paraId="46B31703" w14:textId="77777777">
        <w:tblPrEx>
          <w:tblCellMar>
            <w:top w:w="0" w:type="dxa"/>
            <w:bottom w:w="0" w:type="dxa"/>
          </w:tblCellMar>
        </w:tblPrEx>
        <w:tc>
          <w:tcPr>
            <w:tcW w:w="0" w:type="auto"/>
            <w:tcMar>
              <w:top w:w="90" w:type="dxa"/>
              <w:left w:w="110" w:type="dxa"/>
              <w:bottom w:w="90" w:type="dxa"/>
              <w:right w:w="110" w:type="dxa"/>
            </w:tcMar>
            <w:vAlign w:val="center"/>
          </w:tcPr>
          <w:p w14:paraId="089BB605" w14:textId="77777777" w:rsidR="00003AE7" w:rsidRDefault="00000000">
            <w:r>
              <w:rPr>
                <w:b/>
                <w:bCs/>
                <w:color w:val="000000"/>
                <w:sz w:val="19"/>
                <w:szCs w:val="19"/>
              </w:rPr>
              <w:t>Verano 2026</w:t>
            </w:r>
          </w:p>
        </w:tc>
        <w:tc>
          <w:tcPr>
            <w:tcW w:w="0" w:type="auto"/>
            <w:tcMar>
              <w:top w:w="90" w:type="dxa"/>
              <w:left w:w="110" w:type="dxa"/>
              <w:bottom w:w="90" w:type="dxa"/>
              <w:right w:w="110" w:type="dxa"/>
            </w:tcMar>
            <w:vAlign w:val="center"/>
          </w:tcPr>
          <w:p w14:paraId="58A29749" w14:textId="77777777" w:rsidR="00003AE7" w:rsidRDefault="00000000">
            <w:r>
              <w:rPr>
                <w:b/>
                <w:bCs/>
                <w:color w:val="000000"/>
                <w:sz w:val="19"/>
                <w:szCs w:val="19"/>
              </w:rPr>
              <w:t xml:space="preserve">SEGUNDA rebaja de guía consecutiva: ventas revisadas a +0-1% (antes +5-10%); margen EBITDA ajustado recortado de ~16,5% a ~15,0%; </w:t>
            </w:r>
            <w:proofErr w:type="spellStart"/>
            <w:r>
              <w:rPr>
                <w:b/>
                <w:bCs/>
                <w:color w:val="000000"/>
                <w:sz w:val="19"/>
                <w:szCs w:val="19"/>
              </w:rPr>
              <w:t>leverage</w:t>
            </w:r>
            <w:proofErr w:type="spellEnd"/>
            <w:r>
              <w:rPr>
                <w:b/>
                <w:bCs/>
                <w:color w:val="000000"/>
                <w:sz w:val="19"/>
                <w:szCs w:val="19"/>
              </w:rPr>
              <w:t xml:space="preserve"> guiado al alza a 3,0-3,5x</w:t>
            </w:r>
          </w:p>
        </w:tc>
        <w:tc>
          <w:tcPr>
            <w:tcW w:w="0" w:type="auto"/>
            <w:tcMar>
              <w:top w:w="90" w:type="dxa"/>
              <w:left w:w="110" w:type="dxa"/>
              <w:bottom w:w="90" w:type="dxa"/>
              <w:right w:w="110" w:type="dxa"/>
            </w:tcMar>
            <w:vAlign w:val="center"/>
          </w:tcPr>
          <w:p w14:paraId="7092B192" w14:textId="77777777" w:rsidR="00003AE7" w:rsidRDefault="00000000">
            <w:r>
              <w:rPr>
                <w:b/>
                <w:bCs/>
                <w:color w:val="000000"/>
                <w:sz w:val="19"/>
                <w:szCs w:val="19"/>
              </w:rPr>
              <w:t>Caída de -6,5% a 8,09€ (mínimo histórico en ese momento)</w:t>
            </w:r>
          </w:p>
        </w:tc>
      </w:tr>
    </w:tbl>
    <w:p w14:paraId="5F86BA5C" w14:textId="77777777" w:rsidR="00003AE7" w:rsidRDefault="00000000">
      <w:pPr>
        <w:spacing w:before="60" w:after="220"/>
        <w:jc w:val="both"/>
      </w:pPr>
      <w:r>
        <w:rPr>
          <w:i/>
          <w:iCs/>
          <w:color w:val="595959"/>
          <w:sz w:val="16"/>
          <w:szCs w:val="16"/>
        </w:rPr>
        <w:t xml:space="preserve">Fuente: comunicados de Douglas AG, prensa financiera (Reuters, Deutsche Bank </w:t>
      </w:r>
      <w:proofErr w:type="spellStart"/>
      <w:r>
        <w:rPr>
          <w:i/>
          <w:iCs/>
          <w:color w:val="595959"/>
          <w:sz w:val="16"/>
          <w:szCs w:val="16"/>
        </w:rPr>
        <w:t>research</w:t>
      </w:r>
      <w:proofErr w:type="spellEnd"/>
      <w:r>
        <w:rPr>
          <w:i/>
          <w:iCs/>
          <w:color w:val="595959"/>
          <w:sz w:val="16"/>
          <w:szCs w:val="16"/>
        </w:rPr>
        <w:t xml:space="preserve"> notes), 2025-2026.</w:t>
      </w:r>
    </w:p>
    <w:p w14:paraId="4EA84751" w14:textId="4C325CE6" w:rsidR="00003AE7" w:rsidRDefault="00000000">
      <w:pPr>
        <w:spacing w:after="160"/>
        <w:jc w:val="both"/>
      </w:pPr>
      <w:r>
        <w:rPr>
          <w:color w:val="000000"/>
        </w:rPr>
        <w:t xml:space="preserve">Tres rebajas de guía consecutivas en un mismo ciclo de 12-18 </w:t>
      </w:r>
      <w:proofErr w:type="gramStart"/>
      <w:r>
        <w:rPr>
          <w:color w:val="000000"/>
        </w:rPr>
        <w:t>meses  más</w:t>
      </w:r>
      <w:proofErr w:type="gramEnd"/>
      <w:r>
        <w:rPr>
          <w:color w:val="000000"/>
        </w:rPr>
        <w:t xml:space="preserve"> precisamente, dos ya confirmadas con riesgo de una tercera</w:t>
      </w:r>
      <w:r w:rsidR="001E3FFB">
        <w:rPr>
          <w:color w:val="000000"/>
        </w:rPr>
        <w:t>,</w:t>
      </w:r>
      <w:r>
        <w:rPr>
          <w:color w:val="000000"/>
        </w:rPr>
        <w:t xml:space="preserve"> es la señal de alerta contable/de gestión más relevante de toda la tesis: erosiona la fiabilidad de cualquier proyección a futuro, incluida la que sustenta este propio modelo DCF.</w:t>
      </w:r>
    </w:p>
    <w:p w14:paraId="28C4DDD9" w14:textId="77777777" w:rsidR="00003AE7" w:rsidRDefault="00000000">
      <w:pPr>
        <w:pStyle w:val="Ttulo2"/>
        <w:keepNext/>
        <w:keepLines/>
        <w:spacing w:before="280" w:after="140"/>
      </w:pPr>
      <w:r>
        <w:rPr>
          <w:b/>
          <w:bCs/>
          <w:color w:val="1F3864"/>
          <w:sz w:val="24"/>
          <w:szCs w:val="24"/>
        </w:rPr>
        <w:lastRenderedPageBreak/>
        <w:t>4.2 Apalancamiento: el problema central del caso Douglas</w:t>
      </w:r>
    </w:p>
    <w:p w14:paraId="237F8522" w14:textId="77777777" w:rsidR="00003AE7" w:rsidRDefault="00000000">
      <w:pPr>
        <w:spacing w:before="120" w:after="80"/>
        <w:jc w:val="center"/>
      </w:pPr>
      <w:r>
        <w:rPr>
          <w:noProof/>
        </w:rPr>
        <w:drawing>
          <wp:inline distT="0" distB="0" distL="0" distR="0" wp14:anchorId="44554164" wp14:editId="15BA7D96">
            <wp:extent cx="5334000" cy="2724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24150"/>
                    </a:xfrm>
                    <a:prstGeom prst="rect">
                      <a:avLst/>
                    </a:prstGeom>
                  </pic:spPr>
                </pic:pic>
              </a:graphicData>
            </a:graphic>
          </wp:inline>
        </w:drawing>
      </w:r>
    </w:p>
    <w:p w14:paraId="6E231EC6" w14:textId="77777777" w:rsidR="00003AE7" w:rsidRDefault="00000000">
      <w:pPr>
        <w:spacing w:before="60" w:after="220"/>
        <w:jc w:val="both"/>
      </w:pPr>
      <w:r>
        <w:rPr>
          <w:i/>
          <w:iCs/>
          <w:color w:val="595959"/>
          <w:sz w:val="16"/>
          <w:szCs w:val="16"/>
        </w:rPr>
        <w:t xml:space="preserve">Fuente: consenso de analistas, </w:t>
      </w:r>
      <w:proofErr w:type="spellStart"/>
      <w:r>
        <w:rPr>
          <w:i/>
          <w:iCs/>
          <w:color w:val="595959"/>
          <w:sz w:val="16"/>
          <w:szCs w:val="16"/>
        </w:rPr>
        <w:t>MarketScreener</w:t>
      </w:r>
      <w:proofErr w:type="spellEnd"/>
      <w:r>
        <w:rPr>
          <w:i/>
          <w:iCs/>
          <w:color w:val="595959"/>
          <w:sz w:val="16"/>
          <w:szCs w:val="16"/>
        </w:rPr>
        <w:t xml:space="preserve"> (21 sept. 2026). Deuda Neta/FCF calculada como Deuda Neta ÷ Free Cash Flow anual de cada ejercicio.</w:t>
      </w:r>
    </w:p>
    <w:p w14:paraId="54607F53" w14:textId="2173C50B" w:rsidR="00003AE7" w:rsidRPr="001E3FFB" w:rsidRDefault="00000000">
      <w:pPr>
        <w:spacing w:after="160"/>
        <w:jc w:val="both"/>
        <w:rPr>
          <w:color w:val="000000"/>
        </w:rPr>
      </w:pPr>
      <w:proofErr w:type="gramStart"/>
      <w:r>
        <w:rPr>
          <w:color w:val="000000"/>
        </w:rPr>
        <w:t>El ratio</w:t>
      </w:r>
      <w:proofErr w:type="gramEnd"/>
      <w:r>
        <w:rPr>
          <w:color w:val="000000"/>
        </w:rPr>
        <w:t xml:space="preserve"> Deuda Neta/EBITDA ha evolucionado de 2,83x (2024) a 2,95x (2025) y alcanza un pico guiado de 3,32x en 2026, dentro (aunque en el límite superior) de la guía revisada de la propia compañía (3,0x-3,5x), para luego normalizarse a 3,08x (2027) y 2,87x (2028) según el consenso. Pero el dato que de verdad importa y que un análisis basado solo en Deuda/EBITDA pasaría por alto es la Deuda Neta/FCF, que se dispara a 9,49x en 2026 (frente a 4,91x en 2025) antes de normalizarse a 6,55x (2027) y 6,37x (2028).</w:t>
      </w:r>
    </w:p>
    <w:p w14:paraId="1501747D" w14:textId="7233E8F9" w:rsidR="00003AE7" w:rsidRDefault="00000000">
      <w:pPr>
        <w:spacing w:after="160"/>
        <w:jc w:val="both"/>
      </w:pPr>
      <w:r>
        <w:rPr>
          <w:color w:val="000000"/>
        </w:rPr>
        <w:t xml:space="preserve">La causa de este pico de estrés es la combinación de una caída del EBITDA (-11% en 2026e) con un incremento del </w:t>
      </w:r>
      <w:proofErr w:type="spellStart"/>
      <w:r>
        <w:rPr>
          <w:color w:val="000000"/>
        </w:rPr>
        <w:t>Cap</w:t>
      </w:r>
      <w:r w:rsidR="001E3FFB">
        <w:rPr>
          <w:color w:val="000000"/>
        </w:rPr>
        <w:t>e</w:t>
      </w:r>
      <w:r>
        <w:rPr>
          <w:color w:val="000000"/>
        </w:rPr>
        <w:t>x</w:t>
      </w:r>
      <w:proofErr w:type="spellEnd"/>
      <w:r>
        <w:rPr>
          <w:color w:val="000000"/>
        </w:rPr>
        <w:t xml:space="preserve"> del +47% en el mismo ejercicio (de 168,3M€ a 248,2M€, elevando </w:t>
      </w:r>
      <w:proofErr w:type="gramStart"/>
      <w:r>
        <w:rPr>
          <w:color w:val="000000"/>
        </w:rPr>
        <w:t>el ratio</w:t>
      </w:r>
      <w:proofErr w:type="gramEnd"/>
      <w:r>
        <w:rPr>
          <w:color w:val="000000"/>
        </w:rPr>
        <w:t xml:space="preserve"> </w:t>
      </w:r>
      <w:proofErr w:type="spellStart"/>
      <w:r>
        <w:rPr>
          <w:color w:val="000000"/>
        </w:rPr>
        <w:t>Cap</w:t>
      </w:r>
      <w:r w:rsidR="001E3FFB">
        <w:rPr>
          <w:color w:val="000000"/>
        </w:rPr>
        <w:t>e</w:t>
      </w:r>
      <w:r>
        <w:rPr>
          <w:color w:val="000000"/>
        </w:rPr>
        <w:t>x</w:t>
      </w:r>
      <w:proofErr w:type="spellEnd"/>
      <w:r>
        <w:rPr>
          <w:color w:val="000000"/>
        </w:rPr>
        <w:t xml:space="preserve">/EBITDA del 21,9% al 36,3%). Esto reduce el FCF de 461M€ (2025) a solo 239M€ (2026e). La pregunta que decide si esto es una señal positiva o negativa es si ese </w:t>
      </w:r>
      <w:proofErr w:type="spellStart"/>
      <w:r>
        <w:rPr>
          <w:color w:val="000000"/>
        </w:rPr>
        <w:t>Cap</w:t>
      </w:r>
      <w:r w:rsidR="001E3FFB">
        <w:rPr>
          <w:color w:val="000000"/>
        </w:rPr>
        <w:t>e</w:t>
      </w:r>
      <w:r>
        <w:rPr>
          <w:color w:val="000000"/>
        </w:rPr>
        <w:t>x</w:t>
      </w:r>
      <w:proofErr w:type="spellEnd"/>
      <w:r>
        <w:rPr>
          <w:color w:val="000000"/>
        </w:rPr>
        <w:t xml:space="preserve"> es de crecimiento (remodelación de tiendas, expansión a Oriente Próximo) o defensivo/forzado por el deterioro competitivo frente a Sephora</w:t>
      </w:r>
      <w:r w:rsidR="001E3FFB">
        <w:rPr>
          <w:color w:val="000000"/>
        </w:rPr>
        <w:t xml:space="preserve"> </w:t>
      </w:r>
      <w:r>
        <w:rPr>
          <w:color w:val="000000"/>
        </w:rPr>
        <w:t>una distinción que no está disponible públicamente con el desglose necesario y que debe verificarse en el próximo informe anual.</w:t>
      </w:r>
    </w:p>
    <w:p w14:paraId="5EEF7CD5" w14:textId="77777777" w:rsidR="00003AE7" w:rsidRDefault="00000000">
      <w:pPr>
        <w:pStyle w:val="Ttulo1"/>
        <w:keepNext/>
        <w:keepLines/>
        <w:pBdr>
          <w:bottom w:val="single" w:sz="8" w:space="4" w:color="1F3864"/>
        </w:pBdr>
        <w:spacing w:before="380" w:after="180"/>
      </w:pPr>
      <w:r>
        <w:rPr>
          <w:b/>
          <w:bCs/>
          <w:color w:val="1F3864"/>
          <w:sz w:val="28"/>
          <w:szCs w:val="28"/>
        </w:rPr>
        <w:t>5. Valoración</w:t>
      </w:r>
    </w:p>
    <w:p w14:paraId="2494F0B1" w14:textId="77777777" w:rsidR="00003AE7" w:rsidRDefault="00000000">
      <w:pPr>
        <w:pStyle w:val="Ttulo2"/>
        <w:keepNext/>
        <w:keepLines/>
        <w:spacing w:before="280" w:after="140"/>
      </w:pPr>
      <w:r>
        <w:rPr>
          <w:b/>
          <w:bCs/>
          <w:color w:val="1F3864"/>
          <w:sz w:val="24"/>
          <w:szCs w:val="24"/>
        </w:rPr>
        <w:t>5.1 Trayectoria financiera de consenso (2024A-2028e)</w:t>
      </w:r>
    </w:p>
    <w:p w14:paraId="00E26CB4" w14:textId="77777777" w:rsidR="00003AE7" w:rsidRDefault="00000000">
      <w:pPr>
        <w:spacing w:before="120" w:after="80"/>
        <w:jc w:val="center"/>
      </w:pPr>
      <w:r>
        <w:rPr>
          <w:noProof/>
        </w:rPr>
        <w:drawing>
          <wp:inline distT="0" distB="0" distL="0" distR="0" wp14:anchorId="2E709851" wp14:editId="30903770">
            <wp:extent cx="5334000" cy="2724150"/>
            <wp:effectExtent l="0" t="0" r="0" b="0"/>
            <wp:docPr id="1798201924" name="Imagen 179820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24150"/>
                    </a:xfrm>
                    <a:prstGeom prst="rect">
                      <a:avLst/>
                    </a:prstGeom>
                  </pic:spPr>
                </pic:pic>
              </a:graphicData>
            </a:graphic>
          </wp:inline>
        </w:drawing>
      </w:r>
    </w:p>
    <w:p w14:paraId="0970E3ED" w14:textId="2A84EDC4" w:rsidR="00003AE7" w:rsidRDefault="00000000">
      <w:pPr>
        <w:spacing w:before="60" w:after="220"/>
        <w:jc w:val="both"/>
      </w:pPr>
      <w:r>
        <w:rPr>
          <w:i/>
          <w:iCs/>
          <w:color w:val="595959"/>
          <w:sz w:val="16"/>
          <w:szCs w:val="16"/>
        </w:rPr>
        <w:t xml:space="preserve">Fuente: consenso de analistas, </w:t>
      </w:r>
      <w:proofErr w:type="spellStart"/>
      <w:r>
        <w:rPr>
          <w:i/>
          <w:iCs/>
          <w:color w:val="595959"/>
          <w:sz w:val="16"/>
          <w:szCs w:val="16"/>
        </w:rPr>
        <w:t>MarketScreener</w:t>
      </w:r>
      <w:proofErr w:type="spellEnd"/>
      <w:r>
        <w:rPr>
          <w:i/>
          <w:iCs/>
          <w:color w:val="595959"/>
          <w:sz w:val="16"/>
          <w:szCs w:val="16"/>
        </w:rPr>
        <w:t xml:space="preserve"> (21 sept. 2026). Nótese que el margen EBITDA nunca vuelve al 18,17% de 2024, ni siquiera en el escenario de "recuperación" 2027-2028 (15,18%-15,30%) — el consenso da una compresión estructural de ~3 puntos porcentuales, no solo una caída cíclica transitoria.</w:t>
      </w:r>
    </w:p>
    <w:p w14:paraId="4AE4A6DB" w14:textId="77777777" w:rsidR="00003AE7" w:rsidRDefault="00000000">
      <w:pPr>
        <w:pStyle w:val="Ttulo2"/>
        <w:keepNext/>
        <w:keepLines/>
        <w:spacing w:before="280" w:after="140"/>
      </w:pPr>
      <w:r>
        <w:rPr>
          <w:b/>
          <w:bCs/>
          <w:color w:val="1F3864"/>
          <w:sz w:val="24"/>
          <w:szCs w:val="24"/>
        </w:rPr>
        <w:lastRenderedPageBreak/>
        <w:t>5.2 Modelo DCF — Resultados (caso base)</w:t>
      </w:r>
    </w:p>
    <w:p w14:paraId="40E207E6" w14:textId="14935D09" w:rsidR="00003AE7" w:rsidRDefault="00000000">
      <w:pPr>
        <w:spacing w:after="160"/>
        <w:jc w:val="both"/>
        <w:rPr>
          <w:color w:val="000000"/>
        </w:rPr>
      </w:pPr>
      <w:r>
        <w:rPr>
          <w:color w:val="000000"/>
        </w:rPr>
        <w:t>La valoración principal de esta tesis se apoya en el modelo de Descuento de Flujos de Caja Libre (FCFF) construido por</w:t>
      </w:r>
      <w:r w:rsidR="001E3FFB">
        <w:rPr>
          <w:color w:val="000000"/>
        </w:rPr>
        <w:t xml:space="preserve"> </w:t>
      </w:r>
      <w:proofErr w:type="spellStart"/>
      <w:r w:rsidR="001E3FFB">
        <w:rPr>
          <w:color w:val="000000"/>
        </w:rPr>
        <w:t>mi</w:t>
      </w:r>
      <w:proofErr w:type="spellEnd"/>
      <w:r>
        <w:rPr>
          <w:color w:val="000000"/>
        </w:rPr>
        <w:t xml:space="preserve">, que </w:t>
      </w:r>
      <w:proofErr w:type="spellStart"/>
      <w:r w:rsidR="001E3FFB">
        <w:rPr>
          <w:color w:val="000000"/>
        </w:rPr>
        <w:t>cácula</w:t>
      </w:r>
      <w:proofErr w:type="spellEnd"/>
      <w:r>
        <w:rPr>
          <w:color w:val="000000"/>
        </w:rPr>
        <w:t xml:space="preserve"> el valor terminal por dos métodos (perpetuidad de Gordon </w:t>
      </w:r>
      <w:proofErr w:type="spellStart"/>
      <w:r>
        <w:rPr>
          <w:color w:val="000000"/>
        </w:rPr>
        <w:t>Growth</w:t>
      </w:r>
      <w:proofErr w:type="spellEnd"/>
      <w:r>
        <w:rPr>
          <w:color w:val="000000"/>
        </w:rPr>
        <w:t xml:space="preserve"> y múltiplo de salida EV/EBITDA) y llega al valor por acción a través de un puente completo EV.</w:t>
      </w:r>
    </w:p>
    <w:p w14:paraId="6A11B141" w14:textId="77777777" w:rsidR="00F41835" w:rsidRDefault="00F41835">
      <w:pPr>
        <w:spacing w:after="160"/>
        <w:jc w:val="both"/>
        <w:rPr>
          <w:color w:val="000000"/>
        </w:rPr>
      </w:pPr>
    </w:p>
    <w:p w14:paraId="38390F2B" w14:textId="77777777" w:rsidR="00F41835" w:rsidRDefault="00F41835">
      <w:pPr>
        <w:spacing w:after="160"/>
        <w:jc w:val="both"/>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31"/>
        <w:gridCol w:w="1191"/>
        <w:gridCol w:w="6028"/>
      </w:tblGrid>
      <w:tr w:rsidR="00003AE7" w14:paraId="3821E6F9" w14:textId="77777777">
        <w:tblPrEx>
          <w:tblCellMar>
            <w:top w:w="0" w:type="dxa"/>
            <w:bottom w:w="0" w:type="dxa"/>
          </w:tblCellMar>
        </w:tblPrEx>
        <w:tc>
          <w:tcPr>
            <w:tcW w:w="0" w:type="auto"/>
            <w:shd w:val="clear" w:color="auto" w:fill="D9E2F3"/>
            <w:tcMar>
              <w:top w:w="90" w:type="dxa"/>
              <w:left w:w="110" w:type="dxa"/>
              <w:bottom w:w="90" w:type="dxa"/>
              <w:right w:w="110" w:type="dxa"/>
            </w:tcMar>
            <w:vAlign w:val="center"/>
          </w:tcPr>
          <w:p w14:paraId="3A55C6BD" w14:textId="77777777" w:rsidR="00003AE7" w:rsidRDefault="00000000">
            <w:r>
              <w:rPr>
                <w:b/>
                <w:bCs/>
                <w:color w:val="000000"/>
                <w:sz w:val="19"/>
                <w:szCs w:val="19"/>
              </w:rPr>
              <w:t>Parámetro</w:t>
            </w:r>
          </w:p>
        </w:tc>
        <w:tc>
          <w:tcPr>
            <w:tcW w:w="0" w:type="auto"/>
            <w:shd w:val="clear" w:color="auto" w:fill="D9E2F3"/>
            <w:tcMar>
              <w:top w:w="90" w:type="dxa"/>
              <w:left w:w="110" w:type="dxa"/>
              <w:bottom w:w="90" w:type="dxa"/>
              <w:right w:w="110" w:type="dxa"/>
            </w:tcMar>
            <w:vAlign w:val="center"/>
          </w:tcPr>
          <w:p w14:paraId="07B625BE" w14:textId="77777777" w:rsidR="00003AE7" w:rsidRDefault="00000000">
            <w:pPr>
              <w:jc w:val="center"/>
            </w:pPr>
            <w:r>
              <w:rPr>
                <w:b/>
                <w:bCs/>
                <w:color w:val="000000"/>
                <w:sz w:val="19"/>
                <w:szCs w:val="19"/>
              </w:rPr>
              <w:t>Valor</w:t>
            </w:r>
          </w:p>
        </w:tc>
        <w:tc>
          <w:tcPr>
            <w:tcW w:w="0" w:type="auto"/>
            <w:shd w:val="clear" w:color="auto" w:fill="D9E2F3"/>
            <w:tcMar>
              <w:top w:w="90" w:type="dxa"/>
              <w:left w:w="110" w:type="dxa"/>
              <w:bottom w:w="90" w:type="dxa"/>
              <w:right w:w="110" w:type="dxa"/>
            </w:tcMar>
            <w:vAlign w:val="center"/>
          </w:tcPr>
          <w:p w14:paraId="71D29EC5" w14:textId="77777777" w:rsidR="00003AE7" w:rsidRDefault="00000000">
            <w:r>
              <w:rPr>
                <w:b/>
                <w:bCs/>
                <w:color w:val="000000"/>
                <w:sz w:val="19"/>
                <w:szCs w:val="19"/>
              </w:rPr>
              <w:t>Comentario</w:t>
            </w:r>
          </w:p>
        </w:tc>
      </w:tr>
      <w:tr w:rsidR="00003AE7" w14:paraId="4818861E" w14:textId="77777777">
        <w:tblPrEx>
          <w:tblCellMar>
            <w:top w:w="0" w:type="dxa"/>
            <w:bottom w:w="0" w:type="dxa"/>
          </w:tblCellMar>
        </w:tblPrEx>
        <w:tc>
          <w:tcPr>
            <w:tcW w:w="0" w:type="auto"/>
            <w:tcMar>
              <w:top w:w="90" w:type="dxa"/>
              <w:left w:w="110" w:type="dxa"/>
              <w:bottom w:w="90" w:type="dxa"/>
              <w:right w:w="110" w:type="dxa"/>
            </w:tcMar>
            <w:vAlign w:val="center"/>
          </w:tcPr>
          <w:p w14:paraId="07A6BE98" w14:textId="77777777" w:rsidR="00003AE7" w:rsidRDefault="00000000">
            <w:r>
              <w:rPr>
                <w:color w:val="000000"/>
                <w:sz w:val="19"/>
                <w:szCs w:val="19"/>
              </w:rPr>
              <w:t>WACC</w:t>
            </w:r>
          </w:p>
        </w:tc>
        <w:tc>
          <w:tcPr>
            <w:tcW w:w="0" w:type="auto"/>
            <w:tcMar>
              <w:top w:w="90" w:type="dxa"/>
              <w:left w:w="110" w:type="dxa"/>
              <w:bottom w:w="90" w:type="dxa"/>
              <w:right w:w="110" w:type="dxa"/>
            </w:tcMar>
            <w:vAlign w:val="center"/>
          </w:tcPr>
          <w:p w14:paraId="22EA826C" w14:textId="77777777" w:rsidR="00003AE7" w:rsidRDefault="00000000">
            <w:pPr>
              <w:jc w:val="center"/>
            </w:pPr>
            <w:r>
              <w:rPr>
                <w:b/>
                <w:bCs/>
                <w:color w:val="000000"/>
                <w:sz w:val="19"/>
                <w:szCs w:val="19"/>
              </w:rPr>
              <w:t>9,22%</w:t>
            </w:r>
          </w:p>
        </w:tc>
        <w:tc>
          <w:tcPr>
            <w:tcW w:w="0" w:type="auto"/>
            <w:tcMar>
              <w:top w:w="90" w:type="dxa"/>
              <w:left w:w="110" w:type="dxa"/>
              <w:bottom w:w="90" w:type="dxa"/>
              <w:right w:w="110" w:type="dxa"/>
            </w:tcMar>
            <w:vAlign w:val="center"/>
          </w:tcPr>
          <w:p w14:paraId="199A1B5D" w14:textId="77777777" w:rsidR="00003AE7" w:rsidRDefault="00000000">
            <w:r>
              <w:rPr>
                <w:color w:val="000000"/>
                <w:sz w:val="18"/>
                <w:szCs w:val="18"/>
              </w:rPr>
              <w:t xml:space="preserve">Ke 16,46% (Rf 3,5% Bund alemán 10a + βl 2,16 × ERP 6,0%); </w:t>
            </w:r>
            <w:proofErr w:type="spellStart"/>
            <w:r>
              <w:rPr>
                <w:color w:val="000000"/>
                <w:sz w:val="18"/>
                <w:szCs w:val="18"/>
              </w:rPr>
              <w:t>Kd</w:t>
            </w:r>
            <w:proofErr w:type="spellEnd"/>
            <w:r>
              <w:rPr>
                <w:color w:val="000000"/>
                <w:sz w:val="18"/>
                <w:szCs w:val="18"/>
              </w:rPr>
              <w:t xml:space="preserve"> post-</w:t>
            </w:r>
            <w:proofErr w:type="spellStart"/>
            <w:r>
              <w:rPr>
                <w:color w:val="000000"/>
                <w:sz w:val="18"/>
                <w:szCs w:val="18"/>
              </w:rPr>
              <w:t>tax</w:t>
            </w:r>
            <w:proofErr w:type="spellEnd"/>
            <w:r>
              <w:rPr>
                <w:color w:val="000000"/>
                <w:sz w:val="18"/>
                <w:szCs w:val="18"/>
              </w:rPr>
              <w:t xml:space="preserve"> 5,60%; estructura D/E=2,0x reflejando el apalancamiento REAL heredado del LBO, no una estructura objetivo "sana"</w:t>
            </w:r>
          </w:p>
        </w:tc>
      </w:tr>
      <w:tr w:rsidR="00003AE7" w14:paraId="60A17D2E" w14:textId="77777777">
        <w:tblPrEx>
          <w:tblCellMar>
            <w:top w:w="0" w:type="dxa"/>
            <w:bottom w:w="0" w:type="dxa"/>
          </w:tblCellMar>
        </w:tblPrEx>
        <w:tc>
          <w:tcPr>
            <w:tcW w:w="0" w:type="auto"/>
            <w:tcMar>
              <w:top w:w="90" w:type="dxa"/>
              <w:left w:w="110" w:type="dxa"/>
              <w:bottom w:w="90" w:type="dxa"/>
              <w:right w:w="110" w:type="dxa"/>
            </w:tcMar>
            <w:vAlign w:val="center"/>
          </w:tcPr>
          <w:p w14:paraId="6FDE03BD" w14:textId="77777777" w:rsidR="00003AE7" w:rsidRDefault="00000000">
            <w:r>
              <w:rPr>
                <w:color w:val="000000"/>
                <w:sz w:val="19"/>
                <w:szCs w:val="19"/>
              </w:rPr>
              <w:t>g (perpetuidad)</w:t>
            </w:r>
          </w:p>
        </w:tc>
        <w:tc>
          <w:tcPr>
            <w:tcW w:w="0" w:type="auto"/>
            <w:tcMar>
              <w:top w:w="90" w:type="dxa"/>
              <w:left w:w="110" w:type="dxa"/>
              <w:bottom w:w="90" w:type="dxa"/>
              <w:right w:w="110" w:type="dxa"/>
            </w:tcMar>
            <w:vAlign w:val="center"/>
          </w:tcPr>
          <w:p w14:paraId="33425782" w14:textId="77777777" w:rsidR="00003AE7" w:rsidRDefault="00000000">
            <w:pPr>
              <w:jc w:val="center"/>
            </w:pPr>
            <w:r>
              <w:rPr>
                <w:color w:val="000000"/>
                <w:sz w:val="19"/>
                <w:szCs w:val="19"/>
              </w:rPr>
              <w:t>1,2%</w:t>
            </w:r>
          </w:p>
        </w:tc>
        <w:tc>
          <w:tcPr>
            <w:tcW w:w="0" w:type="auto"/>
            <w:tcMar>
              <w:top w:w="90" w:type="dxa"/>
              <w:left w:w="110" w:type="dxa"/>
              <w:bottom w:w="90" w:type="dxa"/>
              <w:right w:w="110" w:type="dxa"/>
            </w:tcMar>
            <w:vAlign w:val="center"/>
          </w:tcPr>
          <w:p w14:paraId="1323D4A5" w14:textId="77777777" w:rsidR="00003AE7" w:rsidRDefault="00000000">
            <w:r>
              <w:rPr>
                <w:color w:val="000000"/>
                <w:sz w:val="18"/>
                <w:szCs w:val="18"/>
              </w:rPr>
              <w:t xml:space="preserve">Sector maduro/cíclico, sin evidencia de </w:t>
            </w:r>
            <w:proofErr w:type="spellStart"/>
            <w:r>
              <w:rPr>
                <w:color w:val="000000"/>
                <w:sz w:val="18"/>
                <w:szCs w:val="18"/>
              </w:rPr>
              <w:t>pricing</w:t>
            </w:r>
            <w:proofErr w:type="spellEnd"/>
            <w:r>
              <w:rPr>
                <w:color w:val="000000"/>
                <w:sz w:val="18"/>
                <w:szCs w:val="18"/>
              </w:rPr>
              <w:t xml:space="preserve"> </w:t>
            </w:r>
            <w:proofErr w:type="spellStart"/>
            <w:r>
              <w:rPr>
                <w:color w:val="000000"/>
                <w:sz w:val="18"/>
                <w:szCs w:val="18"/>
              </w:rPr>
              <w:t>power</w:t>
            </w:r>
            <w:proofErr w:type="spellEnd"/>
            <w:r>
              <w:rPr>
                <w:color w:val="000000"/>
                <w:sz w:val="18"/>
                <w:szCs w:val="18"/>
              </w:rPr>
              <w:t xml:space="preserve"> estructural</w:t>
            </w:r>
          </w:p>
        </w:tc>
      </w:tr>
      <w:tr w:rsidR="00003AE7" w14:paraId="744808FC" w14:textId="77777777">
        <w:tblPrEx>
          <w:tblCellMar>
            <w:top w:w="0" w:type="dxa"/>
            <w:bottom w:w="0" w:type="dxa"/>
          </w:tblCellMar>
        </w:tblPrEx>
        <w:tc>
          <w:tcPr>
            <w:tcW w:w="0" w:type="auto"/>
            <w:tcMar>
              <w:top w:w="90" w:type="dxa"/>
              <w:left w:w="110" w:type="dxa"/>
              <w:bottom w:w="90" w:type="dxa"/>
              <w:right w:w="110" w:type="dxa"/>
            </w:tcMar>
            <w:vAlign w:val="center"/>
          </w:tcPr>
          <w:p w14:paraId="2E4C333D" w14:textId="77777777" w:rsidR="00003AE7" w:rsidRDefault="00000000">
            <w:r>
              <w:rPr>
                <w:color w:val="000000"/>
                <w:sz w:val="19"/>
                <w:szCs w:val="19"/>
              </w:rPr>
              <w:t>Múltiplo de salida</w:t>
            </w:r>
          </w:p>
        </w:tc>
        <w:tc>
          <w:tcPr>
            <w:tcW w:w="0" w:type="auto"/>
            <w:tcMar>
              <w:top w:w="90" w:type="dxa"/>
              <w:left w:w="110" w:type="dxa"/>
              <w:bottom w:w="90" w:type="dxa"/>
              <w:right w:w="110" w:type="dxa"/>
            </w:tcMar>
            <w:vAlign w:val="center"/>
          </w:tcPr>
          <w:p w14:paraId="3C5689B8" w14:textId="77777777" w:rsidR="00003AE7" w:rsidRDefault="00000000">
            <w:pPr>
              <w:jc w:val="center"/>
            </w:pPr>
            <w:r>
              <w:rPr>
                <w:color w:val="000000"/>
                <w:sz w:val="19"/>
                <w:szCs w:val="19"/>
              </w:rPr>
              <w:t>6,5x EV/EBITDA</w:t>
            </w:r>
          </w:p>
        </w:tc>
        <w:tc>
          <w:tcPr>
            <w:tcW w:w="0" w:type="auto"/>
            <w:tcMar>
              <w:top w:w="90" w:type="dxa"/>
              <w:left w:w="110" w:type="dxa"/>
              <w:bottom w:w="90" w:type="dxa"/>
              <w:right w:w="110" w:type="dxa"/>
            </w:tcMar>
            <w:vAlign w:val="center"/>
          </w:tcPr>
          <w:p w14:paraId="5EEE3A86" w14:textId="77777777" w:rsidR="00003AE7" w:rsidRDefault="00000000">
            <w:r>
              <w:rPr>
                <w:color w:val="000000"/>
                <w:sz w:val="18"/>
                <w:szCs w:val="18"/>
              </w:rPr>
              <w:t>Normalizado; el mercado cotiza hoy Douglas a ~4x, un múltiplo de compresión severa para un líder de categoría</w:t>
            </w:r>
          </w:p>
        </w:tc>
      </w:tr>
      <w:tr w:rsidR="00003AE7" w14:paraId="2DB7B8DE" w14:textId="77777777">
        <w:tblPrEx>
          <w:tblCellMar>
            <w:top w:w="0" w:type="dxa"/>
            <w:bottom w:w="0" w:type="dxa"/>
          </w:tblCellMar>
        </w:tblPrEx>
        <w:tc>
          <w:tcPr>
            <w:tcW w:w="0" w:type="auto"/>
            <w:tcMar>
              <w:top w:w="90" w:type="dxa"/>
              <w:left w:w="110" w:type="dxa"/>
              <w:bottom w:w="90" w:type="dxa"/>
              <w:right w:w="110" w:type="dxa"/>
            </w:tcMar>
            <w:vAlign w:val="center"/>
          </w:tcPr>
          <w:p w14:paraId="0A8D9161" w14:textId="77777777" w:rsidR="00003AE7" w:rsidRDefault="00000000">
            <w:r>
              <w:rPr>
                <w:color w:val="000000"/>
                <w:sz w:val="19"/>
                <w:szCs w:val="19"/>
              </w:rPr>
              <w:t>VP FCF explícitos (5 años)</w:t>
            </w:r>
          </w:p>
        </w:tc>
        <w:tc>
          <w:tcPr>
            <w:tcW w:w="0" w:type="auto"/>
            <w:tcMar>
              <w:top w:w="90" w:type="dxa"/>
              <w:left w:w="110" w:type="dxa"/>
              <w:bottom w:w="90" w:type="dxa"/>
              <w:right w:w="110" w:type="dxa"/>
            </w:tcMar>
            <w:vAlign w:val="center"/>
          </w:tcPr>
          <w:p w14:paraId="740EE404" w14:textId="77777777" w:rsidR="00003AE7" w:rsidRDefault="00000000">
            <w:pPr>
              <w:jc w:val="center"/>
            </w:pPr>
            <w:r>
              <w:rPr>
                <w:color w:val="000000"/>
                <w:sz w:val="19"/>
                <w:szCs w:val="19"/>
              </w:rPr>
              <w:t>1.277,0 M€</w:t>
            </w:r>
          </w:p>
        </w:tc>
        <w:tc>
          <w:tcPr>
            <w:tcW w:w="0" w:type="auto"/>
            <w:tcMar>
              <w:top w:w="90" w:type="dxa"/>
              <w:left w:w="110" w:type="dxa"/>
              <w:bottom w:w="90" w:type="dxa"/>
              <w:right w:w="110" w:type="dxa"/>
            </w:tcMar>
            <w:vAlign w:val="center"/>
          </w:tcPr>
          <w:p w14:paraId="7A4E6CFA" w14:textId="77777777" w:rsidR="00003AE7" w:rsidRDefault="00000000">
            <w:r>
              <w:rPr>
                <w:color w:val="000000"/>
                <w:sz w:val="18"/>
                <w:szCs w:val="18"/>
              </w:rPr>
              <w:t xml:space="preserve">33% del Enterprise </w:t>
            </w:r>
            <w:proofErr w:type="spellStart"/>
            <w:r>
              <w:rPr>
                <w:color w:val="000000"/>
                <w:sz w:val="18"/>
                <w:szCs w:val="18"/>
              </w:rPr>
              <w:t>Value</w:t>
            </w:r>
            <w:proofErr w:type="spellEnd"/>
          </w:p>
        </w:tc>
      </w:tr>
      <w:tr w:rsidR="00003AE7" w14:paraId="5862CF94" w14:textId="77777777">
        <w:tblPrEx>
          <w:tblCellMar>
            <w:top w:w="0" w:type="dxa"/>
            <w:bottom w:w="0" w:type="dxa"/>
          </w:tblCellMar>
        </w:tblPrEx>
        <w:tc>
          <w:tcPr>
            <w:tcW w:w="0" w:type="auto"/>
            <w:tcMar>
              <w:top w:w="90" w:type="dxa"/>
              <w:left w:w="110" w:type="dxa"/>
              <w:bottom w:w="90" w:type="dxa"/>
              <w:right w:w="110" w:type="dxa"/>
            </w:tcMar>
            <w:vAlign w:val="center"/>
          </w:tcPr>
          <w:p w14:paraId="7C3BF4D6" w14:textId="77777777" w:rsidR="00003AE7" w:rsidRDefault="00000000">
            <w:r>
              <w:rPr>
                <w:color w:val="000000"/>
                <w:sz w:val="19"/>
                <w:szCs w:val="19"/>
              </w:rPr>
              <w:t xml:space="preserve">VP Valor Terminal (Gordon </w:t>
            </w:r>
            <w:proofErr w:type="spellStart"/>
            <w:r>
              <w:rPr>
                <w:color w:val="000000"/>
                <w:sz w:val="19"/>
                <w:szCs w:val="19"/>
              </w:rPr>
              <w:t>Growth</w:t>
            </w:r>
            <w:proofErr w:type="spellEnd"/>
            <w:r>
              <w:rPr>
                <w:color w:val="000000"/>
                <w:sz w:val="19"/>
                <w:szCs w:val="19"/>
              </w:rPr>
              <w:t>)</w:t>
            </w:r>
          </w:p>
        </w:tc>
        <w:tc>
          <w:tcPr>
            <w:tcW w:w="0" w:type="auto"/>
            <w:tcMar>
              <w:top w:w="90" w:type="dxa"/>
              <w:left w:w="110" w:type="dxa"/>
              <w:bottom w:w="90" w:type="dxa"/>
              <w:right w:w="110" w:type="dxa"/>
            </w:tcMar>
            <w:vAlign w:val="center"/>
          </w:tcPr>
          <w:p w14:paraId="232CADEE" w14:textId="77777777" w:rsidR="00003AE7" w:rsidRDefault="00000000">
            <w:pPr>
              <w:jc w:val="center"/>
            </w:pPr>
            <w:r>
              <w:rPr>
                <w:color w:val="000000"/>
                <w:sz w:val="19"/>
                <w:szCs w:val="19"/>
              </w:rPr>
              <w:t>1.981,3 M€</w:t>
            </w:r>
          </w:p>
        </w:tc>
        <w:tc>
          <w:tcPr>
            <w:tcW w:w="0" w:type="auto"/>
            <w:tcMar>
              <w:top w:w="90" w:type="dxa"/>
              <w:left w:w="110" w:type="dxa"/>
              <w:bottom w:w="90" w:type="dxa"/>
              <w:right w:w="110" w:type="dxa"/>
            </w:tcMar>
            <w:vAlign w:val="center"/>
          </w:tcPr>
          <w:p w14:paraId="0419446E" w14:textId="77777777" w:rsidR="00003AE7" w:rsidRDefault="00003AE7"/>
        </w:tc>
      </w:tr>
      <w:tr w:rsidR="00003AE7" w14:paraId="5C131C6D" w14:textId="77777777">
        <w:tblPrEx>
          <w:tblCellMar>
            <w:top w:w="0" w:type="dxa"/>
            <w:bottom w:w="0" w:type="dxa"/>
          </w:tblCellMar>
        </w:tblPrEx>
        <w:tc>
          <w:tcPr>
            <w:tcW w:w="0" w:type="auto"/>
            <w:tcMar>
              <w:top w:w="90" w:type="dxa"/>
              <w:left w:w="110" w:type="dxa"/>
              <w:bottom w:w="90" w:type="dxa"/>
              <w:right w:w="110" w:type="dxa"/>
            </w:tcMar>
            <w:vAlign w:val="center"/>
          </w:tcPr>
          <w:p w14:paraId="61C253A1" w14:textId="77777777" w:rsidR="00003AE7" w:rsidRDefault="00000000">
            <w:r>
              <w:rPr>
                <w:color w:val="000000"/>
                <w:sz w:val="19"/>
                <w:szCs w:val="19"/>
              </w:rPr>
              <w:t>VP Valor Terminal (Múltiplo salida)</w:t>
            </w:r>
          </w:p>
        </w:tc>
        <w:tc>
          <w:tcPr>
            <w:tcW w:w="0" w:type="auto"/>
            <w:tcMar>
              <w:top w:w="90" w:type="dxa"/>
              <w:left w:w="110" w:type="dxa"/>
              <w:bottom w:w="90" w:type="dxa"/>
              <w:right w:w="110" w:type="dxa"/>
            </w:tcMar>
            <w:vAlign w:val="center"/>
          </w:tcPr>
          <w:p w14:paraId="770F32C8" w14:textId="77777777" w:rsidR="00003AE7" w:rsidRDefault="00000000">
            <w:pPr>
              <w:jc w:val="center"/>
            </w:pPr>
            <w:r>
              <w:rPr>
                <w:color w:val="000000"/>
                <w:sz w:val="19"/>
                <w:szCs w:val="19"/>
              </w:rPr>
              <w:t>3.309,6 M€</w:t>
            </w:r>
          </w:p>
        </w:tc>
        <w:tc>
          <w:tcPr>
            <w:tcW w:w="0" w:type="auto"/>
            <w:tcMar>
              <w:top w:w="90" w:type="dxa"/>
              <w:left w:w="110" w:type="dxa"/>
              <w:bottom w:w="90" w:type="dxa"/>
              <w:right w:w="110" w:type="dxa"/>
            </w:tcMar>
            <w:vAlign w:val="center"/>
          </w:tcPr>
          <w:p w14:paraId="1D1C270F" w14:textId="77777777" w:rsidR="00003AE7" w:rsidRDefault="00003AE7"/>
        </w:tc>
      </w:tr>
      <w:tr w:rsidR="00003AE7" w14:paraId="648944CE" w14:textId="77777777">
        <w:tblPrEx>
          <w:tblCellMar>
            <w:top w:w="0" w:type="dxa"/>
            <w:bottom w:w="0" w:type="dxa"/>
          </w:tblCellMar>
        </w:tblPrEx>
        <w:tc>
          <w:tcPr>
            <w:tcW w:w="0" w:type="auto"/>
            <w:tcMar>
              <w:top w:w="90" w:type="dxa"/>
              <w:left w:w="110" w:type="dxa"/>
              <w:bottom w:w="90" w:type="dxa"/>
              <w:right w:w="110" w:type="dxa"/>
            </w:tcMar>
            <w:vAlign w:val="center"/>
          </w:tcPr>
          <w:p w14:paraId="6436615B" w14:textId="77777777" w:rsidR="00003AE7" w:rsidRDefault="00000000">
            <w:r>
              <w:rPr>
                <w:b/>
                <w:bCs/>
                <w:color w:val="000000"/>
                <w:sz w:val="19"/>
                <w:szCs w:val="19"/>
              </w:rPr>
              <w:t>VP Valor Terminal (Triangulado, promedio)</w:t>
            </w:r>
          </w:p>
        </w:tc>
        <w:tc>
          <w:tcPr>
            <w:tcW w:w="0" w:type="auto"/>
            <w:tcMar>
              <w:top w:w="90" w:type="dxa"/>
              <w:left w:w="110" w:type="dxa"/>
              <w:bottom w:w="90" w:type="dxa"/>
              <w:right w:w="110" w:type="dxa"/>
            </w:tcMar>
            <w:vAlign w:val="center"/>
          </w:tcPr>
          <w:p w14:paraId="1541BF25" w14:textId="77777777" w:rsidR="00003AE7" w:rsidRDefault="00000000">
            <w:pPr>
              <w:jc w:val="center"/>
            </w:pPr>
            <w:r>
              <w:rPr>
                <w:b/>
                <w:bCs/>
                <w:color w:val="000000"/>
                <w:sz w:val="19"/>
                <w:szCs w:val="19"/>
              </w:rPr>
              <w:t>2.645,5 M€</w:t>
            </w:r>
          </w:p>
        </w:tc>
        <w:tc>
          <w:tcPr>
            <w:tcW w:w="0" w:type="auto"/>
            <w:tcMar>
              <w:top w:w="90" w:type="dxa"/>
              <w:left w:w="110" w:type="dxa"/>
              <w:bottom w:w="90" w:type="dxa"/>
              <w:right w:w="110" w:type="dxa"/>
            </w:tcMar>
            <w:vAlign w:val="center"/>
          </w:tcPr>
          <w:p w14:paraId="164EB52D" w14:textId="77777777" w:rsidR="00003AE7" w:rsidRDefault="00000000">
            <w:r>
              <w:rPr>
                <w:b/>
                <w:bCs/>
                <w:color w:val="000000"/>
                <w:sz w:val="18"/>
                <w:szCs w:val="18"/>
              </w:rPr>
              <w:t xml:space="preserve">67% del Enterprise </w:t>
            </w:r>
            <w:proofErr w:type="spellStart"/>
            <w:r>
              <w:rPr>
                <w:b/>
                <w:bCs/>
                <w:color w:val="000000"/>
                <w:sz w:val="18"/>
                <w:szCs w:val="18"/>
              </w:rPr>
              <w:t>Value</w:t>
            </w:r>
            <w:proofErr w:type="spellEnd"/>
            <w:r>
              <w:rPr>
                <w:b/>
                <w:bCs/>
                <w:color w:val="000000"/>
                <w:sz w:val="18"/>
                <w:szCs w:val="18"/>
              </w:rPr>
              <w:t xml:space="preserve"> — ver nota de riesgo abajo</w:t>
            </w:r>
          </w:p>
        </w:tc>
      </w:tr>
      <w:tr w:rsidR="00003AE7" w14:paraId="2A73A60F" w14:textId="77777777">
        <w:tblPrEx>
          <w:tblCellMar>
            <w:top w:w="0" w:type="dxa"/>
            <w:bottom w:w="0" w:type="dxa"/>
          </w:tblCellMar>
        </w:tblPrEx>
        <w:tc>
          <w:tcPr>
            <w:tcW w:w="0" w:type="auto"/>
            <w:tcMar>
              <w:top w:w="90" w:type="dxa"/>
              <w:left w:w="110" w:type="dxa"/>
              <w:bottom w:w="90" w:type="dxa"/>
              <w:right w:w="110" w:type="dxa"/>
            </w:tcMar>
            <w:vAlign w:val="center"/>
          </w:tcPr>
          <w:p w14:paraId="01217B4A" w14:textId="77777777" w:rsidR="00003AE7" w:rsidRDefault="00000000">
            <w:r>
              <w:rPr>
                <w:b/>
                <w:bCs/>
                <w:color w:val="000000"/>
                <w:sz w:val="19"/>
                <w:szCs w:val="19"/>
              </w:rPr>
              <w:t xml:space="preserve">Enterprise </w:t>
            </w:r>
            <w:proofErr w:type="spellStart"/>
            <w:r>
              <w:rPr>
                <w:b/>
                <w:bCs/>
                <w:color w:val="000000"/>
                <w:sz w:val="19"/>
                <w:szCs w:val="19"/>
              </w:rPr>
              <w:t>Value</w:t>
            </w:r>
            <w:proofErr w:type="spellEnd"/>
          </w:p>
        </w:tc>
        <w:tc>
          <w:tcPr>
            <w:tcW w:w="0" w:type="auto"/>
            <w:tcMar>
              <w:top w:w="90" w:type="dxa"/>
              <w:left w:w="110" w:type="dxa"/>
              <w:bottom w:w="90" w:type="dxa"/>
              <w:right w:w="110" w:type="dxa"/>
            </w:tcMar>
            <w:vAlign w:val="center"/>
          </w:tcPr>
          <w:p w14:paraId="7C83814C" w14:textId="77777777" w:rsidR="00003AE7" w:rsidRDefault="00000000">
            <w:pPr>
              <w:jc w:val="center"/>
            </w:pPr>
            <w:r>
              <w:rPr>
                <w:b/>
                <w:bCs/>
                <w:color w:val="000000"/>
                <w:sz w:val="19"/>
                <w:szCs w:val="19"/>
              </w:rPr>
              <w:t>3.922,5 M€</w:t>
            </w:r>
          </w:p>
        </w:tc>
        <w:tc>
          <w:tcPr>
            <w:tcW w:w="0" w:type="auto"/>
            <w:tcMar>
              <w:top w:w="90" w:type="dxa"/>
              <w:left w:w="110" w:type="dxa"/>
              <w:bottom w:w="90" w:type="dxa"/>
              <w:right w:w="110" w:type="dxa"/>
            </w:tcMar>
            <w:vAlign w:val="center"/>
          </w:tcPr>
          <w:p w14:paraId="5C044263" w14:textId="77777777" w:rsidR="00003AE7" w:rsidRDefault="00000000">
            <w:r>
              <w:rPr>
                <w:color w:val="000000"/>
                <w:sz w:val="18"/>
                <w:szCs w:val="18"/>
              </w:rPr>
              <w:t>vs. EV de mercado actual: 3.026,82 M€ (</w:t>
            </w:r>
            <w:proofErr w:type="spellStart"/>
            <w:r>
              <w:rPr>
                <w:color w:val="000000"/>
                <w:sz w:val="18"/>
                <w:szCs w:val="18"/>
              </w:rPr>
              <w:t>MarketScreener</w:t>
            </w:r>
            <w:proofErr w:type="spellEnd"/>
            <w:r>
              <w:rPr>
                <w:color w:val="000000"/>
                <w:sz w:val="18"/>
                <w:szCs w:val="18"/>
              </w:rPr>
              <w:t>) — brecha del 30%</w:t>
            </w:r>
          </w:p>
        </w:tc>
      </w:tr>
      <w:tr w:rsidR="00003AE7" w14:paraId="7769C16D" w14:textId="77777777">
        <w:tblPrEx>
          <w:tblCellMar>
            <w:top w:w="0" w:type="dxa"/>
            <w:bottom w:w="0" w:type="dxa"/>
          </w:tblCellMar>
        </w:tblPrEx>
        <w:tc>
          <w:tcPr>
            <w:tcW w:w="0" w:type="auto"/>
            <w:tcMar>
              <w:top w:w="90" w:type="dxa"/>
              <w:left w:w="110" w:type="dxa"/>
              <w:bottom w:w="90" w:type="dxa"/>
              <w:right w:w="110" w:type="dxa"/>
            </w:tcMar>
            <w:vAlign w:val="center"/>
          </w:tcPr>
          <w:p w14:paraId="31B65BFA" w14:textId="77777777" w:rsidR="00003AE7" w:rsidRDefault="00000000">
            <w:r>
              <w:rPr>
                <w:color w:val="000000"/>
                <w:sz w:val="19"/>
                <w:szCs w:val="19"/>
              </w:rPr>
              <w:t>(–) Deuda Neta</w:t>
            </w:r>
          </w:p>
        </w:tc>
        <w:tc>
          <w:tcPr>
            <w:tcW w:w="0" w:type="auto"/>
            <w:tcMar>
              <w:top w:w="90" w:type="dxa"/>
              <w:left w:w="110" w:type="dxa"/>
              <w:bottom w:w="90" w:type="dxa"/>
              <w:right w:w="110" w:type="dxa"/>
            </w:tcMar>
            <w:vAlign w:val="center"/>
          </w:tcPr>
          <w:p w14:paraId="3BF34715" w14:textId="77777777" w:rsidR="00003AE7" w:rsidRDefault="00000000">
            <w:pPr>
              <w:jc w:val="center"/>
            </w:pPr>
            <w:r>
              <w:rPr>
                <w:color w:val="000000"/>
                <w:sz w:val="19"/>
                <w:szCs w:val="19"/>
              </w:rPr>
              <w:t>2.160 M€</w:t>
            </w:r>
          </w:p>
        </w:tc>
        <w:tc>
          <w:tcPr>
            <w:tcW w:w="0" w:type="auto"/>
            <w:tcMar>
              <w:top w:w="90" w:type="dxa"/>
              <w:left w:w="110" w:type="dxa"/>
              <w:bottom w:w="90" w:type="dxa"/>
              <w:right w:w="110" w:type="dxa"/>
            </w:tcMar>
            <w:vAlign w:val="center"/>
          </w:tcPr>
          <w:p w14:paraId="7EFAD27B" w14:textId="77777777" w:rsidR="00003AE7" w:rsidRDefault="00000000">
            <w:r>
              <w:rPr>
                <w:color w:val="000000"/>
                <w:sz w:val="18"/>
                <w:szCs w:val="18"/>
              </w:rPr>
              <w:t>Incluye ~1.300M€ de pasivos por arrendamiento IFRS16</w:t>
            </w:r>
          </w:p>
        </w:tc>
      </w:tr>
      <w:tr w:rsidR="00003AE7" w14:paraId="621A372E" w14:textId="77777777">
        <w:tblPrEx>
          <w:tblCellMar>
            <w:top w:w="0" w:type="dxa"/>
            <w:bottom w:w="0" w:type="dxa"/>
          </w:tblCellMar>
        </w:tblPrEx>
        <w:tc>
          <w:tcPr>
            <w:tcW w:w="0" w:type="auto"/>
            <w:tcMar>
              <w:top w:w="90" w:type="dxa"/>
              <w:left w:w="110" w:type="dxa"/>
              <w:bottom w:w="90" w:type="dxa"/>
              <w:right w:w="110" w:type="dxa"/>
            </w:tcMar>
            <w:vAlign w:val="center"/>
          </w:tcPr>
          <w:p w14:paraId="2F2E5F78" w14:textId="77777777" w:rsidR="00003AE7" w:rsidRDefault="00000000">
            <w:r>
              <w:rPr>
                <w:color w:val="000000"/>
                <w:sz w:val="19"/>
                <w:szCs w:val="19"/>
              </w:rPr>
              <w:t>(–) Intereses Minoritarios</w:t>
            </w:r>
          </w:p>
        </w:tc>
        <w:tc>
          <w:tcPr>
            <w:tcW w:w="0" w:type="auto"/>
            <w:tcMar>
              <w:top w:w="90" w:type="dxa"/>
              <w:left w:w="110" w:type="dxa"/>
              <w:bottom w:w="90" w:type="dxa"/>
              <w:right w:w="110" w:type="dxa"/>
            </w:tcMar>
            <w:vAlign w:val="center"/>
          </w:tcPr>
          <w:p w14:paraId="21115596" w14:textId="77777777" w:rsidR="00003AE7" w:rsidRDefault="00000000">
            <w:pPr>
              <w:jc w:val="center"/>
            </w:pPr>
            <w:r>
              <w:rPr>
                <w:color w:val="000000"/>
                <w:sz w:val="19"/>
                <w:szCs w:val="19"/>
              </w:rPr>
              <w:t>15 M€</w:t>
            </w:r>
          </w:p>
        </w:tc>
        <w:tc>
          <w:tcPr>
            <w:tcW w:w="0" w:type="auto"/>
            <w:tcMar>
              <w:top w:w="90" w:type="dxa"/>
              <w:left w:w="110" w:type="dxa"/>
              <w:bottom w:w="90" w:type="dxa"/>
              <w:right w:w="110" w:type="dxa"/>
            </w:tcMar>
            <w:vAlign w:val="center"/>
          </w:tcPr>
          <w:p w14:paraId="310D30E9" w14:textId="77777777" w:rsidR="00003AE7" w:rsidRDefault="00000000">
            <w:r>
              <w:rPr>
                <w:color w:val="000000"/>
                <w:sz w:val="18"/>
                <w:szCs w:val="18"/>
              </w:rPr>
              <w:t>Estimación — sin desglose público preciso</w:t>
            </w:r>
          </w:p>
        </w:tc>
      </w:tr>
      <w:tr w:rsidR="00003AE7" w14:paraId="1EF55538" w14:textId="77777777">
        <w:tblPrEx>
          <w:tblCellMar>
            <w:top w:w="0" w:type="dxa"/>
            <w:bottom w:w="0" w:type="dxa"/>
          </w:tblCellMar>
        </w:tblPrEx>
        <w:tc>
          <w:tcPr>
            <w:tcW w:w="0" w:type="auto"/>
            <w:tcMar>
              <w:top w:w="90" w:type="dxa"/>
              <w:left w:w="110" w:type="dxa"/>
              <w:bottom w:w="90" w:type="dxa"/>
              <w:right w:w="110" w:type="dxa"/>
            </w:tcMar>
            <w:vAlign w:val="center"/>
          </w:tcPr>
          <w:p w14:paraId="22C3C611" w14:textId="77777777" w:rsidR="00003AE7" w:rsidRDefault="00000000">
            <w:proofErr w:type="spellStart"/>
            <w:r>
              <w:rPr>
                <w:b/>
                <w:bCs/>
                <w:color w:val="000000"/>
                <w:sz w:val="19"/>
                <w:szCs w:val="19"/>
              </w:rPr>
              <w:t>Equity</w:t>
            </w:r>
            <w:proofErr w:type="spellEnd"/>
            <w:r>
              <w:rPr>
                <w:b/>
                <w:bCs/>
                <w:color w:val="000000"/>
                <w:sz w:val="19"/>
                <w:szCs w:val="19"/>
              </w:rPr>
              <w:t xml:space="preserve"> </w:t>
            </w:r>
            <w:proofErr w:type="spellStart"/>
            <w:r>
              <w:rPr>
                <w:b/>
                <w:bCs/>
                <w:color w:val="000000"/>
                <w:sz w:val="19"/>
                <w:szCs w:val="19"/>
              </w:rPr>
              <w:t>Value</w:t>
            </w:r>
            <w:proofErr w:type="spellEnd"/>
          </w:p>
        </w:tc>
        <w:tc>
          <w:tcPr>
            <w:tcW w:w="0" w:type="auto"/>
            <w:tcMar>
              <w:top w:w="90" w:type="dxa"/>
              <w:left w:w="110" w:type="dxa"/>
              <w:bottom w:w="90" w:type="dxa"/>
              <w:right w:w="110" w:type="dxa"/>
            </w:tcMar>
            <w:vAlign w:val="center"/>
          </w:tcPr>
          <w:p w14:paraId="4B92324C" w14:textId="77777777" w:rsidR="00003AE7" w:rsidRDefault="00000000">
            <w:pPr>
              <w:jc w:val="center"/>
            </w:pPr>
            <w:r>
              <w:rPr>
                <w:b/>
                <w:bCs/>
                <w:color w:val="000000"/>
                <w:sz w:val="19"/>
                <w:szCs w:val="19"/>
              </w:rPr>
              <w:t>1.747,5 M€</w:t>
            </w:r>
          </w:p>
        </w:tc>
        <w:tc>
          <w:tcPr>
            <w:tcW w:w="0" w:type="auto"/>
            <w:tcMar>
              <w:top w:w="90" w:type="dxa"/>
              <w:left w:w="110" w:type="dxa"/>
              <w:bottom w:w="90" w:type="dxa"/>
              <w:right w:w="110" w:type="dxa"/>
            </w:tcMar>
            <w:vAlign w:val="center"/>
          </w:tcPr>
          <w:p w14:paraId="42A06952" w14:textId="77777777" w:rsidR="00003AE7" w:rsidRDefault="00003AE7"/>
        </w:tc>
      </w:tr>
      <w:tr w:rsidR="00003AE7" w14:paraId="6CFAB721" w14:textId="77777777">
        <w:tblPrEx>
          <w:tblCellMar>
            <w:top w:w="0" w:type="dxa"/>
            <w:bottom w:w="0" w:type="dxa"/>
          </w:tblCellMar>
        </w:tblPrEx>
        <w:tc>
          <w:tcPr>
            <w:tcW w:w="0" w:type="auto"/>
            <w:tcMar>
              <w:top w:w="90" w:type="dxa"/>
              <w:left w:w="110" w:type="dxa"/>
              <w:bottom w:w="90" w:type="dxa"/>
              <w:right w:w="110" w:type="dxa"/>
            </w:tcMar>
            <w:vAlign w:val="center"/>
          </w:tcPr>
          <w:p w14:paraId="44D3046F" w14:textId="77777777" w:rsidR="00003AE7" w:rsidRDefault="00000000">
            <w:r>
              <w:rPr>
                <w:color w:val="000000"/>
                <w:sz w:val="19"/>
                <w:szCs w:val="19"/>
              </w:rPr>
              <w:t>(/) Acciones Totalmente Diluidas</w:t>
            </w:r>
          </w:p>
        </w:tc>
        <w:tc>
          <w:tcPr>
            <w:tcW w:w="0" w:type="auto"/>
            <w:tcMar>
              <w:top w:w="90" w:type="dxa"/>
              <w:left w:w="110" w:type="dxa"/>
              <w:bottom w:w="90" w:type="dxa"/>
              <w:right w:w="110" w:type="dxa"/>
            </w:tcMar>
            <w:vAlign w:val="center"/>
          </w:tcPr>
          <w:p w14:paraId="6E5DEDEA" w14:textId="77777777" w:rsidR="00003AE7" w:rsidRDefault="00000000">
            <w:pPr>
              <w:jc w:val="center"/>
            </w:pPr>
            <w:r>
              <w:rPr>
                <w:color w:val="000000"/>
                <w:sz w:val="19"/>
                <w:szCs w:val="19"/>
              </w:rPr>
              <w:t>108,69 M</w:t>
            </w:r>
          </w:p>
        </w:tc>
        <w:tc>
          <w:tcPr>
            <w:tcW w:w="0" w:type="auto"/>
            <w:tcMar>
              <w:top w:w="90" w:type="dxa"/>
              <w:left w:w="110" w:type="dxa"/>
              <w:bottom w:w="90" w:type="dxa"/>
              <w:right w:w="110" w:type="dxa"/>
            </w:tcMar>
            <w:vAlign w:val="center"/>
          </w:tcPr>
          <w:p w14:paraId="247D10D0" w14:textId="77777777" w:rsidR="00003AE7" w:rsidRDefault="00000000">
            <w:r>
              <w:rPr>
                <w:color w:val="000000"/>
                <w:sz w:val="18"/>
                <w:szCs w:val="18"/>
              </w:rPr>
              <w:t xml:space="preserve">107,692M en circulación (consistente con </w:t>
            </w:r>
            <w:proofErr w:type="spellStart"/>
            <w:r>
              <w:rPr>
                <w:color w:val="000000"/>
                <w:sz w:val="18"/>
                <w:szCs w:val="18"/>
              </w:rPr>
              <w:t>Mkt</w:t>
            </w:r>
            <w:proofErr w:type="spellEnd"/>
            <w:r>
              <w:rPr>
                <w:color w:val="000000"/>
                <w:sz w:val="18"/>
                <w:szCs w:val="18"/>
              </w:rPr>
              <w:t xml:space="preserve"> </w:t>
            </w:r>
            <w:proofErr w:type="spellStart"/>
            <w:r>
              <w:rPr>
                <w:color w:val="000000"/>
                <w:sz w:val="18"/>
                <w:szCs w:val="18"/>
              </w:rPr>
              <w:t>Cap</w:t>
            </w:r>
            <w:proofErr w:type="spellEnd"/>
            <w:r>
              <w:rPr>
                <w:color w:val="000000"/>
                <w:sz w:val="18"/>
                <w:szCs w:val="18"/>
              </w:rPr>
              <w:t xml:space="preserve"> 758M€ ÷ Precio 7,04€) + ~1M opciones estimadas</w:t>
            </w:r>
          </w:p>
        </w:tc>
      </w:tr>
      <w:tr w:rsidR="00003AE7" w14:paraId="178517B7" w14:textId="77777777">
        <w:tblPrEx>
          <w:tblCellMar>
            <w:top w:w="0" w:type="dxa"/>
            <w:bottom w:w="0" w:type="dxa"/>
          </w:tblCellMar>
        </w:tblPrEx>
        <w:tc>
          <w:tcPr>
            <w:tcW w:w="0" w:type="auto"/>
            <w:tcMar>
              <w:top w:w="90" w:type="dxa"/>
              <w:left w:w="110" w:type="dxa"/>
              <w:bottom w:w="90" w:type="dxa"/>
              <w:right w:w="110" w:type="dxa"/>
            </w:tcMar>
            <w:vAlign w:val="center"/>
          </w:tcPr>
          <w:p w14:paraId="69505656" w14:textId="77777777" w:rsidR="00003AE7" w:rsidRDefault="00000000">
            <w:r>
              <w:rPr>
                <w:b/>
                <w:bCs/>
                <w:color w:val="1F3864"/>
              </w:rPr>
              <w:t>VALOR INTRÍNSECO POR ACCIÓN</w:t>
            </w:r>
          </w:p>
        </w:tc>
        <w:tc>
          <w:tcPr>
            <w:tcW w:w="0" w:type="auto"/>
            <w:tcMar>
              <w:top w:w="90" w:type="dxa"/>
              <w:left w:w="110" w:type="dxa"/>
              <w:bottom w:w="90" w:type="dxa"/>
              <w:right w:w="110" w:type="dxa"/>
            </w:tcMar>
            <w:vAlign w:val="center"/>
          </w:tcPr>
          <w:p w14:paraId="4A0D09EB" w14:textId="77777777" w:rsidR="00003AE7" w:rsidRDefault="00000000">
            <w:pPr>
              <w:jc w:val="center"/>
            </w:pPr>
            <w:r>
              <w:rPr>
                <w:b/>
                <w:bCs/>
                <w:color w:val="1F3864"/>
                <w:sz w:val="24"/>
                <w:szCs w:val="24"/>
              </w:rPr>
              <w:t>16,08 €</w:t>
            </w:r>
          </w:p>
        </w:tc>
        <w:tc>
          <w:tcPr>
            <w:tcW w:w="0" w:type="auto"/>
            <w:tcMar>
              <w:top w:w="90" w:type="dxa"/>
              <w:left w:w="110" w:type="dxa"/>
              <w:bottom w:w="90" w:type="dxa"/>
              <w:right w:w="110" w:type="dxa"/>
            </w:tcMar>
            <w:vAlign w:val="center"/>
          </w:tcPr>
          <w:p w14:paraId="71424CB1" w14:textId="77777777" w:rsidR="00003AE7" w:rsidRDefault="00003AE7"/>
        </w:tc>
      </w:tr>
    </w:tbl>
    <w:p w14:paraId="67EB933B" w14:textId="77777777" w:rsidR="00003AE7" w:rsidRDefault="00003AE7">
      <w:pPr>
        <w:spacing w:after="140"/>
      </w:pPr>
    </w:p>
    <w:p w14:paraId="5F53D2D0" w14:textId="77777777" w:rsidR="00F41835" w:rsidRDefault="00F41835">
      <w:pPr>
        <w:spacing w:after="140"/>
      </w:pPr>
    </w:p>
    <w:p w14:paraId="6D80BF44" w14:textId="77777777" w:rsidR="00F41835" w:rsidRDefault="00F41835">
      <w:pPr>
        <w:spacing w:after="140"/>
      </w:pPr>
    </w:p>
    <w:tbl>
      <w:tblPr>
        <w:tblW w:w="9350" w:type="dxa"/>
        <w:tblBorders>
          <w:top w:val="single" w:sz="12" w:space="0" w:color="C00000"/>
          <w:left w:val="single" w:sz="12" w:space="0" w:color="C00000"/>
          <w:bottom w:val="single" w:sz="12" w:space="0" w:color="C00000"/>
          <w:right w:val="single" w:sz="12" w:space="0" w:color="C00000"/>
        </w:tblBorders>
        <w:tblCellMar>
          <w:left w:w="10" w:type="dxa"/>
          <w:right w:w="10" w:type="dxa"/>
        </w:tblCellMar>
        <w:tblLook w:val="04A0" w:firstRow="1" w:lastRow="0" w:firstColumn="1" w:lastColumn="0" w:noHBand="0" w:noVBand="1"/>
      </w:tblPr>
      <w:tblGrid>
        <w:gridCol w:w="9350"/>
      </w:tblGrid>
      <w:tr w:rsidR="00003AE7" w14:paraId="565A8C15" w14:textId="77777777">
        <w:tblPrEx>
          <w:tblCellMar>
            <w:top w:w="0" w:type="dxa"/>
            <w:bottom w:w="0" w:type="dxa"/>
          </w:tblCellMar>
        </w:tblPrEx>
        <w:trPr>
          <w:cantSplit/>
        </w:trPr>
        <w:tc>
          <w:tcPr>
            <w:tcW w:w="0" w:type="auto"/>
            <w:shd w:val="clear" w:color="auto" w:fill="FCE4E4"/>
            <w:tcMar>
              <w:top w:w="160" w:type="dxa"/>
              <w:left w:w="200" w:type="dxa"/>
              <w:bottom w:w="160" w:type="dxa"/>
              <w:right w:w="200" w:type="dxa"/>
            </w:tcMar>
          </w:tcPr>
          <w:p w14:paraId="537C30C6" w14:textId="77777777" w:rsidR="00003AE7" w:rsidRDefault="00000000">
            <w:pPr>
              <w:spacing w:after="120"/>
            </w:pPr>
            <w:r>
              <w:rPr>
                <w:b/>
                <w:bCs/>
                <w:color w:val="C00000"/>
              </w:rPr>
              <w:t>⚠ RIESGO CLAVE — CONCENTRACIÓN DEL VALOR EN EL VALOR TERMINAL</w:t>
            </w:r>
          </w:p>
          <w:p w14:paraId="5E67FCCF" w14:textId="77777777" w:rsidR="00003AE7" w:rsidRDefault="00000000">
            <w:pPr>
              <w:spacing w:after="100"/>
              <w:jc w:val="both"/>
            </w:pPr>
            <w:r>
              <w:rPr>
                <w:color w:val="000000"/>
                <w:sz w:val="20"/>
                <w:szCs w:val="20"/>
              </w:rPr>
              <w:t xml:space="preserve">El 67% del Enterprise </w:t>
            </w:r>
            <w:proofErr w:type="spellStart"/>
            <w:r>
              <w:rPr>
                <w:color w:val="000000"/>
                <w:sz w:val="20"/>
                <w:szCs w:val="20"/>
              </w:rPr>
              <w:t>Value</w:t>
            </w:r>
            <w:proofErr w:type="spellEnd"/>
            <w:r>
              <w:rPr>
                <w:color w:val="000000"/>
                <w:sz w:val="20"/>
                <w:szCs w:val="20"/>
              </w:rPr>
              <w:t xml:space="preserve"> proviene del valor terminal (más allá del Año 5), no de los flujos de caja explícitamente proyectados. La valoración es, por tanto, altamente sensible a los supuestos de largo plazo. La tabla de sensibilidad del modelo Excel muestra un rango de 5,26€ a 17,71€/acción moviendo el WACC entre 8,0% y 10,2%, y la g entre 0% y 2% — un rango que, de forma importante, SÍ incluye el precio actual de mercado (7,04€) dentro de combinaciones razonables (WACC ~10%, g ~0,5-1%), a diferencia de la primera versión de este modelo (ver nota metodológica de corrección más abajo).</w:t>
            </w:r>
          </w:p>
        </w:tc>
      </w:tr>
    </w:tbl>
    <w:p w14:paraId="4289B997" w14:textId="2A753F61" w:rsidR="00003AE7" w:rsidRDefault="00000000">
      <w:pPr>
        <w:pStyle w:val="Ttulo2"/>
        <w:keepNext/>
        <w:keepLines/>
        <w:spacing w:before="280" w:after="140"/>
      </w:pPr>
      <w:r>
        <w:rPr>
          <w:b/>
          <w:bCs/>
          <w:color w:val="1F3864"/>
          <w:sz w:val="24"/>
          <w:szCs w:val="24"/>
        </w:rPr>
        <w:lastRenderedPageBreak/>
        <w:t>5.4 Comparación con cotización y consenso de mercado</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95"/>
        <w:gridCol w:w="1813"/>
        <w:gridCol w:w="2942"/>
      </w:tblGrid>
      <w:tr w:rsidR="00003AE7" w14:paraId="6BBA628E" w14:textId="77777777">
        <w:tblPrEx>
          <w:tblCellMar>
            <w:top w:w="0" w:type="dxa"/>
            <w:bottom w:w="0" w:type="dxa"/>
          </w:tblCellMar>
        </w:tblPrEx>
        <w:tc>
          <w:tcPr>
            <w:tcW w:w="0" w:type="auto"/>
            <w:shd w:val="clear" w:color="auto" w:fill="D9E2F3"/>
            <w:tcMar>
              <w:top w:w="90" w:type="dxa"/>
              <w:left w:w="110" w:type="dxa"/>
              <w:bottom w:w="90" w:type="dxa"/>
              <w:right w:w="110" w:type="dxa"/>
            </w:tcMar>
            <w:vAlign w:val="center"/>
          </w:tcPr>
          <w:p w14:paraId="38A1A701" w14:textId="77777777" w:rsidR="00003AE7" w:rsidRDefault="00000000">
            <w:r>
              <w:rPr>
                <w:b/>
                <w:bCs/>
                <w:color w:val="000000"/>
                <w:sz w:val="19"/>
                <w:szCs w:val="19"/>
              </w:rPr>
              <w:t>Referencia</w:t>
            </w:r>
          </w:p>
        </w:tc>
        <w:tc>
          <w:tcPr>
            <w:tcW w:w="0" w:type="auto"/>
            <w:shd w:val="clear" w:color="auto" w:fill="D9E2F3"/>
            <w:tcMar>
              <w:top w:w="90" w:type="dxa"/>
              <w:left w:w="110" w:type="dxa"/>
              <w:bottom w:w="90" w:type="dxa"/>
              <w:right w:w="110" w:type="dxa"/>
            </w:tcMar>
            <w:vAlign w:val="center"/>
          </w:tcPr>
          <w:p w14:paraId="2C90A057" w14:textId="77777777" w:rsidR="00003AE7" w:rsidRDefault="00000000">
            <w:pPr>
              <w:jc w:val="center"/>
            </w:pPr>
            <w:r>
              <w:rPr>
                <w:b/>
                <w:bCs/>
                <w:color w:val="000000"/>
                <w:sz w:val="19"/>
                <w:szCs w:val="19"/>
              </w:rPr>
              <w:t>Precio / Valor</w:t>
            </w:r>
          </w:p>
        </w:tc>
        <w:tc>
          <w:tcPr>
            <w:tcW w:w="0" w:type="auto"/>
            <w:shd w:val="clear" w:color="auto" w:fill="D9E2F3"/>
            <w:tcMar>
              <w:top w:w="90" w:type="dxa"/>
              <w:left w:w="110" w:type="dxa"/>
              <w:bottom w:w="90" w:type="dxa"/>
              <w:right w:w="110" w:type="dxa"/>
            </w:tcMar>
            <w:vAlign w:val="center"/>
          </w:tcPr>
          <w:p w14:paraId="4363EE51" w14:textId="77777777" w:rsidR="00003AE7" w:rsidRDefault="00000000">
            <w:pPr>
              <w:jc w:val="center"/>
            </w:pPr>
            <w:r>
              <w:rPr>
                <w:b/>
                <w:bCs/>
                <w:color w:val="000000"/>
                <w:sz w:val="19"/>
                <w:szCs w:val="19"/>
              </w:rPr>
              <w:t>vs. Precio Actual (7,04€)</w:t>
            </w:r>
          </w:p>
        </w:tc>
      </w:tr>
      <w:tr w:rsidR="00003AE7" w14:paraId="2A9793D2" w14:textId="77777777">
        <w:tblPrEx>
          <w:tblCellMar>
            <w:top w:w="0" w:type="dxa"/>
            <w:bottom w:w="0" w:type="dxa"/>
          </w:tblCellMar>
        </w:tblPrEx>
        <w:tc>
          <w:tcPr>
            <w:tcW w:w="0" w:type="auto"/>
            <w:tcMar>
              <w:top w:w="90" w:type="dxa"/>
              <w:left w:w="110" w:type="dxa"/>
              <w:bottom w:w="90" w:type="dxa"/>
              <w:right w:w="110" w:type="dxa"/>
            </w:tcMar>
            <w:vAlign w:val="center"/>
          </w:tcPr>
          <w:p w14:paraId="6863C636" w14:textId="77777777" w:rsidR="00003AE7" w:rsidRDefault="00000000">
            <w:r>
              <w:rPr>
                <w:color w:val="000000"/>
                <w:sz w:val="19"/>
                <w:szCs w:val="19"/>
              </w:rPr>
              <w:t>Precio actual (21 sept. 2026)</w:t>
            </w:r>
          </w:p>
        </w:tc>
        <w:tc>
          <w:tcPr>
            <w:tcW w:w="0" w:type="auto"/>
            <w:tcMar>
              <w:top w:w="90" w:type="dxa"/>
              <w:left w:w="110" w:type="dxa"/>
              <w:bottom w:w="90" w:type="dxa"/>
              <w:right w:w="110" w:type="dxa"/>
            </w:tcMar>
            <w:vAlign w:val="center"/>
          </w:tcPr>
          <w:p w14:paraId="56B803B8" w14:textId="77777777" w:rsidR="00003AE7" w:rsidRDefault="00000000">
            <w:pPr>
              <w:jc w:val="center"/>
            </w:pPr>
            <w:r>
              <w:rPr>
                <w:color w:val="000000"/>
                <w:sz w:val="19"/>
                <w:szCs w:val="19"/>
              </w:rPr>
              <w:t>7,04 €</w:t>
            </w:r>
          </w:p>
        </w:tc>
        <w:tc>
          <w:tcPr>
            <w:tcW w:w="0" w:type="auto"/>
            <w:tcMar>
              <w:top w:w="90" w:type="dxa"/>
              <w:left w:w="110" w:type="dxa"/>
              <w:bottom w:w="90" w:type="dxa"/>
              <w:right w:w="110" w:type="dxa"/>
            </w:tcMar>
            <w:vAlign w:val="center"/>
          </w:tcPr>
          <w:p w14:paraId="6C739E94" w14:textId="77777777" w:rsidR="00003AE7" w:rsidRDefault="00000000">
            <w:pPr>
              <w:jc w:val="center"/>
            </w:pPr>
            <w:r>
              <w:rPr>
                <w:color w:val="000000"/>
                <w:sz w:val="19"/>
                <w:szCs w:val="19"/>
              </w:rPr>
              <w:t>—</w:t>
            </w:r>
          </w:p>
        </w:tc>
      </w:tr>
      <w:tr w:rsidR="00003AE7" w14:paraId="13A785A2" w14:textId="77777777">
        <w:tblPrEx>
          <w:tblCellMar>
            <w:top w:w="0" w:type="dxa"/>
            <w:bottom w:w="0" w:type="dxa"/>
          </w:tblCellMar>
        </w:tblPrEx>
        <w:tc>
          <w:tcPr>
            <w:tcW w:w="0" w:type="auto"/>
            <w:tcMar>
              <w:top w:w="90" w:type="dxa"/>
              <w:left w:w="110" w:type="dxa"/>
              <w:bottom w:w="90" w:type="dxa"/>
              <w:right w:w="110" w:type="dxa"/>
            </w:tcMar>
            <w:vAlign w:val="center"/>
          </w:tcPr>
          <w:p w14:paraId="140EA31A" w14:textId="77777777" w:rsidR="00003AE7" w:rsidRDefault="00000000">
            <w:r>
              <w:rPr>
                <w:b/>
                <w:bCs/>
                <w:color w:val="000000"/>
                <w:sz w:val="19"/>
                <w:szCs w:val="19"/>
              </w:rPr>
              <w:t>DCF Jaime Danus (esta tesis, corregido)</w:t>
            </w:r>
          </w:p>
        </w:tc>
        <w:tc>
          <w:tcPr>
            <w:tcW w:w="0" w:type="auto"/>
            <w:tcMar>
              <w:top w:w="90" w:type="dxa"/>
              <w:left w:w="110" w:type="dxa"/>
              <w:bottom w:w="90" w:type="dxa"/>
              <w:right w:w="110" w:type="dxa"/>
            </w:tcMar>
            <w:vAlign w:val="center"/>
          </w:tcPr>
          <w:p w14:paraId="1093DEAF" w14:textId="77777777" w:rsidR="00003AE7" w:rsidRDefault="00000000">
            <w:pPr>
              <w:jc w:val="center"/>
            </w:pPr>
            <w:r>
              <w:rPr>
                <w:b/>
                <w:bCs/>
                <w:color w:val="000000"/>
                <w:sz w:val="19"/>
                <w:szCs w:val="19"/>
              </w:rPr>
              <w:t>16,08 €</w:t>
            </w:r>
          </w:p>
        </w:tc>
        <w:tc>
          <w:tcPr>
            <w:tcW w:w="0" w:type="auto"/>
            <w:tcMar>
              <w:top w:w="90" w:type="dxa"/>
              <w:left w:w="110" w:type="dxa"/>
              <w:bottom w:w="90" w:type="dxa"/>
              <w:right w:w="110" w:type="dxa"/>
            </w:tcMar>
            <w:vAlign w:val="center"/>
          </w:tcPr>
          <w:p w14:paraId="13D2A8EF" w14:textId="77777777" w:rsidR="00003AE7" w:rsidRDefault="00000000">
            <w:pPr>
              <w:jc w:val="center"/>
            </w:pPr>
            <w:r>
              <w:rPr>
                <w:b/>
                <w:bCs/>
                <w:color w:val="000000"/>
                <w:sz w:val="19"/>
                <w:szCs w:val="19"/>
              </w:rPr>
              <w:t>+128%</w:t>
            </w:r>
          </w:p>
        </w:tc>
      </w:tr>
      <w:tr w:rsidR="00003AE7" w14:paraId="2FC5F4B9" w14:textId="77777777">
        <w:tblPrEx>
          <w:tblCellMar>
            <w:top w:w="0" w:type="dxa"/>
            <w:bottom w:w="0" w:type="dxa"/>
          </w:tblCellMar>
        </w:tblPrEx>
        <w:tc>
          <w:tcPr>
            <w:tcW w:w="0" w:type="auto"/>
            <w:tcMar>
              <w:top w:w="90" w:type="dxa"/>
              <w:left w:w="110" w:type="dxa"/>
              <w:bottom w:w="90" w:type="dxa"/>
              <w:right w:w="110" w:type="dxa"/>
            </w:tcMar>
            <w:vAlign w:val="center"/>
          </w:tcPr>
          <w:p w14:paraId="1CBE6328" w14:textId="77777777" w:rsidR="00003AE7" w:rsidRDefault="00000000">
            <w:r>
              <w:rPr>
                <w:color w:val="000000"/>
                <w:sz w:val="19"/>
                <w:szCs w:val="19"/>
              </w:rPr>
              <w:t xml:space="preserve">Consenso — Objetivo </w:t>
            </w:r>
            <w:r w:rsidRPr="00F41835">
              <w:rPr>
                <w:color w:val="00B050"/>
                <w:sz w:val="19"/>
                <w:szCs w:val="19"/>
              </w:rPr>
              <w:t xml:space="preserve">alto </w:t>
            </w:r>
            <w:r>
              <w:rPr>
                <w:color w:val="000000"/>
                <w:sz w:val="19"/>
                <w:szCs w:val="19"/>
              </w:rPr>
              <w:t>(9 analistas)</w:t>
            </w:r>
          </w:p>
        </w:tc>
        <w:tc>
          <w:tcPr>
            <w:tcW w:w="0" w:type="auto"/>
            <w:tcMar>
              <w:top w:w="90" w:type="dxa"/>
              <w:left w:w="110" w:type="dxa"/>
              <w:bottom w:w="90" w:type="dxa"/>
              <w:right w:w="110" w:type="dxa"/>
            </w:tcMar>
            <w:vAlign w:val="center"/>
          </w:tcPr>
          <w:p w14:paraId="4EEEBE10" w14:textId="77777777" w:rsidR="00003AE7" w:rsidRDefault="00000000">
            <w:pPr>
              <w:jc w:val="center"/>
            </w:pPr>
            <w:r>
              <w:rPr>
                <w:color w:val="000000"/>
                <w:sz w:val="19"/>
                <w:szCs w:val="19"/>
              </w:rPr>
              <w:t>14,20 €</w:t>
            </w:r>
          </w:p>
        </w:tc>
        <w:tc>
          <w:tcPr>
            <w:tcW w:w="0" w:type="auto"/>
            <w:tcMar>
              <w:top w:w="90" w:type="dxa"/>
              <w:left w:w="110" w:type="dxa"/>
              <w:bottom w:w="90" w:type="dxa"/>
              <w:right w:w="110" w:type="dxa"/>
            </w:tcMar>
            <w:vAlign w:val="center"/>
          </w:tcPr>
          <w:p w14:paraId="37FE3F0F" w14:textId="77777777" w:rsidR="00003AE7" w:rsidRDefault="00000000">
            <w:pPr>
              <w:jc w:val="center"/>
            </w:pPr>
            <w:r>
              <w:rPr>
                <w:color w:val="000000"/>
                <w:sz w:val="19"/>
                <w:szCs w:val="19"/>
              </w:rPr>
              <w:t>+101,7%</w:t>
            </w:r>
          </w:p>
        </w:tc>
      </w:tr>
      <w:tr w:rsidR="00003AE7" w14:paraId="4A4414D8" w14:textId="77777777">
        <w:tblPrEx>
          <w:tblCellMar>
            <w:top w:w="0" w:type="dxa"/>
            <w:bottom w:w="0" w:type="dxa"/>
          </w:tblCellMar>
        </w:tblPrEx>
        <w:tc>
          <w:tcPr>
            <w:tcW w:w="0" w:type="auto"/>
            <w:tcMar>
              <w:top w:w="90" w:type="dxa"/>
              <w:left w:w="110" w:type="dxa"/>
              <w:bottom w:w="90" w:type="dxa"/>
              <w:right w:w="110" w:type="dxa"/>
            </w:tcMar>
            <w:vAlign w:val="center"/>
          </w:tcPr>
          <w:p w14:paraId="584A219E" w14:textId="77777777" w:rsidR="00003AE7" w:rsidRDefault="00000000">
            <w:r>
              <w:rPr>
                <w:color w:val="000000"/>
                <w:sz w:val="19"/>
                <w:szCs w:val="19"/>
              </w:rPr>
              <w:t>Consenso — Objetivo promedio</w:t>
            </w:r>
          </w:p>
        </w:tc>
        <w:tc>
          <w:tcPr>
            <w:tcW w:w="0" w:type="auto"/>
            <w:tcMar>
              <w:top w:w="90" w:type="dxa"/>
              <w:left w:w="110" w:type="dxa"/>
              <w:bottom w:w="90" w:type="dxa"/>
              <w:right w:w="110" w:type="dxa"/>
            </w:tcMar>
            <w:vAlign w:val="center"/>
          </w:tcPr>
          <w:p w14:paraId="2EF87E05" w14:textId="77777777" w:rsidR="00003AE7" w:rsidRDefault="00000000">
            <w:pPr>
              <w:jc w:val="center"/>
            </w:pPr>
            <w:r>
              <w:rPr>
                <w:color w:val="000000"/>
                <w:sz w:val="19"/>
                <w:szCs w:val="19"/>
              </w:rPr>
              <w:t>10,24 €</w:t>
            </w:r>
          </w:p>
        </w:tc>
        <w:tc>
          <w:tcPr>
            <w:tcW w:w="0" w:type="auto"/>
            <w:tcMar>
              <w:top w:w="90" w:type="dxa"/>
              <w:left w:w="110" w:type="dxa"/>
              <w:bottom w:w="90" w:type="dxa"/>
              <w:right w:w="110" w:type="dxa"/>
            </w:tcMar>
            <w:vAlign w:val="center"/>
          </w:tcPr>
          <w:p w14:paraId="0E075492" w14:textId="77777777" w:rsidR="00003AE7" w:rsidRDefault="00000000">
            <w:pPr>
              <w:jc w:val="center"/>
            </w:pPr>
            <w:r>
              <w:rPr>
                <w:color w:val="000000"/>
                <w:sz w:val="19"/>
                <w:szCs w:val="19"/>
              </w:rPr>
              <w:t>+45,5%</w:t>
            </w:r>
          </w:p>
        </w:tc>
      </w:tr>
      <w:tr w:rsidR="00003AE7" w14:paraId="15803563" w14:textId="77777777">
        <w:tblPrEx>
          <w:tblCellMar>
            <w:top w:w="0" w:type="dxa"/>
            <w:bottom w:w="0" w:type="dxa"/>
          </w:tblCellMar>
        </w:tblPrEx>
        <w:tc>
          <w:tcPr>
            <w:tcW w:w="0" w:type="auto"/>
            <w:tcMar>
              <w:top w:w="90" w:type="dxa"/>
              <w:left w:w="110" w:type="dxa"/>
              <w:bottom w:w="90" w:type="dxa"/>
              <w:right w:w="110" w:type="dxa"/>
            </w:tcMar>
            <w:vAlign w:val="center"/>
          </w:tcPr>
          <w:p w14:paraId="30E077F7" w14:textId="77777777" w:rsidR="00003AE7" w:rsidRDefault="00000000">
            <w:r>
              <w:rPr>
                <w:color w:val="000000"/>
                <w:sz w:val="19"/>
                <w:szCs w:val="19"/>
              </w:rPr>
              <w:t xml:space="preserve">Consenso — Objetivo </w:t>
            </w:r>
            <w:r w:rsidRPr="00F41835">
              <w:rPr>
                <w:color w:val="EE0000"/>
                <w:sz w:val="19"/>
                <w:szCs w:val="19"/>
              </w:rPr>
              <w:t>bajo</w:t>
            </w:r>
          </w:p>
        </w:tc>
        <w:tc>
          <w:tcPr>
            <w:tcW w:w="0" w:type="auto"/>
            <w:tcMar>
              <w:top w:w="90" w:type="dxa"/>
              <w:left w:w="110" w:type="dxa"/>
              <w:bottom w:w="90" w:type="dxa"/>
              <w:right w:w="110" w:type="dxa"/>
            </w:tcMar>
            <w:vAlign w:val="center"/>
          </w:tcPr>
          <w:p w14:paraId="2E66FBE0" w14:textId="77777777" w:rsidR="00003AE7" w:rsidRDefault="00000000">
            <w:pPr>
              <w:jc w:val="center"/>
            </w:pPr>
            <w:r>
              <w:rPr>
                <w:color w:val="000000"/>
                <w:sz w:val="19"/>
                <w:szCs w:val="19"/>
              </w:rPr>
              <w:t>7,00 €</w:t>
            </w:r>
          </w:p>
        </w:tc>
        <w:tc>
          <w:tcPr>
            <w:tcW w:w="0" w:type="auto"/>
            <w:tcMar>
              <w:top w:w="90" w:type="dxa"/>
              <w:left w:w="110" w:type="dxa"/>
              <w:bottom w:w="90" w:type="dxa"/>
              <w:right w:w="110" w:type="dxa"/>
            </w:tcMar>
            <w:vAlign w:val="center"/>
          </w:tcPr>
          <w:p w14:paraId="3FD97C3E" w14:textId="77777777" w:rsidR="00003AE7" w:rsidRDefault="00000000">
            <w:pPr>
              <w:jc w:val="center"/>
            </w:pPr>
            <w:r>
              <w:rPr>
                <w:color w:val="000000"/>
                <w:sz w:val="19"/>
                <w:szCs w:val="19"/>
              </w:rPr>
              <w:t>-0,6%</w:t>
            </w:r>
          </w:p>
        </w:tc>
      </w:tr>
    </w:tbl>
    <w:p w14:paraId="728CC8CA" w14:textId="77777777" w:rsidR="00003AE7" w:rsidRDefault="00000000">
      <w:pPr>
        <w:spacing w:before="60" w:after="220"/>
        <w:jc w:val="both"/>
      </w:pPr>
      <w:r>
        <w:rPr>
          <w:i/>
          <w:iCs/>
          <w:color w:val="595959"/>
          <w:sz w:val="16"/>
          <w:szCs w:val="16"/>
        </w:rPr>
        <w:t xml:space="preserve">Fuente: </w:t>
      </w:r>
      <w:proofErr w:type="spellStart"/>
      <w:r>
        <w:rPr>
          <w:i/>
          <w:iCs/>
          <w:color w:val="595959"/>
          <w:sz w:val="16"/>
          <w:szCs w:val="16"/>
        </w:rPr>
        <w:t>MarketScreener</w:t>
      </w:r>
      <w:proofErr w:type="spellEnd"/>
      <w:r>
        <w:rPr>
          <w:i/>
          <w:iCs/>
          <w:color w:val="595959"/>
          <w:sz w:val="16"/>
          <w:szCs w:val="16"/>
        </w:rPr>
        <w:t>, consenso de 9 analistas (captura del 21 sept. 2026), recomendación promedio "ACUMULAR". La evolución del precio objetivo medio ha caído de forma casi ininterrumpida desde ~30€ (mediados de 2024, época del IPO) hasta ~10€ hoy — el consenso lleva dos años recortando expectativas de forma sistemática, no puntual.</w:t>
      </w:r>
    </w:p>
    <w:p w14:paraId="1DFFE592" w14:textId="717A1376" w:rsidR="00003AE7" w:rsidRDefault="00000000">
      <w:pPr>
        <w:spacing w:after="160"/>
        <w:jc w:val="both"/>
      </w:pPr>
      <w:r>
        <w:rPr>
          <w:color w:val="000000"/>
        </w:rPr>
        <w:t xml:space="preserve">Mi DCF sigue siendo más optimista incluso que el objetivo alto del consenso </w:t>
      </w:r>
      <w:proofErr w:type="spellStart"/>
      <w:r>
        <w:rPr>
          <w:color w:val="000000"/>
        </w:rPr>
        <w:t>sell-side</w:t>
      </w:r>
      <w:proofErr w:type="spellEnd"/>
      <w:r>
        <w:rPr>
          <w:color w:val="000000"/>
        </w:rPr>
        <w:t xml:space="preserve"> (16,08€ vs. 14,20€).</w:t>
      </w:r>
      <w:r w:rsidR="00F41835">
        <w:rPr>
          <w:color w:val="000000"/>
        </w:rPr>
        <w:t xml:space="preserve"> E</w:t>
      </w:r>
      <w:r>
        <w:rPr>
          <w:color w:val="000000"/>
        </w:rPr>
        <w:t xml:space="preserve">sta brecha ya no proviene de un error metodológico, sino principalmente de un WACC de 9,22% que un lector crítico podría considerar ligeramente bajo para el perfil de riesgo real de Douglas — sensibilizar el WACC hacia el 10-10,5% (todavía por debajo del ~17% que aplicaba el mercado antes de la corrección) acercaría el resultado a un rango de 8-11€, mucho más alineado con el consenso </w:t>
      </w:r>
      <w:proofErr w:type="spellStart"/>
      <w:r>
        <w:rPr>
          <w:color w:val="000000"/>
        </w:rPr>
        <w:t>sell-side</w:t>
      </w:r>
      <w:proofErr w:type="spellEnd"/>
      <w:r>
        <w:rPr>
          <w:color w:val="000000"/>
        </w:rPr>
        <w:t>. Recomiendo a cualquier lector de esta tesis realizar ese ejercicio de sensibilización antes de dimensionar la posición.</w:t>
      </w:r>
    </w:p>
    <w:tbl>
      <w:tblPr>
        <w:tblW w:w="9350" w:type="dxa"/>
        <w:tblBorders>
          <w:top w:val="single" w:sz="12" w:space="0" w:color="BF8F00"/>
          <w:left w:val="single" w:sz="12" w:space="0" w:color="BF8F00"/>
          <w:bottom w:val="single" w:sz="12" w:space="0" w:color="BF8F00"/>
          <w:right w:val="single" w:sz="12" w:space="0" w:color="BF8F00"/>
        </w:tblBorders>
        <w:tblCellMar>
          <w:left w:w="10" w:type="dxa"/>
          <w:right w:w="10" w:type="dxa"/>
        </w:tblCellMar>
        <w:tblLook w:val="04A0" w:firstRow="1" w:lastRow="0" w:firstColumn="1" w:lastColumn="0" w:noHBand="0" w:noVBand="1"/>
      </w:tblPr>
      <w:tblGrid>
        <w:gridCol w:w="9350"/>
      </w:tblGrid>
      <w:tr w:rsidR="00003AE7" w14:paraId="578689D5" w14:textId="77777777">
        <w:tblPrEx>
          <w:tblCellMar>
            <w:top w:w="0" w:type="dxa"/>
            <w:bottom w:w="0" w:type="dxa"/>
          </w:tblCellMar>
        </w:tblPrEx>
        <w:trPr>
          <w:cantSplit/>
        </w:trPr>
        <w:tc>
          <w:tcPr>
            <w:tcW w:w="0" w:type="auto"/>
            <w:shd w:val="clear" w:color="auto" w:fill="FFF2CC"/>
            <w:tcMar>
              <w:top w:w="160" w:type="dxa"/>
              <w:left w:w="200" w:type="dxa"/>
              <w:bottom w:w="160" w:type="dxa"/>
              <w:right w:w="200" w:type="dxa"/>
            </w:tcMar>
          </w:tcPr>
          <w:p w14:paraId="7D16D300" w14:textId="70391D7C" w:rsidR="00003AE7" w:rsidRDefault="00000000">
            <w:pPr>
              <w:spacing w:after="120"/>
            </w:pPr>
            <w:r>
              <w:rPr>
                <w:b/>
                <w:bCs/>
                <w:color w:val="BF8F00"/>
              </w:rPr>
              <w:t xml:space="preserve">Cobas </w:t>
            </w:r>
            <w:proofErr w:type="spellStart"/>
            <w:r>
              <w:rPr>
                <w:b/>
                <w:bCs/>
                <w:color w:val="BF8F00"/>
              </w:rPr>
              <w:t>Asset</w:t>
            </w:r>
            <w:proofErr w:type="spellEnd"/>
            <w:r>
              <w:rPr>
                <w:b/>
                <w:bCs/>
                <w:color w:val="BF8F00"/>
              </w:rPr>
              <w:t xml:space="preserve"> Management — contexto relevante</w:t>
            </w:r>
          </w:p>
          <w:p w14:paraId="6FA99358" w14:textId="77777777" w:rsidR="00003AE7" w:rsidRDefault="00000000">
            <w:pPr>
              <w:spacing w:after="100"/>
              <w:jc w:val="both"/>
            </w:pPr>
            <w:r>
              <w:rPr>
                <w:color w:val="000000"/>
                <w:sz w:val="20"/>
                <w:szCs w:val="20"/>
              </w:rPr>
              <w:t xml:space="preserve">Cobas Internacional cita explícitamente a Douglas como uno de sus mayores detractores de rentabilidad del primer semestre de 2026 (junto a </w:t>
            </w:r>
            <w:proofErr w:type="spellStart"/>
            <w:r>
              <w:rPr>
                <w:color w:val="000000"/>
                <w:sz w:val="20"/>
                <w:szCs w:val="20"/>
              </w:rPr>
              <w:t>Elior</w:t>
            </w:r>
            <w:proofErr w:type="spellEnd"/>
            <w:r>
              <w:rPr>
                <w:color w:val="000000"/>
                <w:sz w:val="20"/>
                <w:szCs w:val="20"/>
              </w:rPr>
              <w:t xml:space="preserve"> </w:t>
            </w:r>
            <w:proofErr w:type="spellStart"/>
            <w:r>
              <w:rPr>
                <w:color w:val="000000"/>
                <w:sz w:val="20"/>
                <w:szCs w:val="20"/>
              </w:rPr>
              <w:t>Group</w:t>
            </w:r>
            <w:proofErr w:type="spellEnd"/>
            <w:r>
              <w:rPr>
                <w:color w:val="000000"/>
                <w:sz w:val="20"/>
                <w:szCs w:val="20"/>
              </w:rPr>
              <w:t xml:space="preserve">, China </w:t>
            </w:r>
            <w:proofErr w:type="spellStart"/>
            <w:r>
              <w:rPr>
                <w:color w:val="000000"/>
                <w:sz w:val="20"/>
                <w:szCs w:val="20"/>
              </w:rPr>
              <w:t>Education</w:t>
            </w:r>
            <w:proofErr w:type="spellEnd"/>
            <w:r>
              <w:rPr>
                <w:color w:val="000000"/>
                <w:sz w:val="20"/>
                <w:szCs w:val="20"/>
              </w:rPr>
              <w:t xml:space="preserve"> </w:t>
            </w:r>
            <w:proofErr w:type="spellStart"/>
            <w:r>
              <w:rPr>
                <w:color w:val="000000"/>
                <w:sz w:val="20"/>
                <w:szCs w:val="20"/>
              </w:rPr>
              <w:t>Group</w:t>
            </w:r>
            <w:proofErr w:type="spellEnd"/>
            <w:r>
              <w:rPr>
                <w:color w:val="000000"/>
                <w:sz w:val="20"/>
                <w:szCs w:val="20"/>
              </w:rPr>
              <w:t>, Renault y Porsche). Esto confirma que Cobas mantiene posición en Douglas, pero NO que esa posición haya sido validada por el mercado hasta la fecha — de momento le ha hecho perder dinero, no ganarlo. Es coherente con la interpretación de "tesis de recuperación que tarda más de lo esperado en confirmarse", no con "el mercado ya reconoce el valor".</w:t>
            </w:r>
          </w:p>
        </w:tc>
      </w:tr>
    </w:tbl>
    <w:p w14:paraId="5F629BC0" w14:textId="77777777" w:rsidR="00003AE7" w:rsidRDefault="00000000">
      <w:pPr>
        <w:pStyle w:val="Ttulo1"/>
        <w:keepNext/>
        <w:keepLines/>
        <w:pBdr>
          <w:bottom w:val="single" w:sz="8" w:space="4" w:color="1F3864"/>
        </w:pBdr>
        <w:spacing w:before="380" w:after="180"/>
      </w:pPr>
      <w:r>
        <w:rPr>
          <w:b/>
          <w:bCs/>
          <w:color w:val="1F3864"/>
          <w:sz w:val="28"/>
          <w:szCs w:val="28"/>
        </w:rPr>
        <w:t>6. Riesgos y Mitigantes</w:t>
      </w:r>
    </w:p>
    <w:p w14:paraId="64FDF9C0" w14:textId="77777777" w:rsidR="00003AE7" w:rsidRDefault="00000000">
      <w:pPr>
        <w:spacing w:after="160"/>
        <w:jc w:val="both"/>
      </w:pPr>
      <w:r>
        <w:rPr>
          <w:color w:val="000000"/>
        </w:rPr>
        <w:t>Douglas no es una tesis de "foso profundo" sino de reversión apalancada. Los principales riesgos están concentrados en la capacidad de la compañía de estabilizar el ciclo de rebajas de guía y de normalizar el apalancamiento sin diluir al accionista.</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25"/>
        <w:gridCol w:w="1174"/>
        <w:gridCol w:w="884"/>
        <w:gridCol w:w="5367"/>
      </w:tblGrid>
      <w:tr w:rsidR="00003AE7" w14:paraId="7CCFABDB" w14:textId="77777777">
        <w:tblPrEx>
          <w:tblCellMar>
            <w:top w:w="0" w:type="dxa"/>
            <w:bottom w:w="0" w:type="dxa"/>
          </w:tblCellMar>
        </w:tblPrEx>
        <w:tc>
          <w:tcPr>
            <w:tcW w:w="0" w:type="auto"/>
            <w:shd w:val="clear" w:color="auto" w:fill="D9E2F3"/>
            <w:tcMar>
              <w:top w:w="90" w:type="dxa"/>
              <w:left w:w="110" w:type="dxa"/>
              <w:bottom w:w="90" w:type="dxa"/>
              <w:right w:w="110" w:type="dxa"/>
            </w:tcMar>
            <w:vAlign w:val="center"/>
          </w:tcPr>
          <w:p w14:paraId="7E633541" w14:textId="77777777" w:rsidR="00003AE7" w:rsidRDefault="00000000">
            <w:r>
              <w:rPr>
                <w:b/>
                <w:bCs/>
                <w:color w:val="000000"/>
                <w:sz w:val="18"/>
                <w:szCs w:val="18"/>
              </w:rPr>
              <w:t>Riesgo</w:t>
            </w:r>
          </w:p>
        </w:tc>
        <w:tc>
          <w:tcPr>
            <w:tcW w:w="0" w:type="auto"/>
            <w:shd w:val="clear" w:color="auto" w:fill="D9E2F3"/>
            <w:tcMar>
              <w:top w:w="90" w:type="dxa"/>
              <w:left w:w="110" w:type="dxa"/>
              <w:bottom w:w="90" w:type="dxa"/>
              <w:right w:w="110" w:type="dxa"/>
            </w:tcMar>
            <w:vAlign w:val="center"/>
          </w:tcPr>
          <w:p w14:paraId="3EFEFE24" w14:textId="77777777" w:rsidR="00003AE7" w:rsidRDefault="00000000">
            <w:pPr>
              <w:jc w:val="center"/>
            </w:pPr>
            <w:r>
              <w:rPr>
                <w:b/>
                <w:bCs/>
                <w:color w:val="000000"/>
                <w:sz w:val="18"/>
                <w:szCs w:val="18"/>
              </w:rPr>
              <w:t>Probabilidad</w:t>
            </w:r>
          </w:p>
        </w:tc>
        <w:tc>
          <w:tcPr>
            <w:tcW w:w="0" w:type="auto"/>
            <w:shd w:val="clear" w:color="auto" w:fill="D9E2F3"/>
            <w:tcMar>
              <w:top w:w="90" w:type="dxa"/>
              <w:left w:w="110" w:type="dxa"/>
              <w:bottom w:w="90" w:type="dxa"/>
              <w:right w:w="110" w:type="dxa"/>
            </w:tcMar>
            <w:vAlign w:val="center"/>
          </w:tcPr>
          <w:p w14:paraId="57688AC3" w14:textId="77777777" w:rsidR="00003AE7" w:rsidRDefault="00000000">
            <w:pPr>
              <w:jc w:val="center"/>
            </w:pPr>
            <w:r>
              <w:rPr>
                <w:b/>
                <w:bCs/>
                <w:color w:val="000000"/>
                <w:sz w:val="18"/>
                <w:szCs w:val="18"/>
              </w:rPr>
              <w:t>Impacto</w:t>
            </w:r>
          </w:p>
        </w:tc>
        <w:tc>
          <w:tcPr>
            <w:tcW w:w="0" w:type="auto"/>
            <w:shd w:val="clear" w:color="auto" w:fill="D9E2F3"/>
            <w:tcMar>
              <w:top w:w="90" w:type="dxa"/>
              <w:left w:w="110" w:type="dxa"/>
              <w:bottom w:w="90" w:type="dxa"/>
              <w:right w:w="110" w:type="dxa"/>
            </w:tcMar>
            <w:vAlign w:val="center"/>
          </w:tcPr>
          <w:p w14:paraId="60A032F4" w14:textId="77777777" w:rsidR="00003AE7" w:rsidRDefault="00000000">
            <w:r>
              <w:rPr>
                <w:b/>
                <w:bCs/>
                <w:color w:val="000000"/>
                <w:sz w:val="18"/>
                <w:szCs w:val="18"/>
              </w:rPr>
              <w:t>Mitigante / comentario analítico</w:t>
            </w:r>
          </w:p>
        </w:tc>
      </w:tr>
      <w:tr w:rsidR="00003AE7" w14:paraId="3DCE49B0" w14:textId="77777777">
        <w:tblPrEx>
          <w:tblCellMar>
            <w:top w:w="0" w:type="dxa"/>
            <w:bottom w:w="0" w:type="dxa"/>
          </w:tblCellMar>
        </w:tblPrEx>
        <w:tc>
          <w:tcPr>
            <w:tcW w:w="0" w:type="auto"/>
            <w:tcMar>
              <w:top w:w="90" w:type="dxa"/>
              <w:left w:w="110" w:type="dxa"/>
              <w:bottom w:w="90" w:type="dxa"/>
              <w:right w:w="110" w:type="dxa"/>
            </w:tcMar>
            <w:vAlign w:val="center"/>
          </w:tcPr>
          <w:p w14:paraId="4600DC01" w14:textId="77777777" w:rsidR="00003AE7" w:rsidRDefault="00000000">
            <w:r>
              <w:rPr>
                <w:b/>
                <w:bCs/>
                <w:color w:val="000000"/>
                <w:sz w:val="18"/>
                <w:szCs w:val="18"/>
              </w:rPr>
              <w:t>Tercera rebaja de guía consecutiva</w:t>
            </w:r>
          </w:p>
        </w:tc>
        <w:tc>
          <w:tcPr>
            <w:tcW w:w="0" w:type="auto"/>
            <w:tcMar>
              <w:top w:w="90" w:type="dxa"/>
              <w:left w:w="110" w:type="dxa"/>
              <w:bottom w:w="90" w:type="dxa"/>
              <w:right w:w="110" w:type="dxa"/>
            </w:tcMar>
            <w:vAlign w:val="center"/>
          </w:tcPr>
          <w:p w14:paraId="2A04FE56" w14:textId="77777777" w:rsidR="00003AE7" w:rsidRDefault="00000000">
            <w:pPr>
              <w:jc w:val="center"/>
            </w:pPr>
            <w:r>
              <w:rPr>
                <w:color w:val="000000"/>
                <w:sz w:val="18"/>
                <w:szCs w:val="18"/>
              </w:rPr>
              <w:t>Media</w:t>
            </w:r>
          </w:p>
        </w:tc>
        <w:tc>
          <w:tcPr>
            <w:tcW w:w="0" w:type="auto"/>
            <w:tcMar>
              <w:top w:w="90" w:type="dxa"/>
              <w:left w:w="110" w:type="dxa"/>
              <w:bottom w:w="90" w:type="dxa"/>
              <w:right w:w="110" w:type="dxa"/>
            </w:tcMar>
            <w:vAlign w:val="center"/>
          </w:tcPr>
          <w:p w14:paraId="1C9DF945" w14:textId="77777777" w:rsidR="00003AE7" w:rsidRDefault="00000000">
            <w:pPr>
              <w:jc w:val="center"/>
            </w:pPr>
            <w:r>
              <w:rPr>
                <w:color w:val="000000"/>
                <w:sz w:val="18"/>
                <w:szCs w:val="18"/>
              </w:rPr>
              <w:t>Alto</w:t>
            </w:r>
          </w:p>
        </w:tc>
        <w:tc>
          <w:tcPr>
            <w:tcW w:w="0" w:type="auto"/>
            <w:tcMar>
              <w:top w:w="90" w:type="dxa"/>
              <w:left w:w="110" w:type="dxa"/>
              <w:bottom w:w="90" w:type="dxa"/>
              <w:right w:w="110" w:type="dxa"/>
            </w:tcMar>
            <w:vAlign w:val="center"/>
          </w:tcPr>
          <w:p w14:paraId="73707F3D" w14:textId="77777777" w:rsidR="00003AE7" w:rsidRDefault="00000000">
            <w:r>
              <w:rPr>
                <w:color w:val="000000"/>
                <w:sz w:val="17"/>
                <w:szCs w:val="17"/>
              </w:rPr>
              <w:t>Con dos rebajas ya materializadas en 2025-2026, la carga de la prueba está en el lado de "demuéstrame que el ciclo ha terminado". Los resultados de cierre de año fiscal (dic. 2026) son el catalizador/veto que hay que vigilar.</w:t>
            </w:r>
          </w:p>
        </w:tc>
      </w:tr>
      <w:tr w:rsidR="00003AE7" w14:paraId="74546C33" w14:textId="77777777">
        <w:tblPrEx>
          <w:tblCellMar>
            <w:top w:w="0" w:type="dxa"/>
            <w:bottom w:w="0" w:type="dxa"/>
          </w:tblCellMar>
        </w:tblPrEx>
        <w:tc>
          <w:tcPr>
            <w:tcW w:w="0" w:type="auto"/>
            <w:tcMar>
              <w:top w:w="90" w:type="dxa"/>
              <w:left w:w="110" w:type="dxa"/>
              <w:bottom w:w="90" w:type="dxa"/>
              <w:right w:w="110" w:type="dxa"/>
            </w:tcMar>
            <w:vAlign w:val="center"/>
          </w:tcPr>
          <w:p w14:paraId="2DEDA873" w14:textId="77777777" w:rsidR="00003AE7" w:rsidRDefault="00000000">
            <w:r>
              <w:rPr>
                <w:b/>
                <w:bCs/>
                <w:color w:val="000000"/>
                <w:sz w:val="18"/>
                <w:szCs w:val="18"/>
              </w:rPr>
              <w:t>Refinanciación / dilución por apalancamiento</w:t>
            </w:r>
          </w:p>
        </w:tc>
        <w:tc>
          <w:tcPr>
            <w:tcW w:w="0" w:type="auto"/>
            <w:tcMar>
              <w:top w:w="90" w:type="dxa"/>
              <w:left w:w="110" w:type="dxa"/>
              <w:bottom w:w="90" w:type="dxa"/>
              <w:right w:w="110" w:type="dxa"/>
            </w:tcMar>
            <w:vAlign w:val="center"/>
          </w:tcPr>
          <w:p w14:paraId="11641082" w14:textId="77777777" w:rsidR="00003AE7" w:rsidRDefault="00000000">
            <w:pPr>
              <w:jc w:val="center"/>
            </w:pPr>
            <w:r>
              <w:rPr>
                <w:color w:val="000000"/>
                <w:sz w:val="18"/>
                <w:szCs w:val="18"/>
              </w:rPr>
              <w:t>Media</w:t>
            </w:r>
          </w:p>
        </w:tc>
        <w:tc>
          <w:tcPr>
            <w:tcW w:w="0" w:type="auto"/>
            <w:tcMar>
              <w:top w:w="90" w:type="dxa"/>
              <w:left w:w="110" w:type="dxa"/>
              <w:bottom w:w="90" w:type="dxa"/>
              <w:right w:w="110" w:type="dxa"/>
            </w:tcMar>
            <w:vAlign w:val="center"/>
          </w:tcPr>
          <w:p w14:paraId="46D9FEB4" w14:textId="77777777" w:rsidR="00003AE7" w:rsidRDefault="00000000">
            <w:pPr>
              <w:jc w:val="center"/>
            </w:pPr>
            <w:r>
              <w:rPr>
                <w:color w:val="000000"/>
                <w:sz w:val="18"/>
                <w:szCs w:val="18"/>
              </w:rPr>
              <w:t>Alto</w:t>
            </w:r>
          </w:p>
        </w:tc>
        <w:tc>
          <w:tcPr>
            <w:tcW w:w="0" w:type="auto"/>
            <w:tcMar>
              <w:top w:w="90" w:type="dxa"/>
              <w:left w:w="110" w:type="dxa"/>
              <w:bottom w:w="90" w:type="dxa"/>
              <w:right w:w="110" w:type="dxa"/>
            </w:tcMar>
            <w:vAlign w:val="center"/>
          </w:tcPr>
          <w:p w14:paraId="340D1110" w14:textId="77777777" w:rsidR="00003AE7" w:rsidRDefault="00000000">
            <w:r>
              <w:rPr>
                <w:color w:val="000000"/>
                <w:sz w:val="17"/>
                <w:szCs w:val="17"/>
              </w:rPr>
              <w:t xml:space="preserve">Con Deuda Neta/FCF en pico de 9,49x en 2026, cualquier shock adicional de demanda podría forzar una reestructuración o ampliación de capital </w:t>
            </w:r>
            <w:proofErr w:type="spellStart"/>
            <w:r>
              <w:rPr>
                <w:color w:val="000000"/>
                <w:sz w:val="17"/>
                <w:szCs w:val="17"/>
              </w:rPr>
              <w:t>dilutiva</w:t>
            </w:r>
            <w:proofErr w:type="spellEnd"/>
            <w:r>
              <w:rPr>
                <w:color w:val="000000"/>
                <w:sz w:val="17"/>
                <w:szCs w:val="17"/>
              </w:rPr>
              <w:t xml:space="preserve">. La estructura EV (4x el </w:t>
            </w:r>
            <w:proofErr w:type="spellStart"/>
            <w:r>
              <w:rPr>
                <w:color w:val="000000"/>
                <w:sz w:val="17"/>
                <w:szCs w:val="17"/>
              </w:rPr>
              <w:t>market</w:t>
            </w:r>
            <w:proofErr w:type="spellEnd"/>
            <w:r>
              <w:rPr>
                <w:color w:val="000000"/>
                <w:sz w:val="17"/>
                <w:szCs w:val="17"/>
              </w:rPr>
              <w:t xml:space="preserve"> </w:t>
            </w:r>
            <w:proofErr w:type="spellStart"/>
            <w:r>
              <w:rPr>
                <w:color w:val="000000"/>
                <w:sz w:val="17"/>
                <w:szCs w:val="17"/>
              </w:rPr>
              <w:t>cap</w:t>
            </w:r>
            <w:proofErr w:type="spellEnd"/>
            <w:r>
              <w:rPr>
                <w:color w:val="000000"/>
                <w:sz w:val="17"/>
                <w:szCs w:val="17"/>
              </w:rPr>
              <w:t xml:space="preserve">) amplifica los movimientos de </w:t>
            </w:r>
            <w:proofErr w:type="spellStart"/>
            <w:r>
              <w:rPr>
                <w:color w:val="000000"/>
                <w:sz w:val="17"/>
                <w:szCs w:val="17"/>
              </w:rPr>
              <w:t>equity</w:t>
            </w:r>
            <w:proofErr w:type="spellEnd"/>
            <w:r>
              <w:rPr>
                <w:color w:val="000000"/>
                <w:sz w:val="17"/>
                <w:szCs w:val="17"/>
              </w:rPr>
              <w:t xml:space="preserve"> en ambas direcciones.</w:t>
            </w:r>
          </w:p>
        </w:tc>
      </w:tr>
      <w:tr w:rsidR="00003AE7" w14:paraId="1D6B9E2D" w14:textId="77777777">
        <w:tblPrEx>
          <w:tblCellMar>
            <w:top w:w="0" w:type="dxa"/>
            <w:bottom w:w="0" w:type="dxa"/>
          </w:tblCellMar>
        </w:tblPrEx>
        <w:tc>
          <w:tcPr>
            <w:tcW w:w="0" w:type="auto"/>
            <w:tcMar>
              <w:top w:w="90" w:type="dxa"/>
              <w:left w:w="110" w:type="dxa"/>
              <w:bottom w:w="90" w:type="dxa"/>
              <w:right w:w="110" w:type="dxa"/>
            </w:tcMar>
            <w:vAlign w:val="center"/>
          </w:tcPr>
          <w:p w14:paraId="65C7D51D" w14:textId="77777777" w:rsidR="00003AE7" w:rsidRDefault="00000000">
            <w:proofErr w:type="spellStart"/>
            <w:r>
              <w:rPr>
                <w:color w:val="000000"/>
                <w:sz w:val="18"/>
                <w:szCs w:val="18"/>
              </w:rPr>
              <w:t>CapEx</w:t>
            </w:r>
            <w:proofErr w:type="spellEnd"/>
            <w:r>
              <w:rPr>
                <w:color w:val="000000"/>
                <w:sz w:val="18"/>
                <w:szCs w:val="18"/>
              </w:rPr>
              <w:t xml:space="preserve"> 2026 sin retorno demostrado</w:t>
            </w:r>
          </w:p>
        </w:tc>
        <w:tc>
          <w:tcPr>
            <w:tcW w:w="0" w:type="auto"/>
            <w:tcMar>
              <w:top w:w="90" w:type="dxa"/>
              <w:left w:w="110" w:type="dxa"/>
              <w:bottom w:w="90" w:type="dxa"/>
              <w:right w:w="110" w:type="dxa"/>
            </w:tcMar>
            <w:vAlign w:val="center"/>
          </w:tcPr>
          <w:p w14:paraId="3E47ABA7" w14:textId="77777777" w:rsidR="00003AE7" w:rsidRDefault="00000000">
            <w:pPr>
              <w:jc w:val="center"/>
            </w:pPr>
            <w:r>
              <w:rPr>
                <w:color w:val="000000"/>
                <w:sz w:val="18"/>
                <w:szCs w:val="18"/>
              </w:rPr>
              <w:t>Media</w:t>
            </w:r>
          </w:p>
        </w:tc>
        <w:tc>
          <w:tcPr>
            <w:tcW w:w="0" w:type="auto"/>
            <w:tcMar>
              <w:top w:w="90" w:type="dxa"/>
              <w:left w:w="110" w:type="dxa"/>
              <w:bottom w:w="90" w:type="dxa"/>
              <w:right w:w="110" w:type="dxa"/>
            </w:tcMar>
            <w:vAlign w:val="center"/>
          </w:tcPr>
          <w:p w14:paraId="5E90F1A5" w14:textId="77777777" w:rsidR="00003AE7" w:rsidRDefault="00000000">
            <w:pPr>
              <w:jc w:val="center"/>
            </w:pPr>
            <w:r>
              <w:rPr>
                <w:color w:val="000000"/>
                <w:sz w:val="18"/>
                <w:szCs w:val="18"/>
              </w:rPr>
              <w:t>Medio-Alto</w:t>
            </w:r>
          </w:p>
        </w:tc>
        <w:tc>
          <w:tcPr>
            <w:tcW w:w="0" w:type="auto"/>
            <w:tcMar>
              <w:top w:w="90" w:type="dxa"/>
              <w:left w:w="110" w:type="dxa"/>
              <w:bottom w:w="90" w:type="dxa"/>
              <w:right w:w="110" w:type="dxa"/>
            </w:tcMar>
            <w:vAlign w:val="center"/>
          </w:tcPr>
          <w:p w14:paraId="799327D2" w14:textId="77777777" w:rsidR="00003AE7" w:rsidRDefault="00000000">
            <w:r>
              <w:rPr>
                <w:color w:val="000000"/>
                <w:sz w:val="17"/>
                <w:szCs w:val="17"/>
              </w:rPr>
              <w:t xml:space="preserve">No hay desglose público entre </w:t>
            </w:r>
            <w:proofErr w:type="spellStart"/>
            <w:r>
              <w:rPr>
                <w:color w:val="000000"/>
                <w:sz w:val="17"/>
                <w:szCs w:val="17"/>
              </w:rPr>
              <w:t>CapEx</w:t>
            </w:r>
            <w:proofErr w:type="spellEnd"/>
            <w:r>
              <w:rPr>
                <w:color w:val="000000"/>
                <w:sz w:val="17"/>
                <w:szCs w:val="17"/>
              </w:rPr>
              <w:t xml:space="preserve"> de crecimiento (remodelación, expansión Golfo) y </w:t>
            </w:r>
            <w:proofErr w:type="spellStart"/>
            <w:r>
              <w:rPr>
                <w:color w:val="000000"/>
                <w:sz w:val="17"/>
                <w:szCs w:val="17"/>
              </w:rPr>
              <w:t>CapEx</w:t>
            </w:r>
            <w:proofErr w:type="spellEnd"/>
            <w:r>
              <w:rPr>
                <w:color w:val="000000"/>
                <w:sz w:val="17"/>
                <w:szCs w:val="17"/>
              </w:rPr>
              <w:t xml:space="preserve"> defensivo forzado por competencia. Verificar en el informe anual antes de aumentar convicción.</w:t>
            </w:r>
          </w:p>
        </w:tc>
      </w:tr>
      <w:tr w:rsidR="00003AE7" w14:paraId="2F5A4A4C" w14:textId="77777777">
        <w:tblPrEx>
          <w:tblCellMar>
            <w:top w:w="0" w:type="dxa"/>
            <w:bottom w:w="0" w:type="dxa"/>
          </w:tblCellMar>
        </w:tblPrEx>
        <w:tc>
          <w:tcPr>
            <w:tcW w:w="0" w:type="auto"/>
            <w:tcMar>
              <w:top w:w="90" w:type="dxa"/>
              <w:left w:w="110" w:type="dxa"/>
              <w:bottom w:w="90" w:type="dxa"/>
              <w:right w:w="110" w:type="dxa"/>
            </w:tcMar>
            <w:vAlign w:val="center"/>
          </w:tcPr>
          <w:p w14:paraId="449FD3A1" w14:textId="77777777" w:rsidR="00003AE7" w:rsidRDefault="00000000">
            <w:r>
              <w:rPr>
                <w:color w:val="000000"/>
                <w:sz w:val="18"/>
                <w:szCs w:val="18"/>
              </w:rPr>
              <w:t xml:space="preserve">Deterioro adicional de </w:t>
            </w:r>
            <w:proofErr w:type="spellStart"/>
            <w:r>
              <w:rPr>
                <w:color w:val="000000"/>
                <w:sz w:val="18"/>
                <w:szCs w:val="18"/>
              </w:rPr>
              <w:t>goodwill</w:t>
            </w:r>
            <w:proofErr w:type="spellEnd"/>
          </w:p>
        </w:tc>
        <w:tc>
          <w:tcPr>
            <w:tcW w:w="0" w:type="auto"/>
            <w:tcMar>
              <w:top w:w="90" w:type="dxa"/>
              <w:left w:w="110" w:type="dxa"/>
              <w:bottom w:w="90" w:type="dxa"/>
              <w:right w:w="110" w:type="dxa"/>
            </w:tcMar>
            <w:vAlign w:val="center"/>
          </w:tcPr>
          <w:p w14:paraId="42869291" w14:textId="77777777" w:rsidR="00003AE7" w:rsidRDefault="00000000">
            <w:pPr>
              <w:jc w:val="center"/>
            </w:pPr>
            <w:r>
              <w:rPr>
                <w:color w:val="000000"/>
                <w:sz w:val="18"/>
                <w:szCs w:val="18"/>
              </w:rPr>
              <w:t>Media</w:t>
            </w:r>
          </w:p>
        </w:tc>
        <w:tc>
          <w:tcPr>
            <w:tcW w:w="0" w:type="auto"/>
            <w:tcMar>
              <w:top w:w="90" w:type="dxa"/>
              <w:left w:w="110" w:type="dxa"/>
              <w:bottom w:w="90" w:type="dxa"/>
              <w:right w:w="110" w:type="dxa"/>
            </w:tcMar>
            <w:vAlign w:val="center"/>
          </w:tcPr>
          <w:p w14:paraId="3FB19EAA" w14:textId="77777777" w:rsidR="00003AE7" w:rsidRDefault="00000000">
            <w:pPr>
              <w:jc w:val="center"/>
            </w:pPr>
            <w:r>
              <w:rPr>
                <w:color w:val="000000"/>
                <w:sz w:val="18"/>
                <w:szCs w:val="18"/>
              </w:rPr>
              <w:t>Medio</w:t>
            </w:r>
          </w:p>
        </w:tc>
        <w:tc>
          <w:tcPr>
            <w:tcW w:w="0" w:type="auto"/>
            <w:tcMar>
              <w:top w:w="90" w:type="dxa"/>
              <w:left w:w="110" w:type="dxa"/>
              <w:bottom w:w="90" w:type="dxa"/>
              <w:right w:w="110" w:type="dxa"/>
            </w:tcMar>
            <w:vAlign w:val="center"/>
          </w:tcPr>
          <w:p w14:paraId="1C20BF5E" w14:textId="77777777" w:rsidR="00003AE7" w:rsidRDefault="00000000">
            <w:r>
              <w:rPr>
                <w:color w:val="000000"/>
                <w:sz w:val="17"/>
                <w:szCs w:val="17"/>
              </w:rPr>
              <w:t xml:space="preserve">Precedente ya materializado (-99M€ en </w:t>
            </w:r>
            <w:proofErr w:type="spellStart"/>
            <w:r>
              <w:rPr>
                <w:color w:val="000000"/>
                <w:sz w:val="17"/>
                <w:szCs w:val="17"/>
              </w:rPr>
              <w:t>Nocibé</w:t>
            </w:r>
            <w:proofErr w:type="spellEnd"/>
            <w:r>
              <w:rPr>
                <w:color w:val="000000"/>
                <w:sz w:val="17"/>
                <w:szCs w:val="17"/>
              </w:rPr>
              <w:t>/</w:t>
            </w:r>
            <w:proofErr w:type="spellStart"/>
            <w:r>
              <w:rPr>
                <w:color w:val="000000"/>
                <w:sz w:val="17"/>
                <w:szCs w:val="17"/>
              </w:rPr>
              <w:t>Parfumdreams</w:t>
            </w:r>
            <w:proofErr w:type="spellEnd"/>
            <w:r>
              <w:rPr>
                <w:color w:val="000000"/>
                <w:sz w:val="17"/>
                <w:szCs w:val="17"/>
              </w:rPr>
              <w:t>, 2T FY25/26). El negocio francés sigue en posición débil (#2 tras Sephora) — riesgo activo, no hipotético.</w:t>
            </w:r>
          </w:p>
        </w:tc>
      </w:tr>
      <w:tr w:rsidR="00003AE7" w14:paraId="5F8C4414" w14:textId="77777777">
        <w:tblPrEx>
          <w:tblCellMar>
            <w:top w:w="0" w:type="dxa"/>
            <w:bottom w:w="0" w:type="dxa"/>
          </w:tblCellMar>
        </w:tblPrEx>
        <w:tc>
          <w:tcPr>
            <w:tcW w:w="0" w:type="auto"/>
            <w:tcMar>
              <w:top w:w="90" w:type="dxa"/>
              <w:left w:w="110" w:type="dxa"/>
              <w:bottom w:w="90" w:type="dxa"/>
              <w:right w:w="110" w:type="dxa"/>
            </w:tcMar>
            <w:vAlign w:val="center"/>
          </w:tcPr>
          <w:p w14:paraId="35E11496" w14:textId="77777777" w:rsidR="00003AE7" w:rsidRDefault="00000000">
            <w:proofErr w:type="spellStart"/>
            <w:r>
              <w:rPr>
                <w:color w:val="000000"/>
                <w:sz w:val="18"/>
                <w:szCs w:val="18"/>
              </w:rPr>
              <w:t>Overhang</w:t>
            </w:r>
            <w:proofErr w:type="spellEnd"/>
            <w:r>
              <w:rPr>
                <w:color w:val="000000"/>
                <w:sz w:val="18"/>
                <w:szCs w:val="18"/>
              </w:rPr>
              <w:t xml:space="preserve"> de venta de CVC</w:t>
            </w:r>
          </w:p>
        </w:tc>
        <w:tc>
          <w:tcPr>
            <w:tcW w:w="0" w:type="auto"/>
            <w:tcMar>
              <w:top w:w="90" w:type="dxa"/>
              <w:left w:w="110" w:type="dxa"/>
              <w:bottom w:w="90" w:type="dxa"/>
              <w:right w:w="110" w:type="dxa"/>
            </w:tcMar>
            <w:vAlign w:val="center"/>
          </w:tcPr>
          <w:p w14:paraId="16DF8334" w14:textId="77777777" w:rsidR="00003AE7" w:rsidRDefault="00000000">
            <w:pPr>
              <w:jc w:val="center"/>
            </w:pPr>
            <w:r>
              <w:rPr>
                <w:color w:val="000000"/>
                <w:sz w:val="18"/>
                <w:szCs w:val="18"/>
              </w:rPr>
              <w:t>Media-Alta</w:t>
            </w:r>
          </w:p>
        </w:tc>
        <w:tc>
          <w:tcPr>
            <w:tcW w:w="0" w:type="auto"/>
            <w:tcMar>
              <w:top w:w="90" w:type="dxa"/>
              <w:left w:w="110" w:type="dxa"/>
              <w:bottom w:w="90" w:type="dxa"/>
              <w:right w:w="110" w:type="dxa"/>
            </w:tcMar>
            <w:vAlign w:val="center"/>
          </w:tcPr>
          <w:p w14:paraId="17B92B06" w14:textId="77777777" w:rsidR="00003AE7" w:rsidRDefault="00000000">
            <w:pPr>
              <w:jc w:val="center"/>
            </w:pPr>
            <w:r>
              <w:rPr>
                <w:color w:val="000000"/>
                <w:sz w:val="18"/>
                <w:szCs w:val="18"/>
              </w:rPr>
              <w:t>Medio</w:t>
            </w:r>
          </w:p>
        </w:tc>
        <w:tc>
          <w:tcPr>
            <w:tcW w:w="0" w:type="auto"/>
            <w:tcMar>
              <w:top w:w="90" w:type="dxa"/>
              <w:left w:w="110" w:type="dxa"/>
              <w:bottom w:w="90" w:type="dxa"/>
              <w:right w:w="110" w:type="dxa"/>
            </w:tcMar>
            <w:vAlign w:val="center"/>
          </w:tcPr>
          <w:p w14:paraId="35B44372" w14:textId="77777777" w:rsidR="00003AE7" w:rsidRDefault="00000000">
            <w:r>
              <w:rPr>
                <w:color w:val="000000"/>
                <w:sz w:val="17"/>
                <w:szCs w:val="17"/>
              </w:rPr>
              <w:t xml:space="preserve">CVC controla ~54-55% tras un LBO de 9 años; riesgo estructural de que busque liquidar posición adicional en cuanto tenga oportunidad, presionando el free </w:t>
            </w:r>
            <w:proofErr w:type="spellStart"/>
            <w:r>
              <w:rPr>
                <w:color w:val="000000"/>
                <w:sz w:val="17"/>
                <w:szCs w:val="17"/>
              </w:rPr>
              <w:t>float</w:t>
            </w:r>
            <w:proofErr w:type="spellEnd"/>
            <w:r>
              <w:rPr>
                <w:color w:val="000000"/>
                <w:sz w:val="17"/>
                <w:szCs w:val="17"/>
              </w:rPr>
              <w:t xml:space="preserve"> reducido (27,17%).</w:t>
            </w:r>
          </w:p>
        </w:tc>
      </w:tr>
      <w:tr w:rsidR="00003AE7" w14:paraId="636926E4" w14:textId="77777777">
        <w:tblPrEx>
          <w:tblCellMar>
            <w:top w:w="0" w:type="dxa"/>
            <w:bottom w:w="0" w:type="dxa"/>
          </w:tblCellMar>
        </w:tblPrEx>
        <w:tc>
          <w:tcPr>
            <w:tcW w:w="0" w:type="auto"/>
            <w:tcMar>
              <w:top w:w="90" w:type="dxa"/>
              <w:left w:w="110" w:type="dxa"/>
              <w:bottom w:w="90" w:type="dxa"/>
              <w:right w:w="110" w:type="dxa"/>
            </w:tcMar>
            <w:vAlign w:val="center"/>
          </w:tcPr>
          <w:p w14:paraId="231CA10A" w14:textId="77777777" w:rsidR="00003AE7" w:rsidRDefault="00000000">
            <w:r>
              <w:rPr>
                <w:color w:val="000000"/>
                <w:sz w:val="18"/>
                <w:szCs w:val="18"/>
              </w:rPr>
              <w:lastRenderedPageBreak/>
              <w:t>Competencia estructural Sephora/LVMH</w:t>
            </w:r>
          </w:p>
        </w:tc>
        <w:tc>
          <w:tcPr>
            <w:tcW w:w="0" w:type="auto"/>
            <w:tcMar>
              <w:top w:w="90" w:type="dxa"/>
              <w:left w:w="110" w:type="dxa"/>
              <w:bottom w:w="90" w:type="dxa"/>
              <w:right w:w="110" w:type="dxa"/>
            </w:tcMar>
            <w:vAlign w:val="center"/>
          </w:tcPr>
          <w:p w14:paraId="1C5AB415" w14:textId="77777777" w:rsidR="00003AE7" w:rsidRDefault="00000000">
            <w:pPr>
              <w:jc w:val="center"/>
            </w:pPr>
            <w:r>
              <w:rPr>
                <w:color w:val="000000"/>
                <w:sz w:val="18"/>
                <w:szCs w:val="18"/>
              </w:rPr>
              <w:t>Alta</w:t>
            </w:r>
          </w:p>
        </w:tc>
        <w:tc>
          <w:tcPr>
            <w:tcW w:w="0" w:type="auto"/>
            <w:tcMar>
              <w:top w:w="90" w:type="dxa"/>
              <w:left w:w="110" w:type="dxa"/>
              <w:bottom w:w="90" w:type="dxa"/>
              <w:right w:w="110" w:type="dxa"/>
            </w:tcMar>
            <w:vAlign w:val="center"/>
          </w:tcPr>
          <w:p w14:paraId="5EBB4CFD" w14:textId="77777777" w:rsidR="00003AE7" w:rsidRDefault="00000000">
            <w:pPr>
              <w:jc w:val="center"/>
            </w:pPr>
            <w:r>
              <w:rPr>
                <w:color w:val="000000"/>
                <w:sz w:val="18"/>
                <w:szCs w:val="18"/>
              </w:rPr>
              <w:t>Medio</w:t>
            </w:r>
          </w:p>
        </w:tc>
        <w:tc>
          <w:tcPr>
            <w:tcW w:w="0" w:type="auto"/>
            <w:tcMar>
              <w:top w:w="90" w:type="dxa"/>
              <w:left w:w="110" w:type="dxa"/>
              <w:bottom w:w="90" w:type="dxa"/>
              <w:right w:w="110" w:type="dxa"/>
            </w:tcMar>
            <w:vAlign w:val="center"/>
          </w:tcPr>
          <w:p w14:paraId="52856B10" w14:textId="77777777" w:rsidR="00003AE7" w:rsidRDefault="00000000">
            <w:r>
              <w:rPr>
                <w:color w:val="000000"/>
                <w:sz w:val="17"/>
                <w:szCs w:val="17"/>
              </w:rPr>
              <w:t>Sephora tiene balance de conglomerado de lujo y mejor acceso a marcas exclusivas. Desventaja estructural de recursos que Douglas no puede cerrar fácilmente estando apalancada.</w:t>
            </w:r>
          </w:p>
        </w:tc>
      </w:tr>
      <w:tr w:rsidR="00003AE7" w14:paraId="70A2D052" w14:textId="77777777">
        <w:tblPrEx>
          <w:tblCellMar>
            <w:top w:w="0" w:type="dxa"/>
            <w:bottom w:w="0" w:type="dxa"/>
          </w:tblCellMar>
        </w:tblPrEx>
        <w:tc>
          <w:tcPr>
            <w:tcW w:w="0" w:type="auto"/>
            <w:tcMar>
              <w:top w:w="90" w:type="dxa"/>
              <w:left w:w="110" w:type="dxa"/>
              <w:bottom w:w="90" w:type="dxa"/>
              <w:right w:w="110" w:type="dxa"/>
            </w:tcMar>
            <w:vAlign w:val="center"/>
          </w:tcPr>
          <w:p w14:paraId="5405F01D" w14:textId="77777777" w:rsidR="00003AE7" w:rsidRDefault="00000000">
            <w:r>
              <w:rPr>
                <w:color w:val="000000"/>
                <w:sz w:val="18"/>
                <w:szCs w:val="18"/>
              </w:rPr>
              <w:t>Concentración del valor en el Valor Terminal</w:t>
            </w:r>
          </w:p>
        </w:tc>
        <w:tc>
          <w:tcPr>
            <w:tcW w:w="0" w:type="auto"/>
            <w:tcMar>
              <w:top w:w="90" w:type="dxa"/>
              <w:left w:w="110" w:type="dxa"/>
              <w:bottom w:w="90" w:type="dxa"/>
              <w:right w:w="110" w:type="dxa"/>
            </w:tcMar>
            <w:vAlign w:val="center"/>
          </w:tcPr>
          <w:p w14:paraId="02D968F9" w14:textId="77777777" w:rsidR="00003AE7" w:rsidRDefault="00000000">
            <w:pPr>
              <w:jc w:val="center"/>
            </w:pPr>
            <w:r>
              <w:rPr>
                <w:color w:val="000000"/>
                <w:sz w:val="18"/>
                <w:szCs w:val="18"/>
              </w:rPr>
              <w:t>Estructural</w:t>
            </w:r>
          </w:p>
        </w:tc>
        <w:tc>
          <w:tcPr>
            <w:tcW w:w="0" w:type="auto"/>
            <w:tcMar>
              <w:top w:w="90" w:type="dxa"/>
              <w:left w:w="110" w:type="dxa"/>
              <w:bottom w:w="90" w:type="dxa"/>
              <w:right w:w="110" w:type="dxa"/>
            </w:tcMar>
            <w:vAlign w:val="center"/>
          </w:tcPr>
          <w:p w14:paraId="699CC32A" w14:textId="77777777" w:rsidR="00003AE7" w:rsidRDefault="00000000">
            <w:pPr>
              <w:jc w:val="center"/>
            </w:pPr>
            <w:r>
              <w:rPr>
                <w:color w:val="000000"/>
                <w:sz w:val="18"/>
                <w:szCs w:val="18"/>
              </w:rPr>
              <w:t>Alto</w:t>
            </w:r>
          </w:p>
        </w:tc>
        <w:tc>
          <w:tcPr>
            <w:tcW w:w="0" w:type="auto"/>
            <w:tcMar>
              <w:top w:w="90" w:type="dxa"/>
              <w:left w:w="110" w:type="dxa"/>
              <w:bottom w:w="90" w:type="dxa"/>
              <w:right w:w="110" w:type="dxa"/>
            </w:tcMar>
            <w:vAlign w:val="center"/>
          </w:tcPr>
          <w:p w14:paraId="3DF810A1" w14:textId="77777777" w:rsidR="00003AE7" w:rsidRDefault="00000000">
            <w:r>
              <w:rPr>
                <w:color w:val="000000"/>
                <w:sz w:val="17"/>
                <w:szCs w:val="17"/>
              </w:rPr>
              <w:t>67% del EV del DCF depende de supuestos más allá del Año 5 (perpetuidad y múltiplo de salida). Cualquier deterioro en WACC, g o múltiplo sectorial reduce el valor intrínseco de forma más que proporcional.</w:t>
            </w:r>
          </w:p>
        </w:tc>
      </w:tr>
    </w:tbl>
    <w:p w14:paraId="311EBFD8" w14:textId="77777777" w:rsidR="00003AE7" w:rsidRDefault="00000000">
      <w:pPr>
        <w:pStyle w:val="Ttulo2"/>
        <w:keepNext/>
        <w:keepLines/>
        <w:spacing w:before="280" w:after="140"/>
      </w:pPr>
      <w:r>
        <w:rPr>
          <w:b/>
          <w:bCs/>
          <w:color w:val="1F3864"/>
          <w:sz w:val="24"/>
          <w:szCs w:val="24"/>
        </w:rPr>
        <w:t>6.1 Apalancamiento: el ancla (y el riesgo) de la tesis</w:t>
      </w:r>
    </w:p>
    <w:p w14:paraId="03B28416" w14:textId="77777777" w:rsidR="00003AE7" w:rsidRDefault="00000000">
      <w:pPr>
        <w:spacing w:after="160"/>
        <w:jc w:val="both"/>
      </w:pPr>
      <w:r>
        <w:rPr>
          <w:color w:val="000000"/>
        </w:rPr>
        <w:t xml:space="preserve">A diferencia de una tesis de consolidación disciplinada, en Douglas el apalancamiento no es una palanca elegida por la dirección para crear valor vía M&amp;A — es una herencia estructural del LBO de CVC que la compañía está tratando de reducir bajo presión de un negocio que, simultáneamente, se ha deteriorado en 2026. Esto obliga a un doble </w:t>
      </w:r>
      <w:proofErr w:type="spellStart"/>
      <w:r>
        <w:rPr>
          <w:color w:val="000000"/>
        </w:rPr>
        <w:t>desapalancamiento</w:t>
      </w:r>
      <w:proofErr w:type="spellEnd"/>
      <w:r>
        <w:rPr>
          <w:color w:val="000000"/>
        </w:rPr>
        <w:t xml:space="preserve"> (financiero y operativo) al mismo tiempo, precisamente el escenario más difícil de ejecutar sin fricciones. La guía de la propia compañía (3,0x-3,5x) actúa como techo autoimpuesto y verificable trimestre a trimestre, pero el hecho de que la guía se haya revisado al alza (de 2,5x-3,0x a 3,0x-3,5x) durante 2026 es en sí mismo una señal de que el plan original de </w:t>
      </w:r>
      <w:proofErr w:type="spellStart"/>
      <w:r>
        <w:rPr>
          <w:color w:val="000000"/>
        </w:rPr>
        <w:t>desapalancamiento</w:t>
      </w:r>
      <w:proofErr w:type="spellEnd"/>
      <w:r>
        <w:rPr>
          <w:color w:val="000000"/>
        </w:rPr>
        <w:t xml:space="preserve"> ya ha fallado una vez.</w:t>
      </w:r>
    </w:p>
    <w:p w14:paraId="7281DF76" w14:textId="77777777" w:rsidR="00003AE7" w:rsidRDefault="00000000">
      <w:pPr>
        <w:pStyle w:val="Ttulo2"/>
        <w:keepNext/>
        <w:keepLines/>
        <w:spacing w:before="280" w:after="140"/>
      </w:pPr>
      <w:r>
        <w:rPr>
          <w:b/>
          <w:bCs/>
          <w:color w:val="1F3864"/>
          <w:sz w:val="24"/>
          <w:szCs w:val="24"/>
        </w:rPr>
        <w:t>6.2 Riesgo de pérdida permanente de capital</w:t>
      </w:r>
    </w:p>
    <w:p w14:paraId="7B6696CB" w14:textId="5477BA44" w:rsidR="00003AE7" w:rsidRDefault="00000000">
      <w:pPr>
        <w:spacing w:after="160"/>
        <w:jc w:val="both"/>
      </w:pPr>
      <w:r>
        <w:rPr>
          <w:color w:val="000000"/>
        </w:rPr>
        <w:t>La pérdida permanente de capital en Douglas s</w:t>
      </w:r>
      <w:r w:rsidR="00A66B37">
        <w:rPr>
          <w:color w:val="000000"/>
        </w:rPr>
        <w:t>e produce</w:t>
      </w:r>
      <w:r>
        <w:rPr>
          <w:color w:val="000000"/>
        </w:rPr>
        <w:t xml:space="preserve"> por:</w:t>
      </w:r>
      <w:r w:rsidR="00A66B37">
        <w:rPr>
          <w:color w:val="000000"/>
        </w:rPr>
        <w:t xml:space="preserve"> </w:t>
      </w:r>
      <w:r>
        <w:rPr>
          <w:color w:val="000000"/>
        </w:rPr>
        <w:t xml:space="preserve">una tercera rebaja de guía que confirme que el deterioro es estructural y no cíclico; apalancamiento que sobrepase de forma sostenida el techo de 3,5x Deuda Neta/EBITDA, forzando una ampliación de capital </w:t>
      </w:r>
      <w:proofErr w:type="spellStart"/>
      <w:r>
        <w:rPr>
          <w:color w:val="000000"/>
        </w:rPr>
        <w:t>dilutiva</w:t>
      </w:r>
      <w:proofErr w:type="spellEnd"/>
      <w:r>
        <w:rPr>
          <w:color w:val="000000"/>
        </w:rPr>
        <w:t xml:space="preserve"> o una reestructuración de deuda en condiciones adversas; y </w:t>
      </w:r>
      <w:r w:rsidR="00A66B37">
        <w:rPr>
          <w:color w:val="000000"/>
        </w:rPr>
        <w:t xml:space="preserve">un </w:t>
      </w:r>
      <w:r>
        <w:rPr>
          <w:color w:val="000000"/>
        </w:rPr>
        <w:t>deterioro adicional del negocio francés (</w:t>
      </w:r>
      <w:proofErr w:type="spellStart"/>
      <w:r>
        <w:rPr>
          <w:color w:val="000000"/>
        </w:rPr>
        <w:t>Nocibé</w:t>
      </w:r>
      <w:proofErr w:type="spellEnd"/>
      <w:r>
        <w:rPr>
          <w:color w:val="000000"/>
        </w:rPr>
        <w:t xml:space="preserve">) que fuerce nuevos </w:t>
      </w:r>
      <w:proofErr w:type="spellStart"/>
      <w:r>
        <w:rPr>
          <w:color w:val="000000"/>
        </w:rPr>
        <w:t>impairments</w:t>
      </w:r>
      <w:proofErr w:type="spellEnd"/>
      <w:r>
        <w:rPr>
          <w:color w:val="000000"/>
        </w:rPr>
        <w:t xml:space="preserve"> de </w:t>
      </w:r>
      <w:proofErr w:type="spellStart"/>
      <w:r>
        <w:rPr>
          <w:color w:val="000000"/>
        </w:rPr>
        <w:t>goodwill</w:t>
      </w:r>
      <w:proofErr w:type="spellEnd"/>
      <w:r>
        <w:rPr>
          <w:color w:val="000000"/>
        </w:rPr>
        <w:t xml:space="preserve"> más allá de los -99M€ ya reconocidos. La probabilidad de que los tres factores confluyan simultáneamente es media-baja, pero cada uno de forma aislada ya invalidaría una parte sustancial de la tesis — de ahí que esta se plantee como una posición de convicción media, no de máxima convicción.</w:t>
      </w:r>
    </w:p>
    <w:p w14:paraId="29B3DD5D" w14:textId="77777777" w:rsidR="00003AE7" w:rsidRDefault="00000000">
      <w:pPr>
        <w:pStyle w:val="Ttulo1"/>
        <w:keepNext/>
        <w:keepLines/>
        <w:pBdr>
          <w:bottom w:val="single" w:sz="8" w:space="4" w:color="1F3864"/>
        </w:pBdr>
        <w:spacing w:before="380" w:after="180"/>
      </w:pPr>
      <w:r>
        <w:rPr>
          <w:b/>
          <w:bCs/>
          <w:color w:val="1F3864"/>
          <w:sz w:val="28"/>
          <w:szCs w:val="28"/>
        </w:rPr>
        <w:t>7. Conclusión y Recomendación de Inversión</w:t>
      </w:r>
    </w:p>
    <w:p w14:paraId="743FF6BF" w14:textId="77777777" w:rsidR="00003AE7" w:rsidRDefault="00000000">
      <w:pPr>
        <w:pStyle w:val="Ttulo2"/>
        <w:keepNext/>
        <w:keepLines/>
        <w:spacing w:before="280" w:after="140"/>
      </w:pPr>
      <w:r>
        <w:rPr>
          <w:b/>
          <w:bCs/>
          <w:color w:val="1F3864"/>
          <w:sz w:val="24"/>
          <w:szCs w:val="24"/>
        </w:rPr>
        <w:t>7.1 Síntesis</w:t>
      </w:r>
    </w:p>
    <w:p w14:paraId="54EA05E8" w14:textId="188EF58E" w:rsidR="00003AE7" w:rsidRDefault="00000000">
      <w:pPr>
        <w:spacing w:after="160"/>
        <w:jc w:val="both"/>
      </w:pPr>
      <w:r>
        <w:rPr>
          <w:color w:val="000000"/>
        </w:rPr>
        <w:t xml:space="preserve">Douglas AG es una compañía en una situación especial de post-LBO apalancado: un negocio con posición de mercado genuinamente líder (23% de cuota, #1 en la mayoría de sus mercados clave, programa de fidelización con escala real de 64M+ miembros) que cotiza a múltiplos de </w:t>
      </w:r>
      <w:proofErr w:type="gramStart"/>
      <w:r w:rsidR="00F41835">
        <w:rPr>
          <w:color w:val="000000"/>
        </w:rPr>
        <w:t>derribo</w:t>
      </w:r>
      <w:r>
        <w:rPr>
          <w:color w:val="000000"/>
        </w:rPr>
        <w:t>(</w:t>
      </w:r>
      <w:proofErr w:type="gramEnd"/>
      <w:r>
        <w:rPr>
          <w:color w:val="000000"/>
        </w:rPr>
        <w:t xml:space="preserve">EV/EBITDA ~4x, PER 2027e 5,65x) tras dos rebajas de guía consecutivas y un apalancamiento que ha subido, no bajado, durante 2026. No es automáticamente una trampa de valor cerrada: el modelo DCF propio sigue arrojando un valor intrínseco muy superior al precio actual, con un WACC implícito de mercado (~10,3%) que ya es razonable y no exige asumir un escenario de </w:t>
      </w:r>
      <w:proofErr w:type="spellStart"/>
      <w:r>
        <w:rPr>
          <w:color w:val="000000"/>
        </w:rPr>
        <w:t>distress</w:t>
      </w:r>
      <w:proofErr w:type="spellEnd"/>
      <w:r>
        <w:rPr>
          <w:color w:val="000000"/>
        </w:rPr>
        <w:t xml:space="preserve"> extremo.</w:t>
      </w:r>
    </w:p>
    <w:p w14:paraId="30F16D2C" w14:textId="77777777" w:rsidR="00003AE7" w:rsidRDefault="00000000">
      <w:pPr>
        <w:pStyle w:val="Ttulo2"/>
        <w:keepNext/>
        <w:keepLines/>
        <w:spacing w:before="280" w:after="140"/>
      </w:pPr>
      <w:r>
        <w:rPr>
          <w:b/>
          <w:bCs/>
          <w:color w:val="1F3864"/>
          <w:sz w:val="24"/>
          <w:szCs w:val="24"/>
        </w:rPr>
        <w:t>7.2 Recomendación Final</w:t>
      </w:r>
    </w:p>
    <w:tbl>
      <w:tblPr>
        <w:tblW w:w="9350" w:type="dxa"/>
        <w:tblBorders>
          <w:top w:val="single" w:sz="12" w:space="0" w:color="2E7D32"/>
          <w:left w:val="single" w:sz="12" w:space="0" w:color="2E7D32"/>
          <w:bottom w:val="single" w:sz="12" w:space="0" w:color="2E7D32"/>
          <w:right w:val="single" w:sz="12" w:space="0" w:color="2E7D32"/>
        </w:tblBorders>
        <w:tblCellMar>
          <w:left w:w="10" w:type="dxa"/>
          <w:right w:w="10" w:type="dxa"/>
        </w:tblCellMar>
        <w:tblLook w:val="04A0" w:firstRow="1" w:lastRow="0" w:firstColumn="1" w:lastColumn="0" w:noHBand="0" w:noVBand="1"/>
      </w:tblPr>
      <w:tblGrid>
        <w:gridCol w:w="9350"/>
      </w:tblGrid>
      <w:tr w:rsidR="00003AE7" w14:paraId="682FA069" w14:textId="77777777">
        <w:tblPrEx>
          <w:tblCellMar>
            <w:top w:w="0" w:type="dxa"/>
            <w:bottom w:w="0" w:type="dxa"/>
          </w:tblCellMar>
        </w:tblPrEx>
        <w:trPr>
          <w:cantSplit/>
        </w:trPr>
        <w:tc>
          <w:tcPr>
            <w:tcW w:w="0" w:type="auto"/>
            <w:shd w:val="clear" w:color="auto" w:fill="E2EFDA"/>
            <w:tcMar>
              <w:top w:w="160" w:type="dxa"/>
              <w:left w:w="200" w:type="dxa"/>
              <w:bottom w:w="160" w:type="dxa"/>
              <w:right w:w="200" w:type="dxa"/>
            </w:tcMar>
          </w:tcPr>
          <w:p w14:paraId="38F60D4C" w14:textId="77777777" w:rsidR="00003AE7" w:rsidRDefault="00003AE7">
            <w:pPr>
              <w:spacing w:after="120"/>
            </w:pPr>
          </w:p>
          <w:p w14:paraId="5268EE0E" w14:textId="11DD77A9" w:rsidR="00003AE7" w:rsidRDefault="00000000">
            <w:pPr>
              <w:spacing w:after="100"/>
              <w:jc w:val="both"/>
            </w:pPr>
            <w:r>
              <w:rPr>
                <w:b/>
                <w:bCs/>
                <w:color w:val="000000"/>
              </w:rPr>
              <w:t xml:space="preserve">Recomendación: </w:t>
            </w:r>
            <w:r>
              <w:rPr>
                <w:color w:val="000000"/>
              </w:rPr>
              <w:t xml:space="preserve">COMPRA, con convicción </w:t>
            </w:r>
            <w:r w:rsidR="00F41835">
              <w:rPr>
                <w:color w:val="000000"/>
              </w:rPr>
              <w:t>ALTA</w:t>
            </w:r>
            <w:r>
              <w:rPr>
                <w:color w:val="000000"/>
              </w:rPr>
              <w:t xml:space="preserve"> (no máxima), al precio actual de 7,04€ (umbral </w:t>
            </w:r>
            <w:proofErr w:type="spellStart"/>
            <w:r>
              <w:rPr>
                <w:color w:val="000000"/>
              </w:rPr>
              <w:t>Klarman</w:t>
            </w:r>
            <w:proofErr w:type="spellEnd"/>
            <w:r>
              <w:rPr>
                <w:color w:val="000000"/>
              </w:rPr>
              <w:t xml:space="preserve"> cubierto con amplio margen). Posición condicionada explícitamente a: (i) la confirmación en los resultados de cierre de año fiscal (dic. 2026) de que no hay una tercera rebaja de guía consecutiva; (</w:t>
            </w:r>
            <w:proofErr w:type="spellStart"/>
            <w:r>
              <w:rPr>
                <w:color w:val="000000"/>
              </w:rPr>
              <w:t>ii</w:t>
            </w:r>
            <w:proofErr w:type="spellEnd"/>
            <w:r>
              <w:rPr>
                <w:color w:val="000000"/>
              </w:rPr>
              <w:t>) el inicio de una tendencia de baja sostenida del apalancamiento neto/EBITDA desde el pico de 3,32x; y (</w:t>
            </w:r>
            <w:proofErr w:type="spellStart"/>
            <w:r>
              <w:rPr>
                <w:color w:val="000000"/>
              </w:rPr>
              <w:t>iii</w:t>
            </w:r>
            <w:proofErr w:type="spellEnd"/>
            <w:r>
              <w:rPr>
                <w:color w:val="000000"/>
              </w:rPr>
              <w:t xml:space="preserve">) la verificación, vía informe anual, de que el </w:t>
            </w:r>
            <w:proofErr w:type="spellStart"/>
            <w:r>
              <w:rPr>
                <w:color w:val="000000"/>
              </w:rPr>
              <w:t>CapEx</w:t>
            </w:r>
            <w:proofErr w:type="spellEnd"/>
            <w:r>
              <w:rPr>
                <w:color w:val="000000"/>
              </w:rPr>
              <w:t xml:space="preserve"> de 2026 es predominantemente de crecimiento y no defensivo. Precio óptimo de entrada ≤11,26€ para los inversores que exijan el margen de seguridad </w:t>
            </w:r>
            <w:proofErr w:type="spellStart"/>
            <w:r>
              <w:rPr>
                <w:color w:val="000000"/>
              </w:rPr>
              <w:t>Klarman</w:t>
            </w:r>
            <w:proofErr w:type="spellEnd"/>
            <w:r>
              <w:rPr>
                <w:color w:val="000000"/>
              </w:rPr>
              <w:t xml:space="preserve"> completo (30% sobre el valor base de 16,08€).</w:t>
            </w:r>
          </w:p>
          <w:p w14:paraId="1E8179F0" w14:textId="77777777" w:rsidR="00003AE7" w:rsidRDefault="00000000">
            <w:pPr>
              <w:spacing w:after="100"/>
              <w:jc w:val="both"/>
            </w:pPr>
            <w:r>
              <w:rPr>
                <w:b/>
                <w:bCs/>
                <w:color w:val="000000"/>
              </w:rPr>
              <w:t xml:space="preserve">Stop conceptual: </w:t>
            </w:r>
            <w:r>
              <w:rPr>
                <w:color w:val="000000"/>
              </w:rPr>
              <w:t xml:space="preserve">la tesis debe revisarse si se produce una tercera rebaja de guía, si el apalancamiento neto/EBITDA no inicia una tendencia de baja tras el pico de 2026, si se materializan nuevos deterioros de </w:t>
            </w:r>
            <w:proofErr w:type="spellStart"/>
            <w:r>
              <w:rPr>
                <w:color w:val="000000"/>
              </w:rPr>
              <w:t>goodwill</w:t>
            </w:r>
            <w:proofErr w:type="spellEnd"/>
            <w:r>
              <w:rPr>
                <w:color w:val="000000"/>
              </w:rPr>
              <w:t xml:space="preserve"> más allá de </w:t>
            </w:r>
            <w:proofErr w:type="spellStart"/>
            <w:r>
              <w:rPr>
                <w:color w:val="000000"/>
              </w:rPr>
              <w:t>Nocibé</w:t>
            </w:r>
            <w:proofErr w:type="spellEnd"/>
            <w:r>
              <w:rPr>
                <w:color w:val="000000"/>
              </w:rPr>
              <w:t>/</w:t>
            </w:r>
            <w:proofErr w:type="spellStart"/>
            <w:r>
              <w:rPr>
                <w:color w:val="000000"/>
              </w:rPr>
              <w:t>Parfumdreams</w:t>
            </w:r>
            <w:proofErr w:type="spellEnd"/>
            <w:r>
              <w:rPr>
                <w:color w:val="000000"/>
              </w:rPr>
              <w:t xml:space="preserve">, o si CVC anuncia una venta adicional de participación relevante sobre el free </w:t>
            </w:r>
            <w:proofErr w:type="spellStart"/>
            <w:r>
              <w:rPr>
                <w:color w:val="000000"/>
              </w:rPr>
              <w:t>float</w:t>
            </w:r>
            <w:proofErr w:type="spellEnd"/>
            <w:r>
              <w:rPr>
                <w:color w:val="000000"/>
              </w:rPr>
              <w:t xml:space="preserve"> ya reducido (27,17%).</w:t>
            </w:r>
          </w:p>
        </w:tc>
      </w:tr>
    </w:tbl>
    <w:p w14:paraId="0629CD24" w14:textId="77777777" w:rsidR="00003AE7" w:rsidRDefault="00003AE7">
      <w:pPr>
        <w:spacing w:after="200"/>
      </w:pPr>
    </w:p>
    <w:p w14:paraId="0CAF8E43" w14:textId="077958B8" w:rsidR="00003AE7" w:rsidRDefault="00000000">
      <w:pPr>
        <w:spacing w:after="160"/>
        <w:jc w:val="both"/>
      </w:pPr>
      <w:r>
        <w:rPr>
          <w:color w:val="000000"/>
        </w:rPr>
        <w:t xml:space="preserve">Douglas es, hoy, una idea de reversión a la media con catalizadores identificables y verificables trimestre a trimestre no una apuesta especulativa sobre el sector </w:t>
      </w:r>
      <w:proofErr w:type="gramStart"/>
      <w:r>
        <w:rPr>
          <w:color w:val="000000"/>
        </w:rPr>
        <w:t>belleza ,</w:t>
      </w:r>
      <w:proofErr w:type="gramEnd"/>
      <w:r>
        <w:rPr>
          <w:color w:val="000000"/>
        </w:rPr>
        <w:t xml:space="preserve"> pero tampoco una posición de convicción máxima al estilo de un </w:t>
      </w:r>
      <w:proofErr w:type="spellStart"/>
      <w:r>
        <w:rPr>
          <w:color w:val="000000"/>
        </w:rPr>
        <w:t>compounder</w:t>
      </w:r>
      <w:proofErr w:type="spellEnd"/>
      <w:r>
        <w:rPr>
          <w:color w:val="000000"/>
        </w:rPr>
        <w:t xml:space="preserve"> de calidad. El inversor debe </w:t>
      </w:r>
      <w:r w:rsidRPr="00F41835">
        <w:rPr>
          <w:color w:val="000000"/>
          <w:highlight w:val="green"/>
        </w:rPr>
        <w:t>estar dispuesto a tolerar la volatilidad</w:t>
      </w:r>
      <w:r>
        <w:rPr>
          <w:color w:val="000000"/>
        </w:rPr>
        <w:t xml:space="preserve"> propia de una situación especial apalancada, con riesgo real y no despreciable de dilución o reestructuración si el ciclo de rebajas de guía no se detiene en el próximo cierre de ejercicio, y a revisar la tesis activamente conforme se vayan confirmando los hitos de apalancamiento y guía descritos arriba.</w:t>
      </w:r>
    </w:p>
    <w:p w14:paraId="45F14BF3" w14:textId="77777777" w:rsidR="00003AE7" w:rsidRDefault="00003AE7">
      <w:pPr>
        <w:spacing w:after="120"/>
      </w:pPr>
    </w:p>
    <w:p w14:paraId="4E3E3A74" w14:textId="784453A0" w:rsidR="00003AE7" w:rsidRDefault="00003AE7">
      <w:pPr>
        <w:jc w:val="both"/>
      </w:pPr>
    </w:p>
    <w:sectPr w:rsidR="00003AE7">
      <w:footerReference w:type="default" r:id="rId11"/>
      <w:pgSz w:w="11907" w:h="16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2BDD" w14:textId="77777777" w:rsidR="00CC7DBB" w:rsidRDefault="00CC7DBB">
      <w:r>
        <w:separator/>
      </w:r>
    </w:p>
  </w:endnote>
  <w:endnote w:type="continuationSeparator" w:id="0">
    <w:p w14:paraId="111F87B5" w14:textId="77777777" w:rsidR="00CC7DBB" w:rsidRDefault="00CC7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850F" w14:textId="03EDF09D" w:rsidR="00003AE7" w:rsidRDefault="00000000">
    <w:pPr>
      <w:jc w:val="center"/>
    </w:pPr>
    <w:r>
      <w:rPr>
        <w:color w:val="808080"/>
        <w:sz w:val="15"/>
        <w:szCs w:val="15"/>
      </w:rPr>
      <w:t xml:space="preserve">Douglas AG (XETRA: DOU) — Tesis de Inversión — Jaime Danus — Página </w:t>
    </w:r>
    <w:r>
      <w:rPr>
        <w:color w:val="808080"/>
        <w:sz w:val="15"/>
        <w:szCs w:val="15"/>
      </w:rPr>
      <w:fldChar w:fldCharType="begin"/>
    </w:r>
    <w:r>
      <w:rPr>
        <w:color w:val="808080"/>
        <w:sz w:val="15"/>
        <w:szCs w:val="15"/>
      </w:rPr>
      <w:instrText>PAGE</w:instrText>
    </w:r>
    <w:r>
      <w:rPr>
        <w:color w:val="808080"/>
        <w:sz w:val="15"/>
        <w:szCs w:val="15"/>
      </w:rPr>
      <w:fldChar w:fldCharType="separate"/>
    </w:r>
    <w:r w:rsidR="00722677">
      <w:rPr>
        <w:noProof/>
        <w:color w:val="808080"/>
        <w:sz w:val="15"/>
        <w:szCs w:val="15"/>
      </w:rPr>
      <w:t>1</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5782" w14:textId="77777777" w:rsidR="00CC7DBB" w:rsidRDefault="00CC7DBB">
      <w:r>
        <w:separator/>
      </w:r>
    </w:p>
  </w:footnote>
  <w:footnote w:type="continuationSeparator" w:id="0">
    <w:p w14:paraId="1AC1BE97" w14:textId="77777777" w:rsidR="00CC7DBB" w:rsidRDefault="00CC7D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219EB"/>
    <w:multiLevelType w:val="hybridMultilevel"/>
    <w:tmpl w:val="0DA488CE"/>
    <w:lvl w:ilvl="0" w:tplc="C3DEC1E4">
      <w:start w:val="1"/>
      <w:numFmt w:val="bullet"/>
      <w:lvlText w:val="•"/>
      <w:lvlJc w:val="left"/>
      <w:pPr>
        <w:ind w:left="403" w:hanging="259"/>
      </w:pPr>
    </w:lvl>
    <w:lvl w:ilvl="1" w:tplc="F33267AC">
      <w:numFmt w:val="decimal"/>
      <w:lvlText w:val=""/>
      <w:lvlJc w:val="left"/>
    </w:lvl>
    <w:lvl w:ilvl="2" w:tplc="8CC023DC">
      <w:numFmt w:val="decimal"/>
      <w:lvlText w:val=""/>
      <w:lvlJc w:val="left"/>
    </w:lvl>
    <w:lvl w:ilvl="3" w:tplc="128A81D6">
      <w:numFmt w:val="decimal"/>
      <w:lvlText w:val=""/>
      <w:lvlJc w:val="left"/>
    </w:lvl>
    <w:lvl w:ilvl="4" w:tplc="4CFA8744">
      <w:numFmt w:val="decimal"/>
      <w:lvlText w:val=""/>
      <w:lvlJc w:val="left"/>
    </w:lvl>
    <w:lvl w:ilvl="5" w:tplc="E698D1BC">
      <w:numFmt w:val="decimal"/>
      <w:lvlText w:val=""/>
      <w:lvlJc w:val="left"/>
    </w:lvl>
    <w:lvl w:ilvl="6" w:tplc="CC0A47BC">
      <w:numFmt w:val="decimal"/>
      <w:lvlText w:val=""/>
      <w:lvlJc w:val="left"/>
    </w:lvl>
    <w:lvl w:ilvl="7" w:tplc="617E9896">
      <w:numFmt w:val="decimal"/>
      <w:lvlText w:val=""/>
      <w:lvlJc w:val="left"/>
    </w:lvl>
    <w:lvl w:ilvl="8" w:tplc="41085652">
      <w:numFmt w:val="decimal"/>
      <w:lvlText w:val=""/>
      <w:lvlJc w:val="left"/>
    </w:lvl>
  </w:abstractNum>
  <w:abstractNum w:abstractNumId="1" w15:restartNumberingAfterBreak="0">
    <w:nsid w:val="349F66A5"/>
    <w:multiLevelType w:val="hybridMultilevel"/>
    <w:tmpl w:val="2176302A"/>
    <w:lvl w:ilvl="0" w:tplc="2B608A1A">
      <w:start w:val="1"/>
      <w:numFmt w:val="bullet"/>
      <w:lvlText w:val="●"/>
      <w:lvlJc w:val="left"/>
      <w:pPr>
        <w:ind w:left="720" w:hanging="360"/>
      </w:pPr>
    </w:lvl>
    <w:lvl w:ilvl="1" w:tplc="A8E04548">
      <w:start w:val="1"/>
      <w:numFmt w:val="bullet"/>
      <w:lvlText w:val="○"/>
      <w:lvlJc w:val="left"/>
      <w:pPr>
        <w:ind w:left="1440" w:hanging="360"/>
      </w:pPr>
    </w:lvl>
    <w:lvl w:ilvl="2" w:tplc="538C8516">
      <w:start w:val="1"/>
      <w:numFmt w:val="bullet"/>
      <w:lvlText w:val="■"/>
      <w:lvlJc w:val="left"/>
      <w:pPr>
        <w:ind w:left="2160" w:hanging="360"/>
      </w:pPr>
    </w:lvl>
    <w:lvl w:ilvl="3" w:tplc="18549474">
      <w:start w:val="1"/>
      <w:numFmt w:val="bullet"/>
      <w:lvlText w:val="●"/>
      <w:lvlJc w:val="left"/>
      <w:pPr>
        <w:ind w:left="2880" w:hanging="360"/>
      </w:pPr>
    </w:lvl>
    <w:lvl w:ilvl="4" w:tplc="8B1E9144">
      <w:start w:val="1"/>
      <w:numFmt w:val="bullet"/>
      <w:lvlText w:val="○"/>
      <w:lvlJc w:val="left"/>
      <w:pPr>
        <w:ind w:left="3600" w:hanging="360"/>
      </w:pPr>
    </w:lvl>
    <w:lvl w:ilvl="5" w:tplc="8092F5CC">
      <w:start w:val="1"/>
      <w:numFmt w:val="bullet"/>
      <w:lvlText w:val="■"/>
      <w:lvlJc w:val="left"/>
      <w:pPr>
        <w:ind w:left="4320" w:hanging="360"/>
      </w:pPr>
    </w:lvl>
    <w:lvl w:ilvl="6" w:tplc="536CE04A">
      <w:start w:val="1"/>
      <w:numFmt w:val="bullet"/>
      <w:lvlText w:val="●"/>
      <w:lvlJc w:val="left"/>
      <w:pPr>
        <w:ind w:left="5040" w:hanging="360"/>
      </w:pPr>
    </w:lvl>
    <w:lvl w:ilvl="7" w:tplc="214A92EC">
      <w:start w:val="1"/>
      <w:numFmt w:val="bullet"/>
      <w:lvlText w:val="●"/>
      <w:lvlJc w:val="left"/>
      <w:pPr>
        <w:ind w:left="5760" w:hanging="360"/>
      </w:pPr>
    </w:lvl>
    <w:lvl w:ilvl="8" w:tplc="FA403078">
      <w:start w:val="1"/>
      <w:numFmt w:val="bullet"/>
      <w:lvlText w:val="●"/>
      <w:lvlJc w:val="left"/>
      <w:pPr>
        <w:ind w:left="6480" w:hanging="360"/>
      </w:pPr>
    </w:lvl>
  </w:abstractNum>
  <w:abstractNum w:abstractNumId="2" w15:restartNumberingAfterBreak="0">
    <w:nsid w:val="66EB04EB"/>
    <w:multiLevelType w:val="multilevel"/>
    <w:tmpl w:val="A986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442709">
    <w:abstractNumId w:val="1"/>
    <w:lvlOverride w:ilvl="0">
      <w:startOverride w:val="1"/>
    </w:lvlOverride>
  </w:num>
  <w:num w:numId="2" w16cid:durableId="620497760">
    <w:abstractNumId w:val="0"/>
    <w:lvlOverride w:ilvl="0">
      <w:startOverride w:val="1"/>
    </w:lvlOverride>
  </w:num>
  <w:num w:numId="3" w16cid:durableId="127817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AE7"/>
    <w:rsid w:val="00003AE7"/>
    <w:rsid w:val="0006274E"/>
    <w:rsid w:val="00195F9A"/>
    <w:rsid w:val="001E3FFB"/>
    <w:rsid w:val="00243932"/>
    <w:rsid w:val="003C6A8F"/>
    <w:rsid w:val="00450255"/>
    <w:rsid w:val="00521BF1"/>
    <w:rsid w:val="006A123E"/>
    <w:rsid w:val="006E49DD"/>
    <w:rsid w:val="00722677"/>
    <w:rsid w:val="009019C9"/>
    <w:rsid w:val="009F5EB6"/>
    <w:rsid w:val="00A227FC"/>
    <w:rsid w:val="00A66B37"/>
    <w:rsid w:val="00C0755E"/>
    <w:rsid w:val="00CC7DBB"/>
    <w:rsid w:val="00E92A10"/>
    <w:rsid w:val="00F418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2CDA"/>
  <w15:docId w15:val="{7BFDD669-AF7F-674B-AE28-BD428242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2A10"/>
    <w:pPr>
      <w:tabs>
        <w:tab w:val="center" w:pos="4252"/>
        <w:tab w:val="right" w:pos="8504"/>
      </w:tabs>
    </w:pPr>
  </w:style>
  <w:style w:type="character" w:customStyle="1" w:styleId="EncabezadoCar">
    <w:name w:val="Encabezado Car"/>
    <w:basedOn w:val="Fuentedeprrafopredeter"/>
    <w:link w:val="Encabezado"/>
    <w:uiPriority w:val="99"/>
    <w:rsid w:val="00E92A10"/>
  </w:style>
  <w:style w:type="paragraph" w:styleId="Piedepgina">
    <w:name w:val="footer"/>
    <w:basedOn w:val="Normal"/>
    <w:link w:val="PiedepginaCar"/>
    <w:uiPriority w:val="99"/>
    <w:unhideWhenUsed/>
    <w:rsid w:val="00E92A10"/>
    <w:pPr>
      <w:tabs>
        <w:tab w:val="center" w:pos="4252"/>
        <w:tab w:val="right" w:pos="8504"/>
      </w:tabs>
    </w:pPr>
  </w:style>
  <w:style w:type="character" w:customStyle="1" w:styleId="PiedepginaCar">
    <w:name w:val="Pie de página Car"/>
    <w:basedOn w:val="Fuentedeprrafopredeter"/>
    <w:link w:val="Piedepgina"/>
    <w:uiPriority w:val="99"/>
    <w:rsid w:val="00E92A10"/>
  </w:style>
  <w:style w:type="paragraph" w:styleId="NormalWeb">
    <w:name w:val="Normal (Web)"/>
    <w:basedOn w:val="Normal"/>
    <w:uiPriority w:val="99"/>
    <w:unhideWhenUsed/>
    <w:rsid w:val="00C0755E"/>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Fuentedeprrafopredeter"/>
    <w:rsid w:val="00C0755E"/>
  </w:style>
  <w:style w:type="character" w:customStyle="1" w:styleId="source-title">
    <w:name w:val="source-title"/>
    <w:basedOn w:val="Fuentedeprrafopredeter"/>
    <w:rsid w:val="00C0755E"/>
  </w:style>
  <w:style w:type="character" w:customStyle="1" w:styleId="source-count">
    <w:name w:val="source-count"/>
    <w:basedOn w:val="Fuentedeprrafopredeter"/>
    <w:rsid w:val="00C07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3535</Words>
  <Characters>19448</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DANUS BONTEMPINI, JAIME</cp:lastModifiedBy>
  <cp:revision>6</cp:revision>
  <dcterms:created xsi:type="dcterms:W3CDTF">2026-09-22T22:21:00Z</dcterms:created>
  <dcterms:modified xsi:type="dcterms:W3CDTF">2026-09-22T22:59:00Z</dcterms:modified>
</cp:coreProperties>
</file>