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ABD85" w14:textId="77777777" w:rsidR="00F65785" w:rsidRDefault="00F65785">
      <w:pPr>
        <w:jc w:val="center"/>
        <w:rPr>
          <w:b/>
          <w:sz w:val="36"/>
        </w:rPr>
      </w:pPr>
    </w:p>
    <w:p w14:paraId="4162A9F2" w14:textId="77777777" w:rsidR="00F65785" w:rsidRDefault="00F65785">
      <w:pPr>
        <w:jc w:val="center"/>
        <w:rPr>
          <w:b/>
          <w:sz w:val="36"/>
        </w:rPr>
      </w:pPr>
    </w:p>
    <w:p w14:paraId="7EE7DC18" w14:textId="77777777" w:rsidR="00F65785" w:rsidRDefault="00F65785">
      <w:pPr>
        <w:jc w:val="center"/>
        <w:rPr>
          <w:b/>
          <w:sz w:val="36"/>
        </w:rPr>
      </w:pPr>
    </w:p>
    <w:p w14:paraId="5B8A0B8D" w14:textId="77777777" w:rsidR="00F65785" w:rsidRDefault="00F65785">
      <w:pPr>
        <w:jc w:val="center"/>
        <w:rPr>
          <w:b/>
          <w:sz w:val="36"/>
        </w:rPr>
      </w:pPr>
    </w:p>
    <w:p w14:paraId="04837770" w14:textId="77777777" w:rsidR="00F65785" w:rsidRDefault="00F65785">
      <w:pPr>
        <w:jc w:val="center"/>
        <w:rPr>
          <w:b/>
          <w:sz w:val="36"/>
        </w:rPr>
      </w:pPr>
    </w:p>
    <w:p w14:paraId="3AA8DC62" w14:textId="77777777" w:rsidR="00F65785" w:rsidRDefault="00F65785">
      <w:pPr>
        <w:jc w:val="center"/>
        <w:rPr>
          <w:b/>
          <w:sz w:val="36"/>
        </w:rPr>
      </w:pPr>
    </w:p>
    <w:p w14:paraId="68135A9C" w14:textId="77777777" w:rsidR="00F65785" w:rsidRDefault="00F65785">
      <w:pPr>
        <w:jc w:val="center"/>
        <w:rPr>
          <w:b/>
          <w:sz w:val="36"/>
        </w:rPr>
      </w:pPr>
    </w:p>
    <w:p w14:paraId="71959172" w14:textId="7B1B798F" w:rsidR="00B333B1" w:rsidRDefault="00BB14F9">
      <w:pPr>
        <w:jc w:val="center"/>
        <w:rPr>
          <w:rFonts w:hint="eastAsia"/>
        </w:rPr>
      </w:pPr>
      <w:r>
        <w:rPr>
          <w:b/>
          <w:sz w:val="36"/>
        </w:rPr>
        <w:t>FIGBLOOM DIGITAL GROUP</w:t>
      </w:r>
    </w:p>
    <w:p w14:paraId="11F9C59E" w14:textId="77777777" w:rsidR="00B333B1" w:rsidRDefault="00BB14F9">
      <w:pPr>
        <w:jc w:val="center"/>
        <w:rPr>
          <w:rFonts w:hint="eastAsia"/>
        </w:rPr>
      </w:pPr>
      <w:r>
        <w:rPr>
          <w:b/>
          <w:sz w:val="28"/>
        </w:rPr>
        <w:t>CUSTOMER RELATIONSHIP MANAGEMENT (CRM)</w:t>
      </w:r>
    </w:p>
    <w:p w14:paraId="361EF3F9" w14:textId="77777777" w:rsidR="00B333B1" w:rsidRDefault="00BB14F9">
      <w:pPr>
        <w:jc w:val="center"/>
        <w:rPr>
          <w:rFonts w:hint="eastAsia"/>
        </w:rPr>
      </w:pPr>
      <w:r>
        <w:rPr>
          <w:b/>
          <w:sz w:val="44"/>
        </w:rPr>
        <w:t>CRM V1 ARCHITECTURE &amp; TENANT MODEL</w:t>
      </w:r>
    </w:p>
    <w:p w14:paraId="5C826C6D" w14:textId="77777777" w:rsidR="00B333B1" w:rsidRDefault="00BB14F9">
      <w:pPr>
        <w:jc w:val="center"/>
        <w:rPr>
          <w:rFonts w:hint="eastAsia"/>
        </w:rPr>
      </w:pPr>
      <w:r>
        <w:t>Linear Issue: FIG-436 — Define CRM V1 architecture and tenant model</w:t>
      </w:r>
    </w:p>
    <w:p w14:paraId="12866AB1" w14:textId="77777777" w:rsidR="00B333B1" w:rsidRDefault="00BB14F9">
      <w:pPr>
        <w:jc w:val="center"/>
        <w:rPr>
          <w:rFonts w:hint="eastAsia"/>
        </w:rPr>
      </w:pPr>
      <w:r>
        <w:t>Prepared for: Michael — Team Lead</w:t>
      </w:r>
    </w:p>
    <w:p w14:paraId="49B7BAA7" w14:textId="77777777" w:rsidR="00B333B1" w:rsidRDefault="00BB14F9">
      <w:pPr>
        <w:jc w:val="center"/>
        <w:rPr>
          <w:rFonts w:hint="eastAsia"/>
        </w:rPr>
      </w:pPr>
      <w:r>
        <w:t>Prepared by: Given Jim</w:t>
      </w:r>
    </w:p>
    <w:p w14:paraId="288074E8" w14:textId="77777777" w:rsidR="00B333B1" w:rsidRDefault="00BB14F9">
      <w:pPr>
        <w:jc w:val="center"/>
        <w:rPr>
          <w:rFonts w:hint="eastAsia"/>
        </w:rPr>
      </w:pPr>
      <w:r>
        <w:t>Date: 23 September 2026</w:t>
      </w:r>
    </w:p>
    <w:p w14:paraId="6311B2C2" w14:textId="77777777" w:rsidR="00B333B1" w:rsidRDefault="00BB14F9">
      <w:pPr>
        <w:jc w:val="center"/>
        <w:rPr>
          <w:rFonts w:hint="eastAsia"/>
        </w:rPr>
      </w:pPr>
      <w:r>
        <w:t>Document Status: Architecture Specification — For Stakeholder &amp; Technical Review</w:t>
      </w:r>
    </w:p>
    <w:p w14:paraId="3903AB72" w14:textId="77777777" w:rsidR="00B333B1" w:rsidRDefault="00BB14F9">
      <w:pPr>
        <w:rPr>
          <w:rFonts w:hint="eastAsia"/>
        </w:rPr>
      </w:pPr>
      <w:r>
        <w:br w:type="page"/>
      </w:r>
    </w:p>
    <w:p w14:paraId="5CD50EA0" w14:textId="77777777" w:rsidR="00B333B1" w:rsidRDefault="00BB14F9">
      <w:pPr>
        <w:pStyle w:val="Heading1"/>
      </w:pPr>
      <w:r>
        <w:lastRenderedPageBreak/>
        <w:t>1. Purpose</w:t>
      </w:r>
    </w:p>
    <w:p w14:paraId="749F04A3" w14:textId="77777777" w:rsidR="00B333B1" w:rsidRDefault="00BB14F9">
      <w:pPr>
        <w:rPr>
          <w:rFonts w:hint="eastAsia"/>
        </w:rPr>
      </w:pPr>
      <w:r>
        <w:t>This document defines the V1 technical architecture and tenant model for the tailored FigBloom CRM. It translates the approved requirements, MVP scope, and core d</w:t>
      </w:r>
      <w:r>
        <w:t>ata model into implementation-level architectural decisions while preserving a path for future external subscribers.</w:t>
      </w:r>
    </w:p>
    <w:p w14:paraId="1381CC5E" w14:textId="77777777" w:rsidR="00B333B1" w:rsidRDefault="00BB14F9">
      <w:pPr>
        <w:rPr>
          <w:rFonts w:hint="eastAsia"/>
        </w:rPr>
      </w:pPr>
      <w:r>
        <w:t>V1 supports the FigBloom internal CRM first. External subscriber support is a future capability. The architecture therefore avoids prematur</w:t>
      </w:r>
      <w:r>
        <w:t>e SaaS complexity while ensuring tenant boundaries, organization-scoped records, configuration, and access control are designed correctly from the beginning.</w:t>
      </w:r>
    </w:p>
    <w:p w14:paraId="7589DC08" w14:textId="77777777" w:rsidR="00B333B1" w:rsidRDefault="00BB14F9">
      <w:pPr>
        <w:pStyle w:val="Heading1"/>
      </w:pPr>
      <w:r>
        <w:t>2. Architectural Baseline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333B1" w14:paraId="7A015D82" w14:textId="77777777">
        <w:trPr>
          <w:jc w:val="center"/>
        </w:trPr>
        <w:tc>
          <w:tcPr>
            <w:tcW w:w="4968" w:type="dxa"/>
            <w:vAlign w:val="center"/>
          </w:tcPr>
          <w:p w14:paraId="44CB0D5A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Source</w:t>
            </w:r>
          </w:p>
        </w:tc>
        <w:tc>
          <w:tcPr>
            <w:tcW w:w="4968" w:type="dxa"/>
            <w:vAlign w:val="center"/>
          </w:tcPr>
          <w:p w14:paraId="3CCC05A5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Architectural implication</w:t>
            </w:r>
          </w:p>
        </w:tc>
      </w:tr>
      <w:tr w:rsidR="00B333B1" w14:paraId="7FE0EFB5" w14:textId="77777777">
        <w:trPr>
          <w:jc w:val="center"/>
        </w:trPr>
        <w:tc>
          <w:tcPr>
            <w:tcW w:w="4968" w:type="dxa"/>
            <w:vAlign w:val="center"/>
          </w:tcPr>
          <w:p w14:paraId="216D4AE0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FIG-297 Requirements</w:t>
            </w:r>
          </w:p>
        </w:tc>
        <w:tc>
          <w:tcPr>
            <w:tcW w:w="4968" w:type="dxa"/>
            <w:vAlign w:val="center"/>
          </w:tcPr>
          <w:p w14:paraId="78DE3695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Prioritize lead c</w:t>
            </w:r>
            <w:r>
              <w:rPr>
                <w:sz w:val="18"/>
              </w:rPr>
              <w:t>apture, ownership, follow-up, sales visibility, data quality, RBAC, auditability, and integrations.</w:t>
            </w:r>
          </w:p>
        </w:tc>
      </w:tr>
      <w:tr w:rsidR="00B333B1" w14:paraId="5787481C" w14:textId="77777777">
        <w:trPr>
          <w:jc w:val="center"/>
        </w:trPr>
        <w:tc>
          <w:tcPr>
            <w:tcW w:w="4968" w:type="dxa"/>
            <w:vAlign w:val="center"/>
          </w:tcPr>
          <w:p w14:paraId="7358DD13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FIG-300 MVP Scope</w:t>
            </w:r>
          </w:p>
        </w:tc>
        <w:tc>
          <w:tcPr>
            <w:tcW w:w="4968" w:type="dxa"/>
            <w:vAlign w:val="center"/>
          </w:tcPr>
          <w:p w14:paraId="33261884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Implement the agreed V1 workflow without full project management, accounting, advanced marketing, full WhatsApp synchronization, or custo</w:t>
            </w:r>
            <w:r>
              <w:rPr>
                <w:sz w:val="18"/>
              </w:rPr>
              <w:t>m AI.</w:t>
            </w:r>
          </w:p>
        </w:tc>
      </w:tr>
      <w:tr w:rsidR="00B333B1" w14:paraId="45EFA4C9" w14:textId="77777777">
        <w:trPr>
          <w:jc w:val="center"/>
        </w:trPr>
        <w:tc>
          <w:tcPr>
            <w:tcW w:w="4968" w:type="dxa"/>
            <w:vAlign w:val="center"/>
          </w:tcPr>
          <w:p w14:paraId="7BE630EF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FIG-299 Core Data Model</w:t>
            </w:r>
          </w:p>
        </w:tc>
        <w:tc>
          <w:tcPr>
            <w:tcW w:w="4968" w:type="dxa"/>
            <w:vAlign w:val="center"/>
          </w:tcPr>
          <w:p w14:paraId="48F04E10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Maintain distinct Lead, Deal, Company, Contact, Activity, Task, Communication, Service/Product, Proposal Reference, and Audit Event concepts.</w:t>
            </w:r>
          </w:p>
        </w:tc>
      </w:tr>
      <w:tr w:rsidR="00B333B1" w14:paraId="27A1E8D3" w14:textId="77777777">
        <w:trPr>
          <w:jc w:val="center"/>
        </w:trPr>
        <w:tc>
          <w:tcPr>
            <w:tcW w:w="4968" w:type="dxa"/>
            <w:vAlign w:val="center"/>
          </w:tcPr>
          <w:p w14:paraId="15919F38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FIG-444 Future Readiness</w:t>
            </w:r>
          </w:p>
        </w:tc>
        <w:tc>
          <w:tcPr>
            <w:tcW w:w="4968" w:type="dxa"/>
            <w:vAlign w:val="center"/>
          </w:tcPr>
          <w:p w14:paraId="0E95E5EA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 xml:space="preserve">Maintain clean tenant boundaries and </w:t>
            </w:r>
            <w:r>
              <w:rPr>
                <w:sz w:val="18"/>
              </w:rPr>
              <w:t>configurable business rules for a controlled future external pilot.</w:t>
            </w:r>
          </w:p>
        </w:tc>
      </w:tr>
    </w:tbl>
    <w:p w14:paraId="096D9D94" w14:textId="77777777" w:rsidR="00B333B1" w:rsidRDefault="00BB14F9">
      <w:pPr>
        <w:pStyle w:val="Heading1"/>
      </w:pPr>
      <w:r>
        <w:t>3. V1 Architecture Decision Summary</w:t>
      </w:r>
    </w:p>
    <w:p w14:paraId="4D42EFB6" w14:textId="77777777" w:rsidR="00B333B1" w:rsidRDefault="00BB14F9">
      <w:pPr>
        <w:pStyle w:val="ListBullet"/>
        <w:rPr>
          <w:rFonts w:hint="eastAsia"/>
        </w:rPr>
      </w:pPr>
      <w:r>
        <w:t>Architecture style: Modular web application with clear presentation, application/API, data, integration, and background-processing boundaries.</w:t>
      </w:r>
    </w:p>
    <w:p w14:paraId="1BF2F4C2" w14:textId="77777777" w:rsidR="00B333B1" w:rsidRDefault="00BB14F9">
      <w:pPr>
        <w:pStyle w:val="ListBullet"/>
        <w:rPr>
          <w:rFonts w:hint="eastAsia"/>
        </w:rPr>
      </w:pPr>
      <w:r>
        <w:t>Tenant m</w:t>
      </w:r>
      <w:r>
        <w:t>odel: Organization = tenant.</w:t>
      </w:r>
    </w:p>
    <w:p w14:paraId="52A46F92" w14:textId="77777777" w:rsidR="00B333B1" w:rsidRDefault="00BB14F9">
      <w:pPr>
        <w:pStyle w:val="ListBullet"/>
        <w:rPr>
          <w:rFonts w:hint="eastAsia"/>
        </w:rPr>
      </w:pPr>
      <w:r>
        <w:t>Database: Shared database with strict organization-scoped records.</w:t>
      </w:r>
    </w:p>
    <w:p w14:paraId="09591D9E" w14:textId="77777777" w:rsidR="00B333B1" w:rsidRDefault="00BB14F9">
      <w:pPr>
        <w:pStyle w:val="ListBullet"/>
        <w:rPr>
          <w:rFonts w:hint="eastAsia"/>
        </w:rPr>
      </w:pPr>
      <w:r>
        <w:t>Tenant isolation: Every organization-owned business record has organization scope; authorization is enforced server-side and, where supported, at database polic</w:t>
      </w:r>
      <w:r>
        <w:t>y level rather than through the UI alone.</w:t>
      </w:r>
    </w:p>
    <w:p w14:paraId="3AD1E741" w14:textId="77777777" w:rsidR="00B333B1" w:rsidRDefault="00BB14F9">
      <w:pPr>
        <w:pStyle w:val="ListBullet"/>
        <w:rPr>
          <w:rFonts w:hint="eastAsia"/>
        </w:rPr>
      </w:pPr>
      <w:r>
        <w:t>User identity: Global authenticated identity; organization membership determines tenant access and role.</w:t>
      </w:r>
    </w:p>
    <w:p w14:paraId="21A16C93" w14:textId="77777777" w:rsidR="00B333B1" w:rsidRDefault="00BB14F9">
      <w:pPr>
        <w:pStyle w:val="ListBullet"/>
        <w:rPr>
          <w:rFonts w:hint="eastAsia"/>
        </w:rPr>
      </w:pPr>
      <w:r>
        <w:t>Initial roles: Management, Sales, Delivery, Finance, and Restricted Technical.</w:t>
      </w:r>
    </w:p>
    <w:p w14:paraId="48CF1393" w14:textId="77777777" w:rsidR="00B333B1" w:rsidRDefault="00BB14F9">
      <w:pPr>
        <w:pStyle w:val="ListBullet"/>
        <w:rPr>
          <w:rFonts w:hint="eastAsia"/>
        </w:rPr>
      </w:pPr>
      <w:r>
        <w:t>Configuration: Organization-sp</w:t>
      </w:r>
      <w:r>
        <w:t>ecific pipeline stages, lead sources, services, lost reasons, lifecycle states, and assignment rules are data/configuration rather than hard-coded values.</w:t>
      </w:r>
    </w:p>
    <w:p w14:paraId="4B2ED5E1" w14:textId="77777777" w:rsidR="00B333B1" w:rsidRDefault="00BB14F9">
      <w:pPr>
        <w:pStyle w:val="ListBullet"/>
        <w:rPr>
          <w:rFonts w:hint="eastAsia"/>
        </w:rPr>
      </w:pPr>
      <w:r>
        <w:t>Modules: Identity/Access, Leads, Contacts/Companies, Deals/Pipeline, Activities/Tasks, Communications</w:t>
      </w:r>
      <w:r>
        <w:t>, Reporting, Integrations, and Audit.</w:t>
      </w:r>
    </w:p>
    <w:p w14:paraId="5ECFECA8" w14:textId="77777777" w:rsidR="00B333B1" w:rsidRDefault="00BB14F9">
      <w:pPr>
        <w:pStyle w:val="ListBullet"/>
        <w:rPr>
          <w:rFonts w:hint="eastAsia"/>
        </w:rPr>
      </w:pPr>
      <w:r>
        <w:t>Reporting: Role- and organization-scoped reporting layer with documented metrics.</w:t>
      </w:r>
    </w:p>
    <w:p w14:paraId="69B6D3A7" w14:textId="77777777" w:rsidR="00B333B1" w:rsidRDefault="00BB14F9">
      <w:pPr>
        <w:pStyle w:val="ListBullet"/>
        <w:rPr>
          <w:rFonts w:hint="eastAsia"/>
        </w:rPr>
      </w:pPr>
      <w:r>
        <w:t>Integrations: Explicit API/webhook boundaries; no direct unrestricted table manipulation by external systems.</w:t>
      </w:r>
    </w:p>
    <w:p w14:paraId="25E299B7" w14:textId="77777777" w:rsidR="00B333B1" w:rsidRDefault="00BB14F9">
      <w:pPr>
        <w:pStyle w:val="ListBullet"/>
        <w:rPr>
          <w:rFonts w:hint="eastAsia"/>
        </w:rPr>
      </w:pPr>
      <w:r>
        <w:t>Background processing: Not</w:t>
      </w:r>
      <w:r>
        <w:t>ifications, retries, and acknowledgement workflows are asynchronous where appropriate.</w:t>
      </w:r>
    </w:p>
    <w:p w14:paraId="012FD87A" w14:textId="77777777" w:rsidR="00B333B1" w:rsidRDefault="00BB14F9">
      <w:pPr>
        <w:pStyle w:val="ListBullet"/>
        <w:rPr>
          <w:rFonts w:hint="eastAsia"/>
        </w:rPr>
      </w:pPr>
      <w:r>
        <w:t>Deployment: Centrally managed environments with environment separation and controlled migrations; exact infrastructure remains an implementation decision.</w:t>
      </w:r>
    </w:p>
    <w:p w14:paraId="23906F61" w14:textId="77777777" w:rsidR="00B333B1" w:rsidRDefault="00BB14F9">
      <w:pPr>
        <w:pStyle w:val="ListBullet"/>
        <w:rPr>
          <w:rFonts w:hint="eastAsia"/>
        </w:rPr>
      </w:pPr>
      <w:r>
        <w:t>External subsc</w:t>
      </w:r>
      <w:r>
        <w:t>ribers: Supported as a future direction, while billing, self-service onboarding, white-labeling, and advanced tenant administration remain deferred.</w:t>
      </w:r>
    </w:p>
    <w:p w14:paraId="770D9269" w14:textId="77777777" w:rsidR="00B333B1" w:rsidRDefault="00BB14F9">
      <w:pPr>
        <w:pStyle w:val="Heading1"/>
      </w:pPr>
      <w:r>
        <w:t>4. Tenant / Organization Model</w:t>
      </w:r>
    </w:p>
    <w:p w14:paraId="5EB6B7FF" w14:textId="77777777" w:rsidR="00B333B1" w:rsidRDefault="00BB14F9">
      <w:pPr>
        <w:pStyle w:val="ListBullet"/>
        <w:rPr>
          <w:rFonts w:hint="eastAsia"/>
        </w:rPr>
      </w:pPr>
      <w:r>
        <w:t>Organization = Tenant.</w:t>
      </w:r>
    </w:p>
    <w:p w14:paraId="22BD9ECF" w14:textId="77777777" w:rsidR="00B333B1" w:rsidRDefault="00BB14F9">
      <w:pPr>
        <w:pStyle w:val="ListBullet"/>
        <w:rPr>
          <w:rFonts w:hint="eastAsia"/>
        </w:rPr>
      </w:pPr>
      <w:r>
        <w:t>FigBloom operates as one organization in V1; each fut</w:t>
      </w:r>
      <w:r>
        <w:t>ure external subscriber would be represented by a separate organization.</w:t>
      </w:r>
    </w:p>
    <w:p w14:paraId="5F8237A0" w14:textId="77777777" w:rsidR="00B333B1" w:rsidRDefault="00BB14F9">
      <w:pPr>
        <w:pStyle w:val="ListBullet"/>
        <w:rPr>
          <w:rFonts w:hint="eastAsia"/>
        </w:rPr>
      </w:pPr>
      <w:r>
        <w:lastRenderedPageBreak/>
        <w:t>The organization owns its users/memberships, CRM records, configuration, and audit history.</w:t>
      </w:r>
    </w:p>
    <w:p w14:paraId="219CD975" w14:textId="77777777" w:rsidR="00B333B1" w:rsidRDefault="00BB14F9">
      <w:pPr>
        <w:pStyle w:val="ListBullet"/>
        <w:rPr>
          <w:rFonts w:hint="eastAsia"/>
        </w:rPr>
      </w:pPr>
      <w:r>
        <w:t>Organization-owned records are associated with exactly one organization.</w:t>
      </w:r>
    </w:p>
    <w:p w14:paraId="194F194D" w14:textId="77777777" w:rsidR="00B333B1" w:rsidRDefault="00BB14F9">
      <w:pPr>
        <w:pStyle w:val="ListBullet"/>
        <w:rPr>
          <w:rFonts w:hint="eastAsia"/>
        </w:rPr>
      </w:pPr>
      <w:r>
        <w:t>Cross-organization access is prohibited unless a future platform capability explicitly introduces it.</w:t>
      </w:r>
    </w:p>
    <w:p w14:paraId="0A8A5081" w14:textId="77777777" w:rsidR="00B333B1" w:rsidRDefault="00BB14F9">
      <w:pPr>
        <w:pStyle w:val="ListBullet"/>
        <w:rPr>
          <w:rFonts w:hint="eastAsia"/>
        </w:rPr>
      </w:pPr>
      <w:r>
        <w:t>Platform-level administration is separate from ordinary organization users.</w:t>
      </w:r>
    </w:p>
    <w:p w14:paraId="773F1ACF" w14:textId="77777777" w:rsidR="00B333B1" w:rsidRDefault="00BB14F9">
      <w:pPr>
        <w:pStyle w:val="Heading1"/>
      </w:pPr>
      <w:r>
        <w:t>5. User, Membership, Role Model</w:t>
      </w:r>
    </w:p>
    <w:p w14:paraId="4AF46F02" w14:textId="77777777" w:rsidR="00B333B1" w:rsidRDefault="00BB14F9">
      <w:pPr>
        <w:pStyle w:val="ListBullet"/>
        <w:rPr>
          <w:rFonts w:hint="eastAsia"/>
        </w:rPr>
      </w:pPr>
      <w:r>
        <w:t xml:space="preserve">User and organization membership are </w:t>
      </w:r>
      <w:r>
        <w:t>separate concepts.</w:t>
      </w:r>
    </w:p>
    <w:p w14:paraId="1E538AA7" w14:textId="77777777" w:rsidR="00B333B1" w:rsidRDefault="00BB14F9">
      <w:pPr>
        <w:pStyle w:val="ListBullet"/>
        <w:rPr>
          <w:rFonts w:hint="eastAsia"/>
        </w:rPr>
      </w:pPr>
      <w:r>
        <w:t>User = authenticated identity.</w:t>
      </w:r>
    </w:p>
    <w:p w14:paraId="05FAE3DD" w14:textId="77777777" w:rsidR="00B333B1" w:rsidRDefault="00BB14F9">
      <w:pPr>
        <w:pStyle w:val="ListBullet"/>
        <w:rPr>
          <w:rFonts w:hint="eastAsia"/>
        </w:rPr>
      </w:pPr>
      <w:r>
        <w:t>Membership = the user's relationship to an organization, including role/permission set.</w:t>
      </w:r>
    </w:p>
    <w:p w14:paraId="05045BCC" w14:textId="77777777" w:rsidR="00B333B1" w:rsidRDefault="00BB14F9">
      <w:pPr>
        <w:pStyle w:val="ListBullet"/>
        <w:rPr>
          <w:rFonts w:hint="eastAsia"/>
        </w:rPr>
      </w:pPr>
      <w:r>
        <w:t>A user may have multiple organization memberships in the future.</w:t>
      </w:r>
    </w:p>
    <w:p w14:paraId="134251AA" w14:textId="77777777" w:rsidR="00B333B1" w:rsidRDefault="00BB14F9">
      <w:pPr>
        <w:pStyle w:val="ListBullet"/>
        <w:rPr>
          <w:rFonts w:hint="eastAsia"/>
        </w:rPr>
      </w:pPr>
      <w:r>
        <w:t>Membership identifies the organization and role/permi</w:t>
      </w:r>
      <w:r>
        <w:t>ssion set.</w:t>
      </w:r>
    </w:p>
    <w:p w14:paraId="7243B534" w14:textId="77777777" w:rsidR="00B333B1" w:rsidRDefault="00BB14F9">
      <w:pPr>
        <w:pStyle w:val="ListBullet"/>
        <w:rPr>
          <w:rFonts w:hint="eastAsia"/>
        </w:rPr>
      </w:pPr>
      <w:r>
        <w:t>Permissions are evaluated in the active organization context.</w:t>
      </w:r>
    </w:p>
    <w:p w14:paraId="2A8B92EA" w14:textId="77777777" w:rsidR="00B333B1" w:rsidRDefault="00BB14F9">
      <w:pPr>
        <w:pStyle w:val="ListBullet"/>
        <w:rPr>
          <w:rFonts w:hint="eastAsia"/>
        </w:rPr>
      </w:pPr>
      <w:r>
        <w:t>Initial roles: Management, Sales, Delivery, Finance, and Restricted Technical.</w:t>
      </w:r>
    </w:p>
    <w:p w14:paraId="478FDAC6" w14:textId="77777777" w:rsidR="00B333B1" w:rsidRDefault="00BB14F9">
      <w:pPr>
        <w:pStyle w:val="ListBullet"/>
        <w:rPr>
          <w:rFonts w:hint="eastAsia"/>
        </w:rPr>
      </w:pPr>
      <w:r>
        <w:t>Role definitions are permission-based, not merely UI-visibility rules.</w:t>
      </w:r>
    </w:p>
    <w:p w14:paraId="74C8A782" w14:textId="77777777" w:rsidR="00B333B1" w:rsidRDefault="00BB14F9">
      <w:pPr>
        <w:pStyle w:val="ListBullet"/>
        <w:rPr>
          <w:rFonts w:hint="eastAsia"/>
        </w:rPr>
      </w:pPr>
      <w:r>
        <w:t>Sensitive information is protecte</w:t>
      </w:r>
      <w:r>
        <w:t>d server-side.</w:t>
      </w:r>
    </w:p>
    <w:p w14:paraId="50CF0E4D" w14:textId="77777777" w:rsidR="00B333B1" w:rsidRDefault="00BB14F9">
      <w:pPr>
        <w:pStyle w:val="Heading1"/>
      </w:pPr>
      <w:r>
        <w:t>6. Tenant Isolation and Record Scoping</w:t>
      </w:r>
    </w:p>
    <w:p w14:paraId="3264855A" w14:textId="77777777" w:rsidR="00B333B1" w:rsidRDefault="00BB14F9">
      <w:pPr>
        <w:pStyle w:val="ListBullet"/>
        <w:rPr>
          <w:rFonts w:hint="eastAsia"/>
        </w:rPr>
      </w:pPr>
      <w:r>
        <w:t>V1 uses a shared database with logical tenant isolation.</w:t>
      </w:r>
    </w:p>
    <w:p w14:paraId="555C9E51" w14:textId="77777777" w:rsidR="00B333B1" w:rsidRDefault="00BB14F9">
      <w:pPr>
        <w:pStyle w:val="ListBullet"/>
        <w:rPr>
          <w:rFonts w:hint="eastAsia"/>
        </w:rPr>
      </w:pPr>
      <w:r>
        <w:t>Every organization-owned record carries an organization reference, including companies, contacts, leads, deals, organization-specific pipeline st</w:t>
      </w:r>
      <w:r>
        <w:t>ages, services, activities, tasks, communications, proposal references, and audit events.</w:t>
      </w:r>
    </w:p>
    <w:p w14:paraId="5D327459" w14:textId="77777777" w:rsidR="00B333B1" w:rsidRDefault="00BB14F9">
      <w:pPr>
        <w:pStyle w:val="ListBullet"/>
        <w:rPr>
          <w:rFonts w:hint="eastAsia"/>
        </w:rPr>
      </w:pPr>
      <w:r>
        <w:t>All CRUD operations resolve the authorized organization before access.</w:t>
      </w:r>
    </w:p>
    <w:p w14:paraId="73A65BE3" w14:textId="77777777" w:rsidR="00B333B1" w:rsidRDefault="00BB14F9">
      <w:pPr>
        <w:pStyle w:val="ListBullet"/>
        <w:rPr>
          <w:rFonts w:hint="eastAsia"/>
        </w:rPr>
      </w:pPr>
      <w:r>
        <w:t>The frontend must not be trusted to enforce tenant boundaries.</w:t>
      </w:r>
    </w:p>
    <w:p w14:paraId="50200056" w14:textId="77777777" w:rsidR="00B333B1" w:rsidRDefault="00BB14F9">
      <w:pPr>
        <w:pStyle w:val="ListBullet"/>
        <w:rPr>
          <w:rFonts w:hint="eastAsia"/>
        </w:rPr>
      </w:pPr>
      <w:r>
        <w:t>Server/API authorization verifie</w:t>
      </w:r>
      <w:r>
        <w:t>s membership and permission.</w:t>
      </w:r>
    </w:p>
    <w:p w14:paraId="76B9BA3B" w14:textId="77777777" w:rsidR="00B333B1" w:rsidRDefault="00BB14F9">
      <w:pPr>
        <w:pStyle w:val="ListBullet"/>
        <w:rPr>
          <w:rFonts w:hint="eastAsia"/>
        </w:rPr>
      </w:pPr>
      <w:r>
        <w:t>Queries consistently apply organization scope.</w:t>
      </w:r>
    </w:p>
    <w:p w14:paraId="4E2A6537" w14:textId="77777777" w:rsidR="00B333B1" w:rsidRDefault="00BB14F9">
      <w:pPr>
        <w:pStyle w:val="ListBullet"/>
        <w:rPr>
          <w:rFonts w:hint="eastAsia"/>
        </w:rPr>
      </w:pPr>
      <w:r>
        <w:t>Foreign-key relationships prevent cross-organization relationships.</w:t>
      </w:r>
    </w:p>
    <w:p w14:paraId="4B79CB84" w14:textId="77777777" w:rsidR="00B333B1" w:rsidRDefault="00BB14F9">
      <w:pPr>
        <w:pStyle w:val="ListBullet"/>
        <w:rPr>
          <w:rFonts w:hint="eastAsia"/>
        </w:rPr>
      </w:pPr>
      <w:r>
        <w:t>Access-control tests must include deliberate cross-tenant access attempts.</w:t>
      </w:r>
    </w:p>
    <w:p w14:paraId="1A816D4F" w14:textId="77777777" w:rsidR="00B333B1" w:rsidRDefault="00BB14F9">
      <w:pPr>
        <w:pStyle w:val="Heading1"/>
      </w:pPr>
      <w:r>
        <w:t>7. Authentication and Authorization B</w:t>
      </w:r>
      <w:r>
        <w:t>oundary</w:t>
      </w:r>
    </w:p>
    <w:p w14:paraId="724B27D1" w14:textId="77777777" w:rsidR="00B333B1" w:rsidRDefault="00BB14F9">
      <w:pPr>
        <w:rPr>
          <w:rFonts w:hint="eastAsia"/>
        </w:rPr>
      </w:pPr>
      <w:r>
        <w:t>Authentication establishes who the user is; authorization establishes what the authenticated user may access or change within the active organization.</w:t>
      </w:r>
    </w:p>
    <w:p w14:paraId="48437F00" w14:textId="77777777" w:rsidR="00B333B1" w:rsidRDefault="00BB14F9">
      <w:pPr>
        <w:pStyle w:val="ListBullet"/>
        <w:rPr>
          <w:rFonts w:hint="eastAsia"/>
        </w:rPr>
      </w:pPr>
      <w:r>
        <w:t>Authentication is handled by the chosen identity/authentication layer.</w:t>
      </w:r>
    </w:p>
    <w:p w14:paraId="606C096D" w14:textId="77777777" w:rsidR="00B333B1" w:rsidRDefault="00BB14F9">
      <w:pPr>
        <w:pStyle w:val="ListBullet"/>
        <w:rPr>
          <w:rFonts w:hint="eastAsia"/>
        </w:rPr>
      </w:pPr>
      <w:r>
        <w:t xml:space="preserve">Authorization is enforced </w:t>
      </w:r>
      <w:r>
        <w:t>by the application/API and, where supported, by database policies.</w:t>
      </w:r>
    </w:p>
    <w:p w14:paraId="2BB2800D" w14:textId="77777777" w:rsidR="00B333B1" w:rsidRDefault="00BB14F9">
      <w:pPr>
        <w:pStyle w:val="ListBullet"/>
        <w:rPr>
          <w:rFonts w:hint="eastAsia"/>
        </w:rPr>
      </w:pPr>
      <w:r>
        <w:t>A protected request establishes the user's organization membership and permissions before business data is accessed.</w:t>
      </w:r>
    </w:p>
    <w:p w14:paraId="79E74A50" w14:textId="77777777" w:rsidR="00B333B1" w:rsidRDefault="00BB14F9">
      <w:pPr>
        <w:pStyle w:val="ListBullet"/>
        <w:rPr>
          <w:rFonts w:hint="eastAsia"/>
        </w:rPr>
      </w:pPr>
      <w:r>
        <w:t>Role-specific UI improves usability but is not a security boundary.</w:t>
      </w:r>
    </w:p>
    <w:p w14:paraId="391AC5DD" w14:textId="77777777" w:rsidR="00B333B1" w:rsidRDefault="00BB14F9">
      <w:pPr>
        <w:pStyle w:val="ListBullet"/>
        <w:rPr>
          <w:rFonts w:hint="eastAsia"/>
        </w:rPr>
      </w:pPr>
      <w:r>
        <w:t>Tech</w:t>
      </w:r>
      <w:r>
        <w:t>nical/restricted access is limited and audited.</w:t>
      </w:r>
    </w:p>
    <w:p w14:paraId="53259137" w14:textId="77777777" w:rsidR="00B333B1" w:rsidRDefault="00BB14F9">
      <w:pPr>
        <w:pStyle w:val="Heading1"/>
      </w:pPr>
      <w:r>
        <w:t>8. Configuration vs Hard-Coded 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333B1" w14:paraId="329BBF20" w14:textId="77777777">
        <w:trPr>
          <w:jc w:val="center"/>
        </w:trPr>
        <w:tc>
          <w:tcPr>
            <w:tcW w:w="4968" w:type="dxa"/>
            <w:vAlign w:val="center"/>
          </w:tcPr>
          <w:p w14:paraId="6340D454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Data / behavior</w:t>
            </w:r>
          </w:p>
        </w:tc>
        <w:tc>
          <w:tcPr>
            <w:tcW w:w="4968" w:type="dxa"/>
            <w:vAlign w:val="center"/>
          </w:tcPr>
          <w:p w14:paraId="491E8331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V1 treatment</w:t>
            </w:r>
          </w:p>
        </w:tc>
      </w:tr>
      <w:tr w:rsidR="00B333B1" w14:paraId="74487D0D" w14:textId="77777777">
        <w:trPr>
          <w:jc w:val="center"/>
        </w:trPr>
        <w:tc>
          <w:tcPr>
            <w:tcW w:w="4968" w:type="dxa"/>
            <w:vAlign w:val="center"/>
          </w:tcPr>
          <w:p w14:paraId="1BFFFDAD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Pipeline stages</w:t>
            </w:r>
          </w:p>
        </w:tc>
        <w:tc>
          <w:tcPr>
            <w:tcW w:w="4968" w:type="dxa"/>
            <w:vAlign w:val="center"/>
          </w:tcPr>
          <w:p w14:paraId="46B3A186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Configurable organization data</w:t>
            </w:r>
          </w:p>
        </w:tc>
      </w:tr>
      <w:tr w:rsidR="00B333B1" w14:paraId="0DF78CA6" w14:textId="77777777">
        <w:trPr>
          <w:jc w:val="center"/>
        </w:trPr>
        <w:tc>
          <w:tcPr>
            <w:tcW w:w="4968" w:type="dxa"/>
            <w:vAlign w:val="center"/>
          </w:tcPr>
          <w:p w14:paraId="1BF240BB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Lead sources</w:t>
            </w:r>
          </w:p>
        </w:tc>
        <w:tc>
          <w:tcPr>
            <w:tcW w:w="4968" w:type="dxa"/>
            <w:vAlign w:val="center"/>
          </w:tcPr>
          <w:p w14:paraId="37A9F3B7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Configurable organization data</w:t>
            </w:r>
          </w:p>
        </w:tc>
      </w:tr>
      <w:tr w:rsidR="00B333B1" w14:paraId="37523C61" w14:textId="77777777">
        <w:trPr>
          <w:jc w:val="center"/>
        </w:trPr>
        <w:tc>
          <w:tcPr>
            <w:tcW w:w="4968" w:type="dxa"/>
            <w:vAlign w:val="center"/>
          </w:tcPr>
          <w:p w14:paraId="6CDB759F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Services / products</w:t>
            </w:r>
          </w:p>
        </w:tc>
        <w:tc>
          <w:tcPr>
            <w:tcW w:w="4968" w:type="dxa"/>
            <w:vAlign w:val="center"/>
          </w:tcPr>
          <w:p w14:paraId="3A3C533E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Configurable organization data</w:t>
            </w:r>
          </w:p>
        </w:tc>
      </w:tr>
      <w:tr w:rsidR="00B333B1" w14:paraId="1BB1B3DE" w14:textId="77777777">
        <w:trPr>
          <w:jc w:val="center"/>
        </w:trPr>
        <w:tc>
          <w:tcPr>
            <w:tcW w:w="4968" w:type="dxa"/>
            <w:vAlign w:val="center"/>
          </w:tcPr>
          <w:p w14:paraId="68E31A52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Lost reasons</w:t>
            </w:r>
          </w:p>
        </w:tc>
        <w:tc>
          <w:tcPr>
            <w:tcW w:w="4968" w:type="dxa"/>
            <w:vAlign w:val="center"/>
          </w:tcPr>
          <w:p w14:paraId="6B75A7C2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Configurable organization data</w:t>
            </w:r>
          </w:p>
        </w:tc>
      </w:tr>
      <w:tr w:rsidR="00B333B1" w14:paraId="0B32D571" w14:textId="77777777">
        <w:trPr>
          <w:jc w:val="center"/>
        </w:trPr>
        <w:tc>
          <w:tcPr>
            <w:tcW w:w="4968" w:type="dxa"/>
            <w:vAlign w:val="center"/>
          </w:tcPr>
          <w:p w14:paraId="0B4DFED4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Customer lifecycle states</w:t>
            </w:r>
          </w:p>
        </w:tc>
        <w:tc>
          <w:tcPr>
            <w:tcW w:w="4968" w:type="dxa"/>
            <w:vAlign w:val="center"/>
          </w:tcPr>
          <w:p w14:paraId="4A35C0D0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Configurable organization data</w:t>
            </w:r>
          </w:p>
        </w:tc>
      </w:tr>
      <w:tr w:rsidR="00B333B1" w14:paraId="02139A02" w14:textId="77777777">
        <w:trPr>
          <w:jc w:val="center"/>
        </w:trPr>
        <w:tc>
          <w:tcPr>
            <w:tcW w:w="4968" w:type="dxa"/>
            <w:vAlign w:val="center"/>
          </w:tcPr>
          <w:p w14:paraId="3832F66A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Assignment rules</w:t>
            </w:r>
          </w:p>
        </w:tc>
        <w:tc>
          <w:tcPr>
            <w:tcW w:w="4968" w:type="dxa"/>
            <w:vAlign w:val="center"/>
          </w:tcPr>
          <w:p w14:paraId="16241A5A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Configurable organization data</w:t>
            </w:r>
          </w:p>
        </w:tc>
      </w:tr>
      <w:tr w:rsidR="00B333B1" w14:paraId="0A07B75D" w14:textId="77777777">
        <w:trPr>
          <w:jc w:val="center"/>
        </w:trPr>
        <w:tc>
          <w:tcPr>
            <w:tcW w:w="4968" w:type="dxa"/>
            <w:vAlign w:val="center"/>
          </w:tcPr>
          <w:p w14:paraId="4507F1C1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Organization CRM settings</w:t>
            </w:r>
          </w:p>
        </w:tc>
        <w:tc>
          <w:tcPr>
            <w:tcW w:w="4968" w:type="dxa"/>
            <w:vAlign w:val="center"/>
          </w:tcPr>
          <w:p w14:paraId="5CD24757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Configurable organization data</w:t>
            </w:r>
          </w:p>
        </w:tc>
      </w:tr>
      <w:tr w:rsidR="00B333B1" w14:paraId="310BFBF5" w14:textId="77777777">
        <w:trPr>
          <w:jc w:val="center"/>
        </w:trPr>
        <w:tc>
          <w:tcPr>
            <w:tcW w:w="4968" w:type="dxa"/>
            <w:vAlign w:val="center"/>
          </w:tcPr>
          <w:p w14:paraId="65122DB2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 xml:space="preserve">Tenant </w:t>
            </w:r>
            <w:r>
              <w:rPr>
                <w:sz w:val="18"/>
              </w:rPr>
              <w:t>isolation</w:t>
            </w:r>
          </w:p>
        </w:tc>
        <w:tc>
          <w:tcPr>
            <w:tcW w:w="4968" w:type="dxa"/>
            <w:vAlign w:val="center"/>
          </w:tcPr>
          <w:p w14:paraId="056FE760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Application/security rule</w:t>
            </w:r>
          </w:p>
        </w:tc>
      </w:tr>
      <w:tr w:rsidR="00B333B1" w14:paraId="142F03C3" w14:textId="77777777">
        <w:trPr>
          <w:jc w:val="center"/>
        </w:trPr>
        <w:tc>
          <w:tcPr>
            <w:tcW w:w="4968" w:type="dxa"/>
            <w:vAlign w:val="center"/>
          </w:tcPr>
          <w:p w14:paraId="33CDB4AE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Authentication &amp; authorization</w:t>
            </w:r>
          </w:p>
        </w:tc>
        <w:tc>
          <w:tcPr>
            <w:tcW w:w="4968" w:type="dxa"/>
            <w:vAlign w:val="center"/>
          </w:tcPr>
          <w:p w14:paraId="75994668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Application/security rule</w:t>
            </w:r>
          </w:p>
        </w:tc>
      </w:tr>
      <w:tr w:rsidR="00B333B1" w14:paraId="05043EEB" w14:textId="77777777">
        <w:trPr>
          <w:jc w:val="center"/>
        </w:trPr>
        <w:tc>
          <w:tcPr>
            <w:tcW w:w="4968" w:type="dxa"/>
            <w:vAlign w:val="center"/>
          </w:tcPr>
          <w:p w14:paraId="6AB00C9B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Relationship integrity</w:t>
            </w:r>
          </w:p>
        </w:tc>
        <w:tc>
          <w:tcPr>
            <w:tcW w:w="4968" w:type="dxa"/>
            <w:vAlign w:val="center"/>
          </w:tcPr>
          <w:p w14:paraId="7EE07C0F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Application/data rule</w:t>
            </w:r>
          </w:p>
        </w:tc>
      </w:tr>
      <w:tr w:rsidR="00B333B1" w14:paraId="369B5548" w14:textId="77777777">
        <w:trPr>
          <w:jc w:val="center"/>
        </w:trPr>
        <w:tc>
          <w:tcPr>
            <w:tcW w:w="4968" w:type="dxa"/>
            <w:vAlign w:val="center"/>
          </w:tcPr>
          <w:p w14:paraId="0EEE6D67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Lead conversion behavior</w:t>
            </w:r>
          </w:p>
        </w:tc>
        <w:tc>
          <w:tcPr>
            <w:tcW w:w="4968" w:type="dxa"/>
            <w:vAlign w:val="center"/>
          </w:tcPr>
          <w:p w14:paraId="6BE7CC73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Application workflow</w:t>
            </w:r>
          </w:p>
        </w:tc>
      </w:tr>
      <w:tr w:rsidR="00B333B1" w14:paraId="035E2E19" w14:textId="77777777">
        <w:trPr>
          <w:jc w:val="center"/>
        </w:trPr>
        <w:tc>
          <w:tcPr>
            <w:tcW w:w="4968" w:type="dxa"/>
            <w:vAlign w:val="center"/>
          </w:tcPr>
          <w:p w14:paraId="00238E97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Audit event creation</w:t>
            </w:r>
          </w:p>
        </w:tc>
        <w:tc>
          <w:tcPr>
            <w:tcW w:w="4968" w:type="dxa"/>
            <w:vAlign w:val="center"/>
          </w:tcPr>
          <w:p w14:paraId="6F21EBC1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Application/security rule</w:t>
            </w:r>
          </w:p>
        </w:tc>
      </w:tr>
      <w:tr w:rsidR="00B333B1" w14:paraId="0E72A201" w14:textId="77777777">
        <w:trPr>
          <w:jc w:val="center"/>
        </w:trPr>
        <w:tc>
          <w:tcPr>
            <w:tcW w:w="4968" w:type="dxa"/>
            <w:vAlign w:val="center"/>
          </w:tcPr>
          <w:p w14:paraId="4F1B34FF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 xml:space="preserve">Validation and </w:t>
            </w:r>
            <w:r>
              <w:rPr>
                <w:sz w:val="18"/>
              </w:rPr>
              <w:t>security invariants</w:t>
            </w:r>
          </w:p>
        </w:tc>
        <w:tc>
          <w:tcPr>
            <w:tcW w:w="4968" w:type="dxa"/>
            <w:vAlign w:val="center"/>
          </w:tcPr>
          <w:p w14:paraId="61CCF227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Application/security rule</w:t>
            </w:r>
          </w:p>
        </w:tc>
      </w:tr>
    </w:tbl>
    <w:p w14:paraId="5EBDC00D" w14:textId="77777777" w:rsidR="00B333B1" w:rsidRDefault="00BB14F9">
      <w:pPr>
        <w:rPr>
          <w:rFonts w:hint="eastAsia"/>
        </w:rPr>
      </w:pPr>
      <w:r>
        <w:t>Organizations may configure business values, but they cannot disable foundational security or data-integrity rules.</w:t>
      </w:r>
    </w:p>
    <w:p w14:paraId="307D9BB3" w14:textId="77777777" w:rsidR="00B333B1" w:rsidRDefault="00BB14F9">
      <w:pPr>
        <w:pStyle w:val="Heading1"/>
      </w:pPr>
      <w:r>
        <w:t>9. Module Boundaries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333B1" w14:paraId="1358C360" w14:textId="77777777">
        <w:trPr>
          <w:jc w:val="center"/>
        </w:trPr>
        <w:tc>
          <w:tcPr>
            <w:tcW w:w="4968" w:type="dxa"/>
            <w:vAlign w:val="center"/>
          </w:tcPr>
          <w:p w14:paraId="5DCAE7DC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w="4968" w:type="dxa"/>
            <w:vAlign w:val="center"/>
          </w:tcPr>
          <w:p w14:paraId="4C2DC7DA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B333B1" w14:paraId="4F7A6182" w14:textId="77777777">
        <w:trPr>
          <w:jc w:val="center"/>
        </w:trPr>
        <w:tc>
          <w:tcPr>
            <w:tcW w:w="4968" w:type="dxa"/>
            <w:vAlign w:val="center"/>
          </w:tcPr>
          <w:p w14:paraId="4F4BF0CC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Identity &amp; Access</w:t>
            </w:r>
          </w:p>
        </w:tc>
        <w:tc>
          <w:tcPr>
            <w:tcW w:w="4968" w:type="dxa"/>
            <w:vAlign w:val="center"/>
          </w:tcPr>
          <w:p w14:paraId="2F61A16B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 xml:space="preserve">Authentication, </w:t>
            </w:r>
            <w:r>
              <w:rPr>
                <w:sz w:val="18"/>
              </w:rPr>
              <w:t>organization membership, roles, permissions.</w:t>
            </w:r>
          </w:p>
        </w:tc>
      </w:tr>
      <w:tr w:rsidR="00B333B1" w14:paraId="3880CF06" w14:textId="77777777">
        <w:trPr>
          <w:jc w:val="center"/>
        </w:trPr>
        <w:tc>
          <w:tcPr>
            <w:tcW w:w="4968" w:type="dxa"/>
            <w:vAlign w:val="center"/>
          </w:tcPr>
          <w:p w14:paraId="24FB97B0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Organization Configuration</w:t>
            </w:r>
          </w:p>
        </w:tc>
        <w:tc>
          <w:tcPr>
            <w:tcW w:w="4968" w:type="dxa"/>
            <w:vAlign w:val="center"/>
          </w:tcPr>
          <w:p w14:paraId="62F6FE25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Tenant-specific settings and controlled business configuration.</w:t>
            </w:r>
          </w:p>
        </w:tc>
      </w:tr>
      <w:tr w:rsidR="00B333B1" w14:paraId="280A44BA" w14:textId="77777777">
        <w:trPr>
          <w:jc w:val="center"/>
        </w:trPr>
        <w:tc>
          <w:tcPr>
            <w:tcW w:w="4968" w:type="dxa"/>
            <w:vAlign w:val="center"/>
          </w:tcPr>
          <w:p w14:paraId="4092DD24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Leads</w:t>
            </w:r>
          </w:p>
        </w:tc>
        <w:tc>
          <w:tcPr>
            <w:tcW w:w="4968" w:type="dxa"/>
            <w:vAlign w:val="center"/>
          </w:tcPr>
          <w:p w14:paraId="5D3A7E40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Capture, qualification, source, temperature, status, owner, conversion initiation.</w:t>
            </w:r>
          </w:p>
        </w:tc>
      </w:tr>
      <w:tr w:rsidR="00B333B1" w14:paraId="6DA04BF3" w14:textId="77777777">
        <w:trPr>
          <w:jc w:val="center"/>
        </w:trPr>
        <w:tc>
          <w:tcPr>
            <w:tcW w:w="4968" w:type="dxa"/>
            <w:vAlign w:val="center"/>
          </w:tcPr>
          <w:p w14:paraId="2CFB677E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Contacts &amp; Companies</w:t>
            </w:r>
          </w:p>
        </w:tc>
        <w:tc>
          <w:tcPr>
            <w:tcW w:w="4968" w:type="dxa"/>
            <w:vAlign w:val="center"/>
          </w:tcPr>
          <w:p w14:paraId="43BE1109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People/</w:t>
            </w:r>
            <w:r>
              <w:rPr>
                <w:sz w:val="18"/>
              </w:rPr>
              <w:t>company records, relationships, search, duplicate handling.</w:t>
            </w:r>
          </w:p>
        </w:tc>
      </w:tr>
      <w:tr w:rsidR="00B333B1" w14:paraId="554B9579" w14:textId="77777777">
        <w:trPr>
          <w:jc w:val="center"/>
        </w:trPr>
        <w:tc>
          <w:tcPr>
            <w:tcW w:w="4968" w:type="dxa"/>
            <w:vAlign w:val="center"/>
          </w:tcPr>
          <w:p w14:paraId="398EA6A2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Deals &amp; Pipeline</w:t>
            </w:r>
          </w:p>
        </w:tc>
        <w:tc>
          <w:tcPr>
            <w:tcW w:w="4968" w:type="dxa"/>
            <w:vAlign w:val="center"/>
          </w:tcPr>
          <w:p w14:paraId="309B6A59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Opportunities, stages, ownership, value, expected close date, outcomes, lost reasons.</w:t>
            </w:r>
          </w:p>
        </w:tc>
      </w:tr>
      <w:tr w:rsidR="00B333B1" w14:paraId="1EF218CD" w14:textId="77777777">
        <w:trPr>
          <w:jc w:val="center"/>
        </w:trPr>
        <w:tc>
          <w:tcPr>
            <w:tcW w:w="4968" w:type="dxa"/>
            <w:vAlign w:val="center"/>
          </w:tcPr>
          <w:p w14:paraId="4FB22530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Activities &amp; Tasks</w:t>
            </w:r>
          </w:p>
        </w:tc>
        <w:tc>
          <w:tcPr>
            <w:tcW w:w="4968" w:type="dxa"/>
            <w:vAlign w:val="center"/>
          </w:tcPr>
          <w:p w14:paraId="0049814D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Calls, meetings, emails, WhatsApp summaries, notes, tasks, reminders, ne</w:t>
            </w:r>
            <w:r>
              <w:rPr>
                <w:sz w:val="18"/>
              </w:rPr>
              <w:t>xt actions.</w:t>
            </w:r>
          </w:p>
        </w:tc>
      </w:tr>
      <w:tr w:rsidR="00B333B1" w14:paraId="7FF39A8D" w14:textId="77777777">
        <w:trPr>
          <w:jc w:val="center"/>
        </w:trPr>
        <w:tc>
          <w:tcPr>
            <w:tcW w:w="4968" w:type="dxa"/>
            <w:vAlign w:val="center"/>
          </w:tcPr>
          <w:p w14:paraId="48AE424C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4968" w:type="dxa"/>
            <w:vAlign w:val="center"/>
          </w:tcPr>
          <w:p w14:paraId="60322CF5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Chronological communication records and relationship timeline.</w:t>
            </w:r>
          </w:p>
        </w:tc>
      </w:tr>
      <w:tr w:rsidR="00B333B1" w14:paraId="2D8FF0CC" w14:textId="77777777">
        <w:trPr>
          <w:jc w:val="center"/>
        </w:trPr>
        <w:tc>
          <w:tcPr>
            <w:tcW w:w="4968" w:type="dxa"/>
            <w:vAlign w:val="center"/>
          </w:tcPr>
          <w:p w14:paraId="3F7D1479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Reporting</w:t>
            </w:r>
          </w:p>
        </w:tc>
        <w:tc>
          <w:tcPr>
            <w:tcW w:w="4968" w:type="dxa"/>
            <w:vAlign w:val="center"/>
          </w:tcPr>
          <w:p w14:paraId="3C874C89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Dashboards, metrics, filters, role-scoped reporting.</w:t>
            </w:r>
          </w:p>
        </w:tc>
      </w:tr>
      <w:tr w:rsidR="00B333B1" w14:paraId="5BB97CF9" w14:textId="77777777">
        <w:trPr>
          <w:jc w:val="center"/>
        </w:trPr>
        <w:tc>
          <w:tcPr>
            <w:tcW w:w="4968" w:type="dxa"/>
            <w:vAlign w:val="center"/>
          </w:tcPr>
          <w:p w14:paraId="06159176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Integrations</w:t>
            </w:r>
          </w:p>
        </w:tc>
        <w:tc>
          <w:tcPr>
            <w:tcW w:w="4968" w:type="dxa"/>
            <w:vAlign w:val="center"/>
          </w:tcPr>
          <w:p w14:paraId="047A1D0F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Website capture, email/calendar, and future external system integrations.</w:t>
            </w:r>
          </w:p>
        </w:tc>
      </w:tr>
      <w:tr w:rsidR="00B333B1" w14:paraId="78213224" w14:textId="77777777">
        <w:trPr>
          <w:jc w:val="center"/>
        </w:trPr>
        <w:tc>
          <w:tcPr>
            <w:tcW w:w="4968" w:type="dxa"/>
            <w:vAlign w:val="center"/>
          </w:tcPr>
          <w:p w14:paraId="75FC42F5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Audit</w:t>
            </w:r>
          </w:p>
        </w:tc>
        <w:tc>
          <w:tcPr>
            <w:tcW w:w="4968" w:type="dxa"/>
            <w:vAlign w:val="center"/>
          </w:tcPr>
          <w:p w14:paraId="69A19D6C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Immutable history of important changes, access, and security-relevant events.</w:t>
            </w:r>
          </w:p>
        </w:tc>
      </w:tr>
    </w:tbl>
    <w:p w14:paraId="2C8D7D39" w14:textId="77777777" w:rsidR="00B333B1" w:rsidRDefault="00BB14F9">
      <w:pPr>
        <w:pStyle w:val="Heading1"/>
      </w:pPr>
      <w:r>
        <w:t>10. Application/API Boundary</w:t>
      </w:r>
    </w:p>
    <w:p w14:paraId="4B09CE25" w14:textId="77777777" w:rsidR="00B333B1" w:rsidRDefault="00BB14F9">
      <w:pPr>
        <w:pStyle w:val="ListBullet"/>
        <w:rPr>
          <w:rFonts w:hint="eastAsia"/>
        </w:rPr>
      </w:pPr>
      <w:r>
        <w:t>The frontend does not implement authoritative business rules or bypass security.</w:t>
      </w:r>
    </w:p>
    <w:p w14:paraId="5236447F" w14:textId="77777777" w:rsidR="00B333B1" w:rsidRDefault="00BB14F9">
      <w:pPr>
        <w:pStyle w:val="ListBullet"/>
        <w:rPr>
          <w:rFonts w:hint="eastAsia"/>
        </w:rPr>
      </w:pPr>
      <w:r>
        <w:t>UI requests flow through protected application APIs/services.</w:t>
      </w:r>
    </w:p>
    <w:p w14:paraId="06EE9AED" w14:textId="77777777" w:rsidR="00B333B1" w:rsidRDefault="00BB14F9">
      <w:pPr>
        <w:pStyle w:val="ListBullet"/>
        <w:rPr>
          <w:rFonts w:hint="eastAsia"/>
        </w:rPr>
      </w:pPr>
      <w:r>
        <w:t>Appli</w:t>
      </w:r>
      <w:r>
        <w:t>cation services validate input, authorize the user, resolve organization scope, enforce business rules, and access data.</w:t>
      </w:r>
    </w:p>
    <w:p w14:paraId="0ABA20F6" w14:textId="77777777" w:rsidR="00B333B1" w:rsidRDefault="00BB14F9">
      <w:pPr>
        <w:pStyle w:val="ListBullet"/>
        <w:rPr>
          <w:rFonts w:hint="eastAsia"/>
        </w:rPr>
      </w:pPr>
      <w:r>
        <w:t>External integrations use dedicated APIs/webhooks rather than unrestricted database access.</w:t>
      </w:r>
    </w:p>
    <w:p w14:paraId="218F2CF3" w14:textId="77777777" w:rsidR="00B333B1" w:rsidRDefault="00BB14F9">
      <w:pPr>
        <w:pStyle w:val="ListBullet"/>
        <w:rPr>
          <w:rFonts w:hint="eastAsia"/>
        </w:rPr>
      </w:pPr>
      <w:r>
        <w:t>Request flow: Client/UI → Authentication co</w:t>
      </w:r>
      <w:r>
        <w:t>ntext → API/Application service → Organization + permission check → Validation/business rules → Data access → Response.</w:t>
      </w:r>
    </w:p>
    <w:p w14:paraId="0CBC26DE" w14:textId="77777777" w:rsidR="00B333B1" w:rsidRDefault="00BB14F9">
      <w:pPr>
        <w:pStyle w:val="Heading1"/>
      </w:pPr>
      <w:r>
        <w:t>11. Core CRM Data Flow</w:t>
      </w:r>
    </w:p>
    <w:p w14:paraId="292BDC28" w14:textId="77777777" w:rsidR="00B333B1" w:rsidRDefault="00BB14F9">
      <w:pPr>
        <w:rPr>
          <w:rFonts w:hint="eastAsia"/>
        </w:rPr>
      </w:pPr>
      <w:r>
        <w:t xml:space="preserve">Lead Capture → Qualification → Assignment → Contact / Needs Identified → Solution Presented → Proposal/Quotation </w:t>
      </w:r>
      <w:r>
        <w:t>→ Negotiation → Closed/Won → Onboarding → Delivery Handoff → Customer → Retention/Renewal.</w:t>
      </w:r>
    </w:p>
    <w:p w14:paraId="12A9A547" w14:textId="77777777" w:rsidR="00B333B1" w:rsidRDefault="00BB14F9">
      <w:pPr>
        <w:rPr>
          <w:rFonts w:hint="eastAsia"/>
        </w:rPr>
      </w:pPr>
      <w:r>
        <w:t xml:space="preserve">Lead, Deal, and Customer Lifecycle remain distinct concepts. A lead can become a deal while preserving history. A won deal can move the relationship into a customer </w:t>
      </w:r>
      <w:r>
        <w:t>lifecycle state without creating a duplicate customer entity.</w:t>
      </w:r>
    </w:p>
    <w:p w14:paraId="113657DB" w14:textId="77777777" w:rsidR="00B333B1" w:rsidRDefault="00BB14F9">
      <w:pPr>
        <w:pStyle w:val="Heading1"/>
      </w:pPr>
      <w:r>
        <w:t>12. Lead-to-Deal Conversion</w:t>
      </w:r>
    </w:p>
    <w:p w14:paraId="6CD535D6" w14:textId="77777777" w:rsidR="00B333B1" w:rsidRDefault="00BB14F9">
      <w:pPr>
        <w:pStyle w:val="ListBullet"/>
        <w:rPr>
          <w:rFonts w:hint="eastAsia"/>
        </w:rPr>
      </w:pPr>
      <w:r>
        <w:t>Conversion is an application-level workflow, not simply a status update.</w:t>
      </w:r>
    </w:p>
    <w:p w14:paraId="4A7F454F" w14:textId="77777777" w:rsidR="00B333B1" w:rsidRDefault="00BB14F9">
      <w:pPr>
        <w:pStyle w:val="ListBullet"/>
        <w:rPr>
          <w:rFonts w:hint="eastAsia"/>
        </w:rPr>
      </w:pPr>
      <w:r>
        <w:t>The system identifies or creates the relevant company and contact.</w:t>
      </w:r>
    </w:p>
    <w:p w14:paraId="0F92B734" w14:textId="77777777" w:rsidR="00B333B1" w:rsidRDefault="00BB14F9">
      <w:pPr>
        <w:pStyle w:val="ListBullet"/>
        <w:rPr>
          <w:rFonts w:hint="eastAsia"/>
        </w:rPr>
      </w:pPr>
      <w:r>
        <w:lastRenderedPageBreak/>
        <w:t>A deal is created or linke</w:t>
      </w:r>
      <w:r>
        <w:t>d to the appropriate records.</w:t>
      </w:r>
    </w:p>
    <w:p w14:paraId="0A8AEEA8" w14:textId="77777777" w:rsidR="00B333B1" w:rsidRDefault="00BB14F9">
      <w:pPr>
        <w:pStyle w:val="ListBullet"/>
        <w:rPr>
          <w:rFonts w:hint="eastAsia"/>
        </w:rPr>
      </w:pPr>
      <w:r>
        <w:t>Lead source, qualification context, owner, notes, and relevant activity/history are carried forward.</w:t>
      </w:r>
    </w:p>
    <w:p w14:paraId="0EF24F51" w14:textId="77777777" w:rsidR="00B333B1" w:rsidRDefault="00BB14F9">
      <w:pPr>
        <w:pStyle w:val="ListBullet"/>
        <w:rPr>
          <w:rFonts w:hint="eastAsia"/>
        </w:rPr>
      </w:pPr>
      <w:r>
        <w:t>The configured initial deal stage is applied.</w:t>
      </w:r>
    </w:p>
    <w:p w14:paraId="00D99751" w14:textId="77777777" w:rsidR="00B333B1" w:rsidRDefault="00BB14F9">
      <w:pPr>
        <w:pStyle w:val="ListBullet"/>
        <w:rPr>
          <w:rFonts w:hint="eastAsia"/>
        </w:rPr>
      </w:pPr>
      <w:r>
        <w:t>The lead-to-deal relationship remains traceable.</w:t>
      </w:r>
    </w:p>
    <w:p w14:paraId="368EBD71" w14:textId="77777777" w:rsidR="00B333B1" w:rsidRDefault="00BB14F9">
      <w:pPr>
        <w:pStyle w:val="ListBullet"/>
        <w:rPr>
          <w:rFonts w:hint="eastAsia"/>
        </w:rPr>
      </w:pPr>
      <w:r>
        <w:t xml:space="preserve">Duplicate conversion is </w:t>
      </w:r>
      <w:r>
        <w:t>prevented.</w:t>
      </w:r>
    </w:p>
    <w:p w14:paraId="1D0668AD" w14:textId="77777777" w:rsidR="00B333B1" w:rsidRDefault="00BB14F9">
      <w:pPr>
        <w:pStyle w:val="Heading1"/>
      </w:pPr>
      <w:r>
        <w:t>13. Activities, Tasks, and Audit Architecture</w:t>
      </w:r>
    </w:p>
    <w:p w14:paraId="19EA84E0" w14:textId="77777777" w:rsidR="00B333B1" w:rsidRDefault="00BB14F9">
      <w:pPr>
        <w:pStyle w:val="ListBullet"/>
        <w:rPr>
          <w:rFonts w:hint="eastAsia"/>
        </w:rPr>
      </w:pPr>
      <w:r>
        <w:t>Operational history is a core CRM capability.</w:t>
      </w:r>
    </w:p>
    <w:p w14:paraId="54F8388D" w14:textId="77777777" w:rsidR="00B333B1" w:rsidRDefault="00BB14F9">
      <w:pPr>
        <w:pStyle w:val="ListBullet"/>
        <w:rPr>
          <w:rFonts w:hint="eastAsia"/>
        </w:rPr>
      </w:pPr>
      <w:r>
        <w:t>Activities and communications are linked to relevant records and displayed chronologically.</w:t>
      </w:r>
    </w:p>
    <w:p w14:paraId="519E5562" w14:textId="77777777" w:rsidR="00B333B1" w:rsidRDefault="00BB14F9">
      <w:pPr>
        <w:pStyle w:val="ListBullet"/>
        <w:rPr>
          <w:rFonts w:hint="eastAsia"/>
        </w:rPr>
      </w:pPr>
      <w:r>
        <w:t>Activities include calls, meetings, emails, WhatsApp summarie</w:t>
      </w:r>
      <w:r>
        <w:t>s, and notes.</w:t>
      </w:r>
    </w:p>
    <w:p w14:paraId="423E7A7A" w14:textId="77777777" w:rsidR="00B333B1" w:rsidRDefault="00BB14F9">
      <w:pPr>
        <w:pStyle w:val="ListBullet"/>
        <w:rPr>
          <w:rFonts w:hint="eastAsia"/>
        </w:rPr>
      </w:pPr>
      <w:r>
        <w:t>Tasks include assignee, due date, status, related record, and next action.</w:t>
      </w:r>
    </w:p>
    <w:p w14:paraId="71ED670B" w14:textId="77777777" w:rsidR="00B333B1" w:rsidRDefault="00BB14F9">
      <w:pPr>
        <w:pStyle w:val="ListBullet"/>
        <w:rPr>
          <w:rFonts w:hint="eastAsia"/>
        </w:rPr>
      </w:pPr>
      <w:r>
        <w:t>Overdue state is derived and represented consistently.</w:t>
      </w:r>
    </w:p>
    <w:p w14:paraId="3B971133" w14:textId="77777777" w:rsidR="00B333B1" w:rsidRDefault="00BB14F9">
      <w:pPr>
        <w:pStyle w:val="ListBullet"/>
        <w:rPr>
          <w:rFonts w:hint="eastAsia"/>
        </w:rPr>
      </w:pPr>
      <w:r>
        <w:t>Important changes such as ownership, stage, and status changes generate audit events.</w:t>
      </w:r>
    </w:p>
    <w:p w14:paraId="2D7BA347" w14:textId="77777777" w:rsidR="00B333B1" w:rsidRDefault="00BB14F9">
      <w:pPr>
        <w:pStyle w:val="ListBullet"/>
        <w:rPr>
          <w:rFonts w:hint="eastAsia"/>
        </w:rPr>
      </w:pPr>
      <w:r>
        <w:t>Audit history is append-or</w:t>
      </w:r>
      <w:r>
        <w:t>iented/immutable to ordinary users.</w:t>
      </w:r>
    </w:p>
    <w:p w14:paraId="7B3394C9" w14:textId="77777777" w:rsidR="00B333B1" w:rsidRDefault="00BB14F9">
      <w:pPr>
        <w:pStyle w:val="Heading1"/>
      </w:pPr>
      <w:r>
        <w:t>14. Integration Architecture</w:t>
      </w:r>
    </w:p>
    <w:p w14:paraId="04DFD37E" w14:textId="77777777" w:rsidR="00B333B1" w:rsidRDefault="00BB14F9">
      <w:pPr>
        <w:pStyle w:val="ListBullet"/>
        <w:rPr>
          <w:rFonts w:hint="eastAsia"/>
        </w:rPr>
      </w:pPr>
      <w:r>
        <w:t>Integrations are isolated through explicit adapters/services where practical.</w:t>
      </w:r>
    </w:p>
    <w:p w14:paraId="19C12E9D" w14:textId="77777777" w:rsidR="00B333B1" w:rsidRDefault="00BB14F9">
      <w:pPr>
        <w:pStyle w:val="ListBullet"/>
        <w:rPr>
          <w:rFonts w:hint="eastAsia"/>
        </w:rPr>
      </w:pPr>
      <w:r>
        <w:t xml:space="preserve">Website flow: secure API/webhook → validation → organization resolution → duplicate check → lead create/update → </w:t>
      </w:r>
      <w:r>
        <w:t>assignment → acknowledgement → monitoring/recovery.</w:t>
      </w:r>
    </w:p>
    <w:p w14:paraId="23260C76" w14:textId="77777777" w:rsidR="00B333B1" w:rsidRDefault="00BB14F9">
      <w:pPr>
        <w:pStyle w:val="ListBullet"/>
        <w:rPr>
          <w:rFonts w:hint="eastAsia"/>
        </w:rPr>
      </w:pPr>
      <w:r>
        <w:t>Future integrations may include email/calendar, WhatsApp, e-commerce/service platforms, property-management systems, invoicing/payment systems, and other approved systems.</w:t>
      </w:r>
    </w:p>
    <w:p w14:paraId="05B8D307" w14:textId="77777777" w:rsidR="00B333B1" w:rsidRDefault="00BB14F9">
      <w:pPr>
        <w:pStyle w:val="ListBullet"/>
        <w:rPr>
          <w:rFonts w:hint="eastAsia"/>
        </w:rPr>
      </w:pPr>
      <w:r>
        <w:t>Only approved V1 integrations ar</w:t>
      </w:r>
      <w:r>
        <w:t>e implemented initially.</w:t>
      </w:r>
    </w:p>
    <w:p w14:paraId="1E8463F3" w14:textId="77777777" w:rsidR="00B333B1" w:rsidRDefault="00BB14F9">
      <w:pPr>
        <w:pStyle w:val="ListBullet"/>
        <w:rPr>
          <w:rFonts w:hint="eastAsia"/>
        </w:rPr>
      </w:pPr>
      <w:r>
        <w:t>Full WhatsApp synchronization, advanced marketing, and payment/accounting capabilities remain outside the initial implementation unless separately approved.</w:t>
      </w:r>
    </w:p>
    <w:p w14:paraId="57FB21CA" w14:textId="77777777" w:rsidR="00B333B1" w:rsidRDefault="00BB14F9">
      <w:pPr>
        <w:pStyle w:val="Heading1"/>
      </w:pPr>
      <w:r>
        <w:t>15. Reporting Architecture</w:t>
      </w:r>
    </w:p>
    <w:p w14:paraId="584C2B48" w14:textId="77777777" w:rsidR="00B333B1" w:rsidRDefault="00BB14F9">
      <w:pPr>
        <w:pStyle w:val="ListBullet"/>
        <w:rPr>
          <w:rFonts w:hint="eastAsia"/>
        </w:rPr>
      </w:pPr>
      <w:r>
        <w:t>Reporting consumes governed CRM data rather tha</w:t>
      </w:r>
      <w:r>
        <w:t>n separate manually maintained datasets.</w:t>
      </w:r>
    </w:p>
    <w:p w14:paraId="7D254E62" w14:textId="77777777" w:rsidR="00B333B1" w:rsidRDefault="00BB14F9">
      <w:pPr>
        <w:pStyle w:val="ListBullet"/>
        <w:rPr>
          <w:rFonts w:hint="eastAsia"/>
        </w:rPr>
      </w:pPr>
      <w:r>
        <w:t>Sales dashboard: follow-ups due today, overdue tasks, new leads, stalled deals, and pipeline visibility.</w:t>
      </w:r>
    </w:p>
    <w:p w14:paraId="1B3CEEA7" w14:textId="77777777" w:rsidR="00B333B1" w:rsidRDefault="00BB14F9">
      <w:pPr>
        <w:pStyle w:val="ListBullet"/>
        <w:rPr>
          <w:rFonts w:hint="eastAsia"/>
        </w:rPr>
      </w:pPr>
      <w:r>
        <w:t>Management dashboard: lead volume/source, conversion, won/lost, pipeline value, sales by service, and follow-u</w:t>
      </w:r>
      <w:r>
        <w:t>p performance.</w:t>
      </w:r>
    </w:p>
    <w:p w14:paraId="0B9C499F" w14:textId="77777777" w:rsidR="00B333B1" w:rsidRDefault="00BB14F9">
      <w:pPr>
        <w:pStyle w:val="ListBullet"/>
        <w:rPr>
          <w:rFonts w:hint="eastAsia"/>
        </w:rPr>
      </w:pPr>
      <w:r>
        <w:t>Filters include owner, source, stage, service, and date range.</w:t>
      </w:r>
    </w:p>
    <w:p w14:paraId="05C12125" w14:textId="77777777" w:rsidR="00B333B1" w:rsidRDefault="00BB14F9">
      <w:pPr>
        <w:pStyle w:val="ListBullet"/>
        <w:rPr>
          <w:rFonts w:hint="eastAsia"/>
        </w:rPr>
      </w:pPr>
      <w:r>
        <w:t>KPI definitions are documented.</w:t>
      </w:r>
    </w:p>
    <w:p w14:paraId="5D214DC0" w14:textId="77777777" w:rsidR="00B333B1" w:rsidRDefault="00BB14F9">
      <w:pPr>
        <w:pStyle w:val="ListBullet"/>
        <w:rPr>
          <w:rFonts w:hint="eastAsia"/>
        </w:rPr>
      </w:pPr>
      <w:r>
        <w:t>Reports inherit organization and role permissions.</w:t>
      </w:r>
    </w:p>
    <w:p w14:paraId="61B09943" w14:textId="77777777" w:rsidR="00B333B1" w:rsidRDefault="00BB14F9">
      <w:pPr>
        <w:pStyle w:val="Heading1"/>
      </w:pPr>
      <w:r>
        <w:t>16. Background Processing and Notifications</w:t>
      </w:r>
    </w:p>
    <w:p w14:paraId="4EF4895D" w14:textId="77777777" w:rsidR="00B333B1" w:rsidRDefault="00BB14F9">
      <w:pPr>
        <w:pStyle w:val="ListBullet"/>
        <w:rPr>
          <w:rFonts w:hint="eastAsia"/>
        </w:rPr>
      </w:pPr>
      <w:r>
        <w:t>Retries, delayed processing, and external communica</w:t>
      </w:r>
      <w:r>
        <w:t>tion workflows use controlled background processing where appropriate.</w:t>
      </w:r>
    </w:p>
    <w:p w14:paraId="16468F74" w14:textId="77777777" w:rsidR="00B333B1" w:rsidRDefault="00BB14F9">
      <w:pPr>
        <w:pStyle w:val="ListBullet"/>
        <w:rPr>
          <w:rFonts w:hint="eastAsia"/>
        </w:rPr>
      </w:pPr>
      <w:r>
        <w:t>Candidate background jobs include follow-up reminders, overdue notifications, website acknowledgements, integration retries, failure monitoring, and scheduled reports.</w:t>
      </w:r>
    </w:p>
    <w:p w14:paraId="2BFA0060" w14:textId="77777777" w:rsidR="00B333B1" w:rsidRDefault="00BB14F9">
      <w:pPr>
        <w:pStyle w:val="ListBullet"/>
        <w:rPr>
          <w:rFonts w:hint="eastAsia"/>
        </w:rPr>
      </w:pPr>
      <w:r>
        <w:t>The exact queue/j</w:t>
      </w:r>
      <w:r>
        <w:t>ob technology remains an implementation decision.</w:t>
      </w:r>
    </w:p>
    <w:p w14:paraId="30ED354C" w14:textId="77777777" w:rsidR="00B333B1" w:rsidRDefault="00BB14F9">
      <w:pPr>
        <w:pStyle w:val="Heading1"/>
      </w:pPr>
      <w:r>
        <w:t>17. Deployment and Environment Model</w:t>
      </w:r>
    </w:p>
    <w:p w14:paraId="172276F5" w14:textId="77777777" w:rsidR="00B333B1" w:rsidRDefault="00BB14F9">
      <w:pPr>
        <w:pStyle w:val="ListBullet"/>
        <w:rPr>
          <w:rFonts w:hint="eastAsia"/>
        </w:rPr>
      </w:pPr>
      <w:r>
        <w:t>Use controlled development, test/staging, and production environments.</w:t>
      </w:r>
    </w:p>
    <w:p w14:paraId="203A6062" w14:textId="77777777" w:rsidR="00B333B1" w:rsidRDefault="00BB14F9">
      <w:pPr>
        <w:pStyle w:val="ListBullet"/>
        <w:rPr>
          <w:rFonts w:hint="eastAsia"/>
        </w:rPr>
      </w:pPr>
      <w:r>
        <w:t>Database migrations are versioned and deployed through controlled processes.</w:t>
      </w:r>
    </w:p>
    <w:p w14:paraId="7A905F19" w14:textId="77777777" w:rsidR="00B333B1" w:rsidRDefault="00BB14F9">
      <w:pPr>
        <w:pStyle w:val="ListBullet"/>
        <w:rPr>
          <w:rFonts w:hint="eastAsia"/>
        </w:rPr>
      </w:pPr>
      <w:r>
        <w:lastRenderedPageBreak/>
        <w:t xml:space="preserve">Secrets must not be </w:t>
      </w:r>
      <w:r>
        <w:t>stored in source control.</w:t>
      </w:r>
    </w:p>
    <w:p w14:paraId="0F9D3793" w14:textId="77777777" w:rsidR="00B333B1" w:rsidRDefault="00BB14F9">
      <w:pPr>
        <w:pStyle w:val="ListBullet"/>
        <w:rPr>
          <w:rFonts w:hint="eastAsia"/>
        </w:rPr>
      </w:pPr>
      <w:r>
        <w:t>Production data should not be casually copied into development environments.</w:t>
      </w:r>
    </w:p>
    <w:p w14:paraId="1D69AEB0" w14:textId="77777777" w:rsidR="00B333B1" w:rsidRDefault="00BB14F9">
      <w:pPr>
        <w:pStyle w:val="ListBullet"/>
        <w:rPr>
          <w:rFonts w:hint="eastAsia"/>
        </w:rPr>
      </w:pPr>
      <w:r>
        <w:t>Backups, recovery procedures, logging, and monitoring must be established before production.</w:t>
      </w:r>
    </w:p>
    <w:p w14:paraId="7A5F56D2" w14:textId="77777777" w:rsidR="00B333B1" w:rsidRDefault="00BB14F9">
      <w:pPr>
        <w:pStyle w:val="ListBullet"/>
        <w:rPr>
          <w:rFonts w:hint="eastAsia"/>
        </w:rPr>
      </w:pPr>
      <w:r>
        <w:t>Exact hosting, database, ORM, and CI/CD choices should align</w:t>
      </w:r>
      <w:r>
        <w:t xml:space="preserve"> with the existing FigBloom technology stack and are not fixed by this document.</w:t>
      </w:r>
    </w:p>
    <w:p w14:paraId="3692C208" w14:textId="77777777" w:rsidR="00B333B1" w:rsidRDefault="00BB14F9">
      <w:pPr>
        <w:pStyle w:val="Heading1"/>
      </w:pPr>
      <w:r>
        <w:t>18. Security Architecture</w:t>
      </w:r>
    </w:p>
    <w:p w14:paraId="372A7D9B" w14:textId="77777777" w:rsidR="00B333B1" w:rsidRDefault="00BB14F9">
      <w:pPr>
        <w:pStyle w:val="ListBullet"/>
        <w:rPr>
          <w:rFonts w:hint="eastAsia"/>
        </w:rPr>
      </w:pPr>
      <w:r>
        <w:t>Authenticated access is required.</w:t>
      </w:r>
    </w:p>
    <w:p w14:paraId="74216ED5" w14:textId="77777777" w:rsidR="00B333B1" w:rsidRDefault="00BB14F9">
      <w:pPr>
        <w:pStyle w:val="ListBullet"/>
        <w:rPr>
          <w:rFonts w:hint="eastAsia"/>
        </w:rPr>
      </w:pPr>
      <w:r>
        <w:t>Organization-scoped authorization is mandatory.</w:t>
      </w:r>
    </w:p>
    <w:p w14:paraId="41A5E52E" w14:textId="77777777" w:rsidR="00B333B1" w:rsidRDefault="00BB14F9">
      <w:pPr>
        <w:pStyle w:val="ListBullet"/>
        <w:rPr>
          <w:rFonts w:hint="eastAsia"/>
        </w:rPr>
      </w:pPr>
      <w:r>
        <w:t>RBAC protects role-sensitive capabilities and information.</w:t>
      </w:r>
    </w:p>
    <w:p w14:paraId="1455DCAC" w14:textId="77777777" w:rsidR="00B333B1" w:rsidRDefault="00BB14F9">
      <w:pPr>
        <w:pStyle w:val="ListBullet"/>
        <w:rPr>
          <w:rFonts w:hint="eastAsia"/>
        </w:rPr>
      </w:pPr>
      <w:r>
        <w:t>Input va</w:t>
      </w:r>
      <w:r>
        <w:t>lidation and secure handling of credentials, tokens, and secrets are required.</w:t>
      </w:r>
    </w:p>
    <w:p w14:paraId="3CFF667C" w14:textId="77777777" w:rsidR="00B333B1" w:rsidRDefault="00BB14F9">
      <w:pPr>
        <w:pStyle w:val="ListBullet"/>
        <w:rPr>
          <w:rFonts w:hint="eastAsia"/>
        </w:rPr>
      </w:pPr>
      <w:r>
        <w:t>Important changes are auditable.</w:t>
      </w:r>
    </w:p>
    <w:p w14:paraId="2D0B7F23" w14:textId="77777777" w:rsidR="00B333B1" w:rsidRDefault="00BB14F9">
      <w:pPr>
        <w:pStyle w:val="ListBullet"/>
        <w:rPr>
          <w:rFonts w:hint="eastAsia"/>
        </w:rPr>
      </w:pPr>
      <w:r>
        <w:t>Data export and migration are controlled capabilities.</w:t>
      </w:r>
    </w:p>
    <w:p w14:paraId="2D191E42" w14:textId="77777777" w:rsidR="00B333B1" w:rsidRDefault="00BB14F9">
      <w:pPr>
        <w:pStyle w:val="ListBullet"/>
        <w:rPr>
          <w:rFonts w:hint="eastAsia"/>
        </w:rPr>
      </w:pPr>
      <w:r>
        <w:t>Sensitive commercial and personal information receives appropriate protection.</w:t>
      </w:r>
    </w:p>
    <w:p w14:paraId="37AA9AD3" w14:textId="77777777" w:rsidR="00B333B1" w:rsidRDefault="00BB14F9">
      <w:pPr>
        <w:pStyle w:val="ListBullet"/>
        <w:rPr>
          <w:rFonts w:hint="eastAsia"/>
        </w:rPr>
      </w:pPr>
      <w:r>
        <w:t>Security t</w:t>
      </w:r>
      <w:r>
        <w:t>esting includes cross-organization access and privilege-boundary tests.</w:t>
      </w:r>
    </w:p>
    <w:p w14:paraId="27026A1E" w14:textId="77777777" w:rsidR="00B333B1" w:rsidRDefault="00BB14F9">
      <w:pPr>
        <w:pStyle w:val="ListBullet"/>
        <w:rPr>
          <w:rFonts w:hint="eastAsia"/>
        </w:rPr>
      </w:pPr>
      <w:r>
        <w:t>Data-protection considerations include access, retention, auditability, and vendor/processor responsibilities.</w:t>
      </w:r>
    </w:p>
    <w:p w14:paraId="22ADD618" w14:textId="77777777" w:rsidR="00B333B1" w:rsidRDefault="00BB14F9">
      <w:pPr>
        <w:pStyle w:val="Heading1"/>
      </w:pPr>
      <w:r>
        <w:t>19. Scalability Strategy</w:t>
      </w:r>
    </w:p>
    <w:p w14:paraId="01FB1E5B" w14:textId="77777777" w:rsidR="00B333B1" w:rsidRDefault="00BB14F9">
      <w:pPr>
        <w:pStyle w:val="ListBullet"/>
        <w:rPr>
          <w:rFonts w:hint="eastAsia"/>
        </w:rPr>
      </w:pPr>
      <w:r>
        <w:t>V1 prioritizes correctness, maintainability, and</w:t>
      </w:r>
      <w:r>
        <w:t xml:space="preserve"> internal adoption rather than premature infrastructure complexity.</w:t>
      </w:r>
    </w:p>
    <w:p w14:paraId="19C82F0D" w14:textId="77777777" w:rsidR="00B333B1" w:rsidRDefault="00BB14F9">
      <w:pPr>
        <w:pStyle w:val="ListBullet"/>
        <w:rPr>
          <w:rFonts w:hint="eastAsia"/>
        </w:rPr>
      </w:pPr>
      <w:r>
        <w:t>Organization-scoped queries and indexed organization/relationship fields support efficient data access.</w:t>
      </w:r>
    </w:p>
    <w:p w14:paraId="2FC1BCB9" w14:textId="77777777" w:rsidR="00B333B1" w:rsidRDefault="00BB14F9">
      <w:pPr>
        <w:pStyle w:val="ListBullet"/>
        <w:rPr>
          <w:rFonts w:hint="eastAsia"/>
        </w:rPr>
      </w:pPr>
      <w:r>
        <w:t>Clear module responsibilities reduce coupling.</w:t>
      </w:r>
    </w:p>
    <w:p w14:paraId="3671DC20" w14:textId="77777777" w:rsidR="00B333B1" w:rsidRDefault="00BB14F9">
      <w:pPr>
        <w:pStyle w:val="ListBullet"/>
        <w:rPr>
          <w:rFonts w:hint="eastAsia"/>
        </w:rPr>
      </w:pPr>
      <w:r>
        <w:t xml:space="preserve">Configuration is separated from </w:t>
      </w:r>
      <w:r>
        <w:t>application code where business values may vary.</w:t>
      </w:r>
    </w:p>
    <w:p w14:paraId="49168613" w14:textId="77777777" w:rsidR="00B333B1" w:rsidRDefault="00BB14F9">
      <w:pPr>
        <w:pStyle w:val="ListBullet"/>
        <w:rPr>
          <w:rFonts w:hint="eastAsia"/>
        </w:rPr>
      </w:pPr>
      <w:r>
        <w:t>Background processing prevents external or delayed operations from unnecessarily blocking user workflows.</w:t>
      </w:r>
    </w:p>
    <w:p w14:paraId="00226790" w14:textId="77777777" w:rsidR="00B333B1" w:rsidRDefault="00BB14F9">
      <w:pPr>
        <w:pStyle w:val="ListBullet"/>
        <w:rPr>
          <w:rFonts w:hint="eastAsia"/>
        </w:rPr>
      </w:pPr>
      <w:r>
        <w:t>Explicit integration boundaries make future provider/system changes manageable.</w:t>
      </w:r>
    </w:p>
    <w:p w14:paraId="42EBBEED" w14:textId="77777777" w:rsidR="00B333B1" w:rsidRDefault="00BB14F9">
      <w:pPr>
        <w:pStyle w:val="ListBullet"/>
        <w:rPr>
          <w:rFonts w:hint="eastAsia"/>
        </w:rPr>
      </w:pPr>
      <w:r>
        <w:t>Dedicated tenant infr</w:t>
      </w:r>
      <w:r>
        <w:t>astructure/isolation can be introduced later if justified by scale, security, or commercial requirements.</w:t>
      </w:r>
    </w:p>
    <w:p w14:paraId="69086C1A" w14:textId="77777777" w:rsidR="00B333B1" w:rsidRDefault="00BB14F9">
      <w:pPr>
        <w:pStyle w:val="Heading1"/>
      </w:pPr>
      <w:r>
        <w:t>20. External Subscriber Readiness</w:t>
      </w:r>
    </w:p>
    <w:p w14:paraId="03282027" w14:textId="77777777" w:rsidR="00B333B1" w:rsidRDefault="00BB14F9">
      <w:pPr>
        <w:rPr>
          <w:rFonts w:hint="eastAsia"/>
        </w:rPr>
      </w:pPr>
      <w:r>
        <w:t>The CRM is designed to be multi-tenant by architecture, but external commercialization is not part of V1 delivery.</w:t>
      </w:r>
    </w:p>
    <w:p w14:paraId="35663190" w14:textId="77777777" w:rsidR="00B333B1" w:rsidRDefault="00BB14F9">
      <w:pPr>
        <w:pStyle w:val="ListBullet"/>
        <w:rPr>
          <w:rFonts w:hint="eastAsia"/>
        </w:rPr>
      </w:pPr>
      <w:r>
        <w:t>T</w:t>
      </w:r>
      <w:r>
        <w:t>he architecture supports future organization provisioning.</w:t>
      </w:r>
    </w:p>
    <w:p w14:paraId="2C884066" w14:textId="77777777" w:rsidR="00B333B1" w:rsidRDefault="00BB14F9">
      <w:pPr>
        <w:pStyle w:val="ListBullet"/>
        <w:rPr>
          <w:rFonts w:hint="eastAsia"/>
        </w:rPr>
      </w:pPr>
      <w:r>
        <w:t>Future provisioning can create an organization, establish membership, apply configuration, enforce isolation, and support migration/export.</w:t>
      </w:r>
    </w:p>
    <w:p w14:paraId="021B66CB" w14:textId="77777777" w:rsidR="00B333B1" w:rsidRDefault="00BB14F9">
      <w:pPr>
        <w:pStyle w:val="ListBullet"/>
        <w:rPr>
          <w:rFonts w:hint="eastAsia"/>
        </w:rPr>
      </w:pPr>
      <w:r>
        <w:t>Subscriber billing, self-service onboarding, white-labeli</w:t>
      </w:r>
      <w:r>
        <w:t>ng, and advanced tenant administration are deliberately deferred.</w:t>
      </w:r>
    </w:p>
    <w:p w14:paraId="70433623" w14:textId="77777777" w:rsidR="00B333B1" w:rsidRDefault="00BB14F9">
      <w:pPr>
        <w:pStyle w:val="Heading1"/>
      </w:pPr>
      <w:r>
        <w:t>21. V1 Scope Boundaries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333B1" w14:paraId="00B86625" w14:textId="77777777">
        <w:trPr>
          <w:jc w:val="center"/>
        </w:trPr>
        <w:tc>
          <w:tcPr>
            <w:tcW w:w="4968" w:type="dxa"/>
            <w:vAlign w:val="center"/>
          </w:tcPr>
          <w:p w14:paraId="5D80C5FD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Included in V1</w:t>
            </w:r>
          </w:p>
        </w:tc>
        <w:tc>
          <w:tcPr>
            <w:tcW w:w="4968" w:type="dxa"/>
            <w:vAlign w:val="center"/>
          </w:tcPr>
          <w:p w14:paraId="3038739F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Deferred / outside initial implementation</w:t>
            </w:r>
          </w:p>
        </w:tc>
      </w:tr>
      <w:tr w:rsidR="00B333B1" w14:paraId="4B4566F0" w14:textId="77777777">
        <w:trPr>
          <w:jc w:val="center"/>
        </w:trPr>
        <w:tc>
          <w:tcPr>
            <w:tcW w:w="4968" w:type="dxa"/>
            <w:vAlign w:val="center"/>
          </w:tcPr>
          <w:p w14:paraId="3D334294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Organization as tenant</w:t>
            </w:r>
          </w:p>
        </w:tc>
        <w:tc>
          <w:tcPr>
            <w:tcW w:w="4968" w:type="dxa"/>
            <w:vAlign w:val="center"/>
          </w:tcPr>
          <w:p w14:paraId="728DF6E3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Subscriber billing</w:t>
            </w:r>
          </w:p>
        </w:tc>
      </w:tr>
      <w:tr w:rsidR="00B333B1" w14:paraId="168C9C80" w14:textId="77777777">
        <w:trPr>
          <w:jc w:val="center"/>
        </w:trPr>
        <w:tc>
          <w:tcPr>
            <w:tcW w:w="4968" w:type="dxa"/>
            <w:vAlign w:val="center"/>
          </w:tcPr>
          <w:p w14:paraId="408AE46C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Organization-scoped CRM records</w:t>
            </w:r>
          </w:p>
        </w:tc>
        <w:tc>
          <w:tcPr>
            <w:tcW w:w="4968" w:type="dxa"/>
            <w:vAlign w:val="center"/>
          </w:tcPr>
          <w:p w14:paraId="2B69D7E8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Self-service onboarding</w:t>
            </w:r>
          </w:p>
        </w:tc>
      </w:tr>
      <w:tr w:rsidR="00B333B1" w14:paraId="543A63BF" w14:textId="77777777">
        <w:trPr>
          <w:jc w:val="center"/>
        </w:trPr>
        <w:tc>
          <w:tcPr>
            <w:tcW w:w="4968" w:type="dxa"/>
            <w:vAlign w:val="center"/>
          </w:tcPr>
          <w:p w14:paraId="2B5C9D56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Authentication and membership</w:t>
            </w:r>
          </w:p>
        </w:tc>
        <w:tc>
          <w:tcPr>
            <w:tcW w:w="4968" w:type="dxa"/>
            <w:vAlign w:val="center"/>
          </w:tcPr>
          <w:p w14:paraId="1B0CC6FC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White-labeling</w:t>
            </w:r>
          </w:p>
        </w:tc>
      </w:tr>
      <w:tr w:rsidR="00B333B1" w14:paraId="6E1E9145" w14:textId="77777777">
        <w:trPr>
          <w:jc w:val="center"/>
        </w:trPr>
        <w:tc>
          <w:tcPr>
            <w:tcW w:w="4968" w:type="dxa"/>
            <w:vAlign w:val="center"/>
          </w:tcPr>
          <w:p w14:paraId="5F118B0C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RBAC</w:t>
            </w:r>
          </w:p>
        </w:tc>
        <w:tc>
          <w:tcPr>
            <w:tcW w:w="4968" w:type="dxa"/>
            <w:vAlign w:val="center"/>
          </w:tcPr>
          <w:p w14:paraId="3F104472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Advanced tenant administration</w:t>
            </w:r>
          </w:p>
        </w:tc>
      </w:tr>
      <w:tr w:rsidR="00B333B1" w14:paraId="6F5EC2F2" w14:textId="77777777">
        <w:trPr>
          <w:jc w:val="center"/>
        </w:trPr>
        <w:tc>
          <w:tcPr>
            <w:tcW w:w="4968" w:type="dxa"/>
            <w:vAlign w:val="center"/>
          </w:tcPr>
          <w:p w14:paraId="25B7E553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Core CRM modules</w:t>
            </w:r>
          </w:p>
        </w:tc>
        <w:tc>
          <w:tcPr>
            <w:tcW w:w="4968" w:type="dxa"/>
            <w:vAlign w:val="center"/>
          </w:tcPr>
          <w:p w14:paraId="1AE5724D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Full project-management replacement</w:t>
            </w:r>
          </w:p>
        </w:tc>
      </w:tr>
      <w:tr w:rsidR="00B333B1" w14:paraId="180B3323" w14:textId="77777777">
        <w:trPr>
          <w:jc w:val="center"/>
        </w:trPr>
        <w:tc>
          <w:tcPr>
            <w:tcW w:w="4968" w:type="dxa"/>
            <w:vAlign w:val="center"/>
          </w:tcPr>
          <w:p w14:paraId="2169A8FD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Configurable business values</w:t>
            </w:r>
          </w:p>
        </w:tc>
        <w:tc>
          <w:tcPr>
            <w:tcW w:w="4968" w:type="dxa"/>
            <w:vAlign w:val="center"/>
          </w:tcPr>
          <w:p w14:paraId="6D84BB1D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Accounting/invoicing</w:t>
            </w:r>
          </w:p>
        </w:tc>
      </w:tr>
      <w:tr w:rsidR="00B333B1" w14:paraId="103E2289" w14:textId="77777777">
        <w:trPr>
          <w:jc w:val="center"/>
        </w:trPr>
        <w:tc>
          <w:tcPr>
            <w:tcW w:w="4968" w:type="dxa"/>
            <w:vAlign w:val="center"/>
          </w:tcPr>
          <w:p w14:paraId="00B572E7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API/integration boundary</w:t>
            </w:r>
          </w:p>
        </w:tc>
        <w:tc>
          <w:tcPr>
            <w:tcW w:w="4968" w:type="dxa"/>
            <w:vAlign w:val="center"/>
          </w:tcPr>
          <w:p w14:paraId="4C05A956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Full WhatsApp synchronization</w:t>
            </w:r>
          </w:p>
        </w:tc>
      </w:tr>
      <w:tr w:rsidR="00B333B1" w14:paraId="41327880" w14:textId="77777777">
        <w:trPr>
          <w:jc w:val="center"/>
        </w:trPr>
        <w:tc>
          <w:tcPr>
            <w:tcW w:w="4968" w:type="dxa"/>
            <w:vAlign w:val="center"/>
          </w:tcPr>
          <w:p w14:paraId="3ABF9BFD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 xml:space="preserve">Audit </w:t>
            </w:r>
            <w:r>
              <w:rPr>
                <w:sz w:val="18"/>
              </w:rPr>
              <w:t>architecture</w:t>
            </w:r>
          </w:p>
        </w:tc>
        <w:tc>
          <w:tcPr>
            <w:tcW w:w="4968" w:type="dxa"/>
            <w:vAlign w:val="center"/>
          </w:tcPr>
          <w:p w14:paraId="63D017EB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Advanced marketing automation</w:t>
            </w:r>
          </w:p>
        </w:tc>
      </w:tr>
      <w:tr w:rsidR="00B333B1" w14:paraId="5618E9E8" w14:textId="77777777">
        <w:trPr>
          <w:jc w:val="center"/>
        </w:trPr>
        <w:tc>
          <w:tcPr>
            <w:tcW w:w="4968" w:type="dxa"/>
            <w:vAlign w:val="center"/>
          </w:tcPr>
          <w:p w14:paraId="48459014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Role-scoped reporting</w:t>
            </w:r>
          </w:p>
        </w:tc>
        <w:tc>
          <w:tcPr>
            <w:tcW w:w="4968" w:type="dxa"/>
            <w:vAlign w:val="center"/>
          </w:tcPr>
          <w:p w14:paraId="2FB53758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Custom AI</w:t>
            </w:r>
          </w:p>
        </w:tc>
      </w:tr>
    </w:tbl>
    <w:p w14:paraId="14D2594D" w14:textId="77777777" w:rsidR="00B333B1" w:rsidRDefault="00BB14F9">
      <w:pPr>
        <w:pStyle w:val="Heading1"/>
      </w:pPr>
      <w:r>
        <w:t>22. Key Technical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333B1" w14:paraId="3E57993B" w14:textId="77777777">
        <w:trPr>
          <w:jc w:val="center"/>
        </w:trPr>
        <w:tc>
          <w:tcPr>
            <w:tcW w:w="3312" w:type="dxa"/>
            <w:vAlign w:val="center"/>
          </w:tcPr>
          <w:p w14:paraId="64B8A7A7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Decision</w:t>
            </w:r>
          </w:p>
        </w:tc>
        <w:tc>
          <w:tcPr>
            <w:tcW w:w="3312" w:type="dxa"/>
            <w:vAlign w:val="center"/>
          </w:tcPr>
          <w:p w14:paraId="1B0492DA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V1 choice</w:t>
            </w:r>
          </w:p>
        </w:tc>
        <w:tc>
          <w:tcPr>
            <w:tcW w:w="3312" w:type="dxa"/>
            <w:vAlign w:val="center"/>
          </w:tcPr>
          <w:p w14:paraId="19827F3A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Reason</w:t>
            </w:r>
          </w:p>
        </w:tc>
      </w:tr>
      <w:tr w:rsidR="00B333B1" w14:paraId="3119D714" w14:textId="77777777">
        <w:trPr>
          <w:jc w:val="center"/>
        </w:trPr>
        <w:tc>
          <w:tcPr>
            <w:tcW w:w="3312" w:type="dxa"/>
            <w:vAlign w:val="center"/>
          </w:tcPr>
          <w:p w14:paraId="419E3903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Tenant boundary</w:t>
            </w:r>
          </w:p>
        </w:tc>
        <w:tc>
          <w:tcPr>
            <w:tcW w:w="3312" w:type="dxa"/>
            <w:vAlign w:val="center"/>
          </w:tcPr>
          <w:p w14:paraId="6DFDF3FD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Organization</w:t>
            </w:r>
          </w:p>
        </w:tc>
        <w:tc>
          <w:tcPr>
            <w:tcW w:w="3312" w:type="dxa"/>
            <w:vAlign w:val="center"/>
          </w:tcPr>
          <w:p w14:paraId="42863130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Provides a clear business ownership and future subscriber boundary.</w:t>
            </w:r>
          </w:p>
        </w:tc>
      </w:tr>
      <w:tr w:rsidR="00B333B1" w14:paraId="06C4FBC3" w14:textId="77777777">
        <w:trPr>
          <w:jc w:val="center"/>
        </w:trPr>
        <w:tc>
          <w:tcPr>
            <w:tcW w:w="3312" w:type="dxa"/>
            <w:vAlign w:val="center"/>
          </w:tcPr>
          <w:p w14:paraId="475CEF89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Data isolation</w:t>
            </w:r>
          </w:p>
        </w:tc>
        <w:tc>
          <w:tcPr>
            <w:tcW w:w="3312" w:type="dxa"/>
            <w:vAlign w:val="center"/>
          </w:tcPr>
          <w:p w14:paraId="535E295E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Shared DB +</w:t>
            </w:r>
            <w:r>
              <w:rPr>
                <w:sz w:val="18"/>
              </w:rPr>
              <w:t xml:space="preserve"> strict organization scope</w:t>
            </w:r>
          </w:p>
        </w:tc>
        <w:tc>
          <w:tcPr>
            <w:tcW w:w="3312" w:type="dxa"/>
            <w:vAlign w:val="center"/>
          </w:tcPr>
          <w:p w14:paraId="5E65E9BE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Manageable V1 multi-tenant model without premature infrastructure complexity.</w:t>
            </w:r>
          </w:p>
        </w:tc>
      </w:tr>
      <w:tr w:rsidR="00B333B1" w14:paraId="61A8544F" w14:textId="77777777">
        <w:trPr>
          <w:jc w:val="center"/>
        </w:trPr>
        <w:tc>
          <w:tcPr>
            <w:tcW w:w="3312" w:type="dxa"/>
            <w:vAlign w:val="center"/>
          </w:tcPr>
          <w:p w14:paraId="4DFB243B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Identity</w:t>
            </w:r>
          </w:p>
        </w:tc>
        <w:tc>
          <w:tcPr>
            <w:tcW w:w="3312" w:type="dxa"/>
            <w:vAlign w:val="center"/>
          </w:tcPr>
          <w:p w14:paraId="36A9D4B5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Global user identity + organization membership</w:t>
            </w:r>
          </w:p>
        </w:tc>
        <w:tc>
          <w:tcPr>
            <w:tcW w:w="3312" w:type="dxa"/>
            <w:vAlign w:val="center"/>
          </w:tcPr>
          <w:p w14:paraId="2C520576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Separates authentication from tenant relationship.</w:t>
            </w:r>
          </w:p>
        </w:tc>
      </w:tr>
      <w:tr w:rsidR="00B333B1" w14:paraId="42C0CBE6" w14:textId="77777777">
        <w:trPr>
          <w:jc w:val="center"/>
        </w:trPr>
        <w:tc>
          <w:tcPr>
            <w:tcW w:w="3312" w:type="dxa"/>
            <w:vAlign w:val="center"/>
          </w:tcPr>
          <w:p w14:paraId="11B74FBE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Authorization</w:t>
            </w:r>
          </w:p>
        </w:tc>
        <w:tc>
          <w:tcPr>
            <w:tcW w:w="3312" w:type="dxa"/>
            <w:vAlign w:val="center"/>
          </w:tcPr>
          <w:p w14:paraId="407AD4DC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 xml:space="preserve">RBAC + </w:t>
            </w:r>
            <w:r>
              <w:rPr>
                <w:sz w:val="18"/>
              </w:rPr>
              <w:t>organization context</w:t>
            </w:r>
          </w:p>
        </w:tc>
        <w:tc>
          <w:tcPr>
            <w:tcW w:w="3312" w:type="dxa"/>
            <w:vAlign w:val="center"/>
          </w:tcPr>
          <w:p w14:paraId="4344D589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Protects sensitive information and supports role-specific access.</w:t>
            </w:r>
          </w:p>
        </w:tc>
      </w:tr>
      <w:tr w:rsidR="00B333B1" w14:paraId="256B25AF" w14:textId="77777777">
        <w:trPr>
          <w:jc w:val="center"/>
        </w:trPr>
        <w:tc>
          <w:tcPr>
            <w:tcW w:w="3312" w:type="dxa"/>
            <w:vAlign w:val="center"/>
          </w:tcPr>
          <w:p w14:paraId="795B1C4E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Business configuration</w:t>
            </w:r>
          </w:p>
        </w:tc>
        <w:tc>
          <w:tcPr>
            <w:tcW w:w="3312" w:type="dxa"/>
            <w:vAlign w:val="center"/>
          </w:tcPr>
          <w:p w14:paraId="3759CFCD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Data-driven</w:t>
            </w:r>
          </w:p>
        </w:tc>
        <w:tc>
          <w:tcPr>
            <w:tcW w:w="3312" w:type="dxa"/>
            <w:vAlign w:val="center"/>
          </w:tcPr>
          <w:p w14:paraId="0B85C1DE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Avoids hard-coding organization-specific business values.</w:t>
            </w:r>
          </w:p>
        </w:tc>
      </w:tr>
      <w:tr w:rsidR="00B333B1" w14:paraId="2F1A5A5F" w14:textId="77777777">
        <w:trPr>
          <w:jc w:val="center"/>
        </w:trPr>
        <w:tc>
          <w:tcPr>
            <w:tcW w:w="3312" w:type="dxa"/>
            <w:vAlign w:val="center"/>
          </w:tcPr>
          <w:p w14:paraId="1A9181B8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Modules</w:t>
            </w:r>
          </w:p>
        </w:tc>
        <w:tc>
          <w:tcPr>
            <w:tcW w:w="3312" w:type="dxa"/>
            <w:vAlign w:val="center"/>
          </w:tcPr>
          <w:p w14:paraId="5B2A2CD6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One CRM with modular boundaries</w:t>
            </w:r>
          </w:p>
        </w:tc>
        <w:tc>
          <w:tcPr>
            <w:tcW w:w="3312" w:type="dxa"/>
            <w:vAlign w:val="center"/>
          </w:tcPr>
          <w:p w14:paraId="7C06E208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 xml:space="preserve">Keeps the product coherent </w:t>
            </w:r>
            <w:r>
              <w:rPr>
                <w:sz w:val="18"/>
              </w:rPr>
              <w:t>while limiting coupling.</w:t>
            </w:r>
          </w:p>
        </w:tc>
      </w:tr>
      <w:tr w:rsidR="00B333B1" w14:paraId="10886EDF" w14:textId="77777777">
        <w:trPr>
          <w:jc w:val="center"/>
        </w:trPr>
        <w:tc>
          <w:tcPr>
            <w:tcW w:w="3312" w:type="dxa"/>
            <w:vAlign w:val="center"/>
          </w:tcPr>
          <w:p w14:paraId="2109C5F5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External integrations</w:t>
            </w:r>
          </w:p>
        </w:tc>
        <w:tc>
          <w:tcPr>
            <w:tcW w:w="3312" w:type="dxa"/>
            <w:vAlign w:val="center"/>
          </w:tcPr>
          <w:p w14:paraId="0EFBFA82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Explicit API/webhook boundaries</w:t>
            </w:r>
          </w:p>
        </w:tc>
        <w:tc>
          <w:tcPr>
            <w:tcW w:w="3312" w:type="dxa"/>
            <w:vAlign w:val="center"/>
          </w:tcPr>
          <w:p w14:paraId="73C61109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Protects the CRM domain from provider-specific implementation.</w:t>
            </w:r>
          </w:p>
        </w:tc>
      </w:tr>
      <w:tr w:rsidR="00B333B1" w14:paraId="499BC540" w14:textId="77777777">
        <w:trPr>
          <w:jc w:val="center"/>
        </w:trPr>
        <w:tc>
          <w:tcPr>
            <w:tcW w:w="3312" w:type="dxa"/>
            <w:vAlign w:val="center"/>
          </w:tcPr>
          <w:p w14:paraId="5D122A5D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Audit</w:t>
            </w:r>
          </w:p>
        </w:tc>
        <w:tc>
          <w:tcPr>
            <w:tcW w:w="3312" w:type="dxa"/>
            <w:vAlign w:val="center"/>
          </w:tcPr>
          <w:p w14:paraId="1CF02B52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Append-oriented important-change history</w:t>
            </w:r>
          </w:p>
        </w:tc>
        <w:tc>
          <w:tcPr>
            <w:tcW w:w="3312" w:type="dxa"/>
            <w:vAlign w:val="center"/>
          </w:tcPr>
          <w:p w14:paraId="44BAB418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Supports accountability and traceability.</w:t>
            </w:r>
          </w:p>
        </w:tc>
      </w:tr>
      <w:tr w:rsidR="00B333B1" w14:paraId="72256BF2" w14:textId="77777777">
        <w:trPr>
          <w:jc w:val="center"/>
        </w:trPr>
        <w:tc>
          <w:tcPr>
            <w:tcW w:w="3312" w:type="dxa"/>
            <w:vAlign w:val="center"/>
          </w:tcPr>
          <w:p w14:paraId="77EAFB7E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Reporting</w:t>
            </w:r>
          </w:p>
        </w:tc>
        <w:tc>
          <w:tcPr>
            <w:tcW w:w="3312" w:type="dxa"/>
            <w:vAlign w:val="center"/>
          </w:tcPr>
          <w:p w14:paraId="0CBF0969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Governed read/reporting layer</w:t>
            </w:r>
          </w:p>
        </w:tc>
        <w:tc>
          <w:tcPr>
            <w:tcW w:w="3312" w:type="dxa"/>
            <w:vAlign w:val="center"/>
          </w:tcPr>
          <w:p w14:paraId="17D8C5B5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Supports consistent, permission-aware metrics.</w:t>
            </w:r>
          </w:p>
        </w:tc>
      </w:tr>
    </w:tbl>
    <w:p w14:paraId="20AB0FCA" w14:textId="77777777" w:rsidR="00B333B1" w:rsidRDefault="00BB14F9">
      <w:pPr>
        <w:pStyle w:val="Heading1"/>
      </w:pPr>
      <w:r>
        <w:t>23. Risks and Mitigations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333B1" w14:paraId="220BF0C4" w14:textId="77777777">
        <w:trPr>
          <w:jc w:val="center"/>
        </w:trPr>
        <w:tc>
          <w:tcPr>
            <w:tcW w:w="4968" w:type="dxa"/>
            <w:vAlign w:val="center"/>
          </w:tcPr>
          <w:p w14:paraId="5D896903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Risk</w:t>
            </w:r>
          </w:p>
        </w:tc>
        <w:tc>
          <w:tcPr>
            <w:tcW w:w="4968" w:type="dxa"/>
            <w:vAlign w:val="center"/>
          </w:tcPr>
          <w:p w14:paraId="7B8E6D81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Mitigation</w:t>
            </w:r>
          </w:p>
        </w:tc>
      </w:tr>
      <w:tr w:rsidR="00B333B1" w14:paraId="3B6ADB1F" w14:textId="77777777">
        <w:trPr>
          <w:jc w:val="center"/>
        </w:trPr>
        <w:tc>
          <w:tcPr>
            <w:tcW w:w="4968" w:type="dxa"/>
            <w:vAlign w:val="center"/>
          </w:tcPr>
          <w:p w14:paraId="3F204F44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Tenant data leakage</w:t>
            </w:r>
          </w:p>
        </w:tc>
        <w:tc>
          <w:tcPr>
            <w:tcW w:w="4968" w:type="dxa"/>
            <w:vAlign w:val="center"/>
          </w:tcPr>
          <w:p w14:paraId="558DC928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Organization-scoped records, server-side authorization, database policies where supported, and cross-tenant tests.</w:t>
            </w:r>
          </w:p>
        </w:tc>
      </w:tr>
      <w:tr w:rsidR="00B333B1" w14:paraId="02916060" w14:textId="77777777">
        <w:trPr>
          <w:jc w:val="center"/>
        </w:trPr>
        <w:tc>
          <w:tcPr>
            <w:tcW w:w="4968" w:type="dxa"/>
            <w:vAlign w:val="center"/>
          </w:tcPr>
          <w:p w14:paraId="0D651B11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FigBloom rules become hard-coded</w:t>
            </w:r>
          </w:p>
        </w:tc>
        <w:tc>
          <w:tcPr>
            <w:tcW w:w="4968" w:type="dxa"/>
            <w:vAlign w:val="center"/>
          </w:tcPr>
          <w:p w14:paraId="7ACC16BE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Represent organization-specific business values as configuration data.</w:t>
            </w:r>
          </w:p>
        </w:tc>
      </w:tr>
      <w:tr w:rsidR="00B333B1" w14:paraId="73993CAC" w14:textId="77777777">
        <w:trPr>
          <w:jc w:val="center"/>
        </w:trPr>
        <w:tc>
          <w:tcPr>
            <w:tcW w:w="4968" w:type="dxa"/>
            <w:vAlign w:val="center"/>
          </w:tcPr>
          <w:p w14:paraId="1E2B0557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Role inconsistency</w:t>
            </w:r>
          </w:p>
        </w:tc>
        <w:tc>
          <w:tcPr>
            <w:tcW w:w="4968" w:type="dxa"/>
            <w:vAlign w:val="center"/>
          </w:tcPr>
          <w:p w14:paraId="73789280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Centralize permission definitions and enforce them server-side.</w:t>
            </w:r>
          </w:p>
        </w:tc>
      </w:tr>
      <w:tr w:rsidR="00B333B1" w14:paraId="27A371BC" w14:textId="77777777">
        <w:trPr>
          <w:jc w:val="center"/>
        </w:trPr>
        <w:tc>
          <w:tcPr>
            <w:tcW w:w="4968" w:type="dxa"/>
            <w:vAlign w:val="center"/>
          </w:tcPr>
          <w:p w14:paraId="58B97C35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Duplicate customer/lead records</w:t>
            </w:r>
          </w:p>
        </w:tc>
        <w:tc>
          <w:tcPr>
            <w:tcW w:w="4968" w:type="dxa"/>
            <w:vAlign w:val="center"/>
          </w:tcPr>
          <w:p w14:paraId="5EDEE27B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Validation and duplicate-detection</w:t>
            </w:r>
            <w:r>
              <w:rPr>
                <w:sz w:val="18"/>
              </w:rPr>
              <w:t xml:space="preserve"> workflows.</w:t>
            </w:r>
          </w:p>
        </w:tc>
      </w:tr>
      <w:tr w:rsidR="00B333B1" w14:paraId="5B4C7161" w14:textId="77777777">
        <w:trPr>
          <w:jc w:val="center"/>
        </w:trPr>
        <w:tc>
          <w:tcPr>
            <w:tcW w:w="4968" w:type="dxa"/>
            <w:vAlign w:val="center"/>
          </w:tcPr>
          <w:p w14:paraId="444F0619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Reporting inconsistency</w:t>
            </w:r>
          </w:p>
        </w:tc>
        <w:tc>
          <w:tcPr>
            <w:tcW w:w="4968" w:type="dxa"/>
            <w:vAlign w:val="center"/>
          </w:tcPr>
          <w:p w14:paraId="26A9CDE4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Document KPI definitions and use governed CRM data.</w:t>
            </w:r>
          </w:p>
        </w:tc>
      </w:tr>
      <w:tr w:rsidR="00B333B1" w14:paraId="5BE6E6AF" w14:textId="77777777">
        <w:trPr>
          <w:jc w:val="center"/>
        </w:trPr>
        <w:tc>
          <w:tcPr>
            <w:tcW w:w="4968" w:type="dxa"/>
            <w:vAlign w:val="center"/>
          </w:tcPr>
          <w:p w14:paraId="1EA67001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Integration failure loses leads</w:t>
            </w:r>
          </w:p>
        </w:tc>
        <w:tc>
          <w:tcPr>
            <w:tcW w:w="4968" w:type="dxa"/>
            <w:vAlign w:val="center"/>
          </w:tcPr>
          <w:p w14:paraId="7223A110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Logging, acknowledgement, retry, recovery, and monitoring.</w:t>
            </w:r>
          </w:p>
        </w:tc>
      </w:tr>
      <w:tr w:rsidR="00B333B1" w14:paraId="70F2249C" w14:textId="77777777">
        <w:trPr>
          <w:jc w:val="center"/>
        </w:trPr>
        <w:tc>
          <w:tcPr>
            <w:tcW w:w="4968" w:type="dxa"/>
            <w:vAlign w:val="center"/>
          </w:tcPr>
          <w:p w14:paraId="442CBBCA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Premature SaaS complexity</w:t>
            </w:r>
          </w:p>
        </w:tc>
        <w:tc>
          <w:tcPr>
            <w:tcW w:w="4968" w:type="dxa"/>
            <w:vAlign w:val="center"/>
          </w:tcPr>
          <w:p w14:paraId="032D03A9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 xml:space="preserve">Defer billing, self-service </w:t>
            </w:r>
            <w:r>
              <w:rPr>
                <w:sz w:val="18"/>
              </w:rPr>
              <w:t>onboarding, white-labeling, and advanced tenant administration.</w:t>
            </w:r>
          </w:p>
        </w:tc>
      </w:tr>
      <w:tr w:rsidR="00B333B1" w14:paraId="7154935F" w14:textId="77777777">
        <w:trPr>
          <w:jc w:val="center"/>
        </w:trPr>
        <w:tc>
          <w:tcPr>
            <w:tcW w:w="4968" w:type="dxa"/>
            <w:vAlign w:val="center"/>
          </w:tcPr>
          <w:p w14:paraId="14737A0D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Migration problems</w:t>
            </w:r>
          </w:p>
        </w:tc>
        <w:tc>
          <w:tcPr>
            <w:tcW w:w="4968" w:type="dxa"/>
            <w:vAlign w:val="center"/>
          </w:tcPr>
          <w:p w14:paraId="2D1DF534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Versioned migrations, seed data, test imports, and staging validation.</w:t>
            </w:r>
          </w:p>
        </w:tc>
      </w:tr>
      <w:tr w:rsidR="00B333B1" w14:paraId="6369AE72" w14:textId="77777777">
        <w:trPr>
          <w:jc w:val="center"/>
        </w:trPr>
        <w:tc>
          <w:tcPr>
            <w:tcW w:w="4968" w:type="dxa"/>
            <w:vAlign w:val="center"/>
          </w:tcPr>
          <w:p w14:paraId="54A6884A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Sensitive information exposure</w:t>
            </w:r>
          </w:p>
        </w:tc>
        <w:tc>
          <w:tcPr>
            <w:tcW w:w="4968" w:type="dxa"/>
            <w:vAlign w:val="center"/>
          </w:tcPr>
          <w:p w14:paraId="13C76490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RBAC, audit, controlled exports, environment separation, and secure s</w:t>
            </w:r>
            <w:r>
              <w:rPr>
                <w:sz w:val="18"/>
              </w:rPr>
              <w:t>ecret handling.</w:t>
            </w:r>
          </w:p>
        </w:tc>
      </w:tr>
    </w:tbl>
    <w:p w14:paraId="685625DA" w14:textId="77777777" w:rsidR="00B333B1" w:rsidRDefault="00BB14F9">
      <w:pPr>
        <w:pStyle w:val="Heading1"/>
      </w:pPr>
      <w:r>
        <w:t>24. Open Decisions / Implementation Decisions</w:t>
      </w:r>
    </w:p>
    <w:p w14:paraId="4BF6FF40" w14:textId="77777777" w:rsidR="00B333B1" w:rsidRDefault="00BB14F9">
      <w:pPr>
        <w:pStyle w:val="ListBullet"/>
        <w:rPr>
          <w:rFonts w:hint="eastAsia"/>
        </w:rPr>
      </w:pPr>
      <w:r>
        <w:t>Exact frontend/backend structure based on the existing FigBloom stack.</w:t>
      </w:r>
    </w:p>
    <w:p w14:paraId="5DAB1908" w14:textId="77777777" w:rsidR="00B333B1" w:rsidRDefault="00BB14F9">
      <w:pPr>
        <w:pStyle w:val="ListBullet"/>
        <w:rPr>
          <w:rFonts w:hint="eastAsia"/>
        </w:rPr>
      </w:pPr>
      <w:r>
        <w:t>Exact database engine and ORM if not already standardized.</w:t>
      </w:r>
    </w:p>
    <w:p w14:paraId="07EC3F7F" w14:textId="77777777" w:rsidR="00B333B1" w:rsidRDefault="00BB14F9">
      <w:pPr>
        <w:pStyle w:val="ListBullet"/>
        <w:rPr>
          <w:rFonts w:hint="eastAsia"/>
        </w:rPr>
      </w:pPr>
      <w:r>
        <w:t>Exact authentication provider and session/token approach.</w:t>
      </w:r>
    </w:p>
    <w:p w14:paraId="0D4C9AB8" w14:textId="77777777" w:rsidR="00B333B1" w:rsidRDefault="00BB14F9">
      <w:pPr>
        <w:pStyle w:val="ListBullet"/>
        <w:rPr>
          <w:rFonts w:hint="eastAsia"/>
        </w:rPr>
      </w:pPr>
      <w:r>
        <w:t>Exact</w:t>
      </w:r>
      <w:r>
        <w:t xml:space="preserve"> database row-level security/policy implementation, if applicable.</w:t>
      </w:r>
    </w:p>
    <w:p w14:paraId="4ED8456E" w14:textId="77777777" w:rsidR="00B333B1" w:rsidRDefault="00BB14F9">
      <w:pPr>
        <w:pStyle w:val="ListBullet"/>
        <w:rPr>
          <w:rFonts w:hint="eastAsia"/>
        </w:rPr>
      </w:pPr>
      <w:r>
        <w:t>Exact hosting, deployment, and CI/CD approach.</w:t>
      </w:r>
    </w:p>
    <w:p w14:paraId="59EC7CD4" w14:textId="77777777" w:rsidR="00B333B1" w:rsidRDefault="00BB14F9">
      <w:pPr>
        <w:pStyle w:val="ListBullet"/>
        <w:rPr>
          <w:rFonts w:hint="eastAsia"/>
        </w:rPr>
      </w:pPr>
      <w:r>
        <w:t>Exact background queue/job technology.</w:t>
      </w:r>
    </w:p>
    <w:p w14:paraId="607DB21F" w14:textId="77777777" w:rsidR="00B333B1" w:rsidRDefault="00BB14F9">
      <w:pPr>
        <w:pStyle w:val="ListBullet"/>
        <w:rPr>
          <w:rFonts w:hint="eastAsia"/>
        </w:rPr>
      </w:pPr>
      <w:r>
        <w:t>Exact email and calendar provider.</w:t>
      </w:r>
    </w:p>
    <w:p w14:paraId="512738AF" w14:textId="77777777" w:rsidR="00B333B1" w:rsidRDefault="00BB14F9">
      <w:pPr>
        <w:pStyle w:val="ListBullet"/>
        <w:rPr>
          <w:rFonts w:hint="eastAsia"/>
        </w:rPr>
      </w:pPr>
      <w:r>
        <w:t>Exact WhatsApp integration approach.</w:t>
      </w:r>
    </w:p>
    <w:p w14:paraId="68B68137" w14:textId="77777777" w:rsidR="00B333B1" w:rsidRDefault="00BB14F9">
      <w:pPr>
        <w:pStyle w:val="ListBullet"/>
        <w:rPr>
          <w:rFonts w:hint="eastAsia"/>
        </w:rPr>
      </w:pPr>
      <w:r>
        <w:t>Final permission matrix.</w:t>
      </w:r>
    </w:p>
    <w:p w14:paraId="3C880D8C" w14:textId="77777777" w:rsidR="00B333B1" w:rsidRDefault="00BB14F9">
      <w:pPr>
        <w:pStyle w:val="ListBullet"/>
        <w:rPr>
          <w:rFonts w:hint="eastAsia"/>
        </w:rPr>
      </w:pPr>
      <w:r>
        <w:t>Final organization configuration UI.</w:t>
      </w:r>
    </w:p>
    <w:p w14:paraId="4A7C8348" w14:textId="77777777" w:rsidR="00B333B1" w:rsidRDefault="00BB14F9">
      <w:pPr>
        <w:pStyle w:val="ListBullet"/>
        <w:rPr>
          <w:rFonts w:hint="eastAsia"/>
        </w:rPr>
      </w:pPr>
      <w:r>
        <w:t>Backup, recovery, observability, and alerting configuration.</w:t>
      </w:r>
    </w:p>
    <w:p w14:paraId="25C54FAD" w14:textId="77777777" w:rsidR="00B333B1" w:rsidRDefault="00BB14F9">
      <w:pPr>
        <w:pStyle w:val="Heading1"/>
      </w:pPr>
      <w:r>
        <w:lastRenderedPageBreak/>
        <w:t>25. Acceptance Criteria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333B1" w14:paraId="4B92128B" w14:textId="77777777">
        <w:trPr>
          <w:jc w:val="center"/>
        </w:trPr>
        <w:tc>
          <w:tcPr>
            <w:tcW w:w="4968" w:type="dxa"/>
            <w:vAlign w:val="center"/>
          </w:tcPr>
          <w:p w14:paraId="1D8E769E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Acceptance criterion</w:t>
            </w:r>
          </w:p>
        </w:tc>
        <w:tc>
          <w:tcPr>
            <w:tcW w:w="4968" w:type="dxa"/>
            <w:vAlign w:val="center"/>
          </w:tcPr>
          <w:p w14:paraId="7D694BE9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Document coverage</w:t>
            </w:r>
          </w:p>
        </w:tc>
      </w:tr>
      <w:tr w:rsidR="00B333B1" w14:paraId="28DF25C8" w14:textId="77777777">
        <w:trPr>
          <w:jc w:val="center"/>
        </w:trPr>
        <w:tc>
          <w:tcPr>
            <w:tcW w:w="4968" w:type="dxa"/>
            <w:vAlign w:val="center"/>
          </w:tcPr>
          <w:p w14:paraId="3DDE43BA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V1 architecture documented</w:t>
            </w:r>
          </w:p>
        </w:tc>
        <w:tc>
          <w:tcPr>
            <w:tcW w:w="4968" w:type="dxa"/>
            <w:vAlign w:val="center"/>
          </w:tcPr>
          <w:p w14:paraId="12D8F942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Sections 3, 9, 10, 15–18, and 21.</w:t>
            </w:r>
          </w:p>
        </w:tc>
      </w:tr>
      <w:tr w:rsidR="00B333B1" w14:paraId="72A0FE66" w14:textId="77777777">
        <w:trPr>
          <w:jc w:val="center"/>
        </w:trPr>
        <w:tc>
          <w:tcPr>
            <w:tcW w:w="4968" w:type="dxa"/>
            <w:vAlign w:val="center"/>
          </w:tcPr>
          <w:p w14:paraId="13B9241A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 xml:space="preserve">Tenant model and </w:t>
            </w:r>
            <w:r>
              <w:rPr>
                <w:sz w:val="18"/>
              </w:rPr>
              <w:t>record-scoping defined</w:t>
            </w:r>
          </w:p>
        </w:tc>
        <w:tc>
          <w:tcPr>
            <w:tcW w:w="4968" w:type="dxa"/>
            <w:vAlign w:val="center"/>
          </w:tcPr>
          <w:p w14:paraId="40AAC6FF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Sections 4–6.</w:t>
            </w:r>
          </w:p>
        </w:tc>
      </w:tr>
      <w:tr w:rsidR="00B333B1" w14:paraId="4D6613A6" w14:textId="77777777">
        <w:trPr>
          <w:jc w:val="center"/>
        </w:trPr>
        <w:tc>
          <w:tcPr>
            <w:tcW w:w="4968" w:type="dxa"/>
            <w:vAlign w:val="center"/>
          </w:tcPr>
          <w:p w14:paraId="254C8020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FigBloom rules identified as configuration vs hard-coded</w:t>
            </w:r>
          </w:p>
        </w:tc>
        <w:tc>
          <w:tcPr>
            <w:tcW w:w="4968" w:type="dxa"/>
            <w:vAlign w:val="center"/>
          </w:tcPr>
          <w:p w14:paraId="02DC02DA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Section 8.</w:t>
            </w:r>
          </w:p>
        </w:tc>
      </w:tr>
      <w:tr w:rsidR="00B333B1" w14:paraId="28AF91AC" w14:textId="77777777">
        <w:trPr>
          <w:jc w:val="center"/>
        </w:trPr>
        <w:tc>
          <w:tcPr>
            <w:tcW w:w="4968" w:type="dxa"/>
            <w:vAlign w:val="center"/>
          </w:tcPr>
          <w:p w14:paraId="600CB8D2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Key technical decisions and open risks recorded</w:t>
            </w:r>
          </w:p>
        </w:tc>
        <w:tc>
          <w:tcPr>
            <w:tcW w:w="4968" w:type="dxa"/>
            <w:vAlign w:val="center"/>
          </w:tcPr>
          <w:p w14:paraId="631B483F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Sections 22–24.</w:t>
            </w:r>
          </w:p>
        </w:tc>
      </w:tr>
    </w:tbl>
    <w:p w14:paraId="727445D4" w14:textId="77777777" w:rsidR="00B333B1" w:rsidRDefault="00BB14F9">
      <w:pPr>
        <w:pStyle w:val="Heading1"/>
      </w:pPr>
      <w:r>
        <w:t>26. Dependency on Next Issues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333B1" w14:paraId="447B01C3" w14:textId="77777777">
        <w:trPr>
          <w:jc w:val="center"/>
        </w:trPr>
        <w:tc>
          <w:tcPr>
            <w:tcW w:w="4968" w:type="dxa"/>
            <w:vAlign w:val="center"/>
          </w:tcPr>
          <w:p w14:paraId="71A7C7C1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Issue</w:t>
            </w:r>
          </w:p>
        </w:tc>
        <w:tc>
          <w:tcPr>
            <w:tcW w:w="4968" w:type="dxa"/>
            <w:vAlign w:val="center"/>
          </w:tcPr>
          <w:p w14:paraId="4CA72D20" w14:textId="77777777" w:rsidR="00B333B1" w:rsidRDefault="00BB14F9">
            <w:pPr>
              <w:rPr>
                <w:rFonts w:hint="eastAsia"/>
              </w:rPr>
            </w:pPr>
            <w:r>
              <w:rPr>
                <w:b/>
                <w:sz w:val="18"/>
              </w:rPr>
              <w:t>How FIG-436 supports it</w:t>
            </w:r>
          </w:p>
        </w:tc>
      </w:tr>
      <w:tr w:rsidR="00B333B1" w14:paraId="2493F4D9" w14:textId="77777777">
        <w:trPr>
          <w:jc w:val="center"/>
        </w:trPr>
        <w:tc>
          <w:tcPr>
            <w:tcW w:w="4968" w:type="dxa"/>
            <w:vAlign w:val="center"/>
          </w:tcPr>
          <w:p w14:paraId="3DFF6736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FIG-437</w:t>
            </w:r>
          </w:p>
        </w:tc>
        <w:tc>
          <w:tcPr>
            <w:tcW w:w="4968" w:type="dxa"/>
            <w:vAlign w:val="center"/>
          </w:tcPr>
          <w:p w14:paraId="0A276680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 xml:space="preserve">Uses </w:t>
            </w:r>
            <w:r>
              <w:rPr>
                <w:sz w:val="18"/>
              </w:rPr>
              <w:t>organization, membership, authentication, authorization, and tenant-isolation decisions.</w:t>
            </w:r>
          </w:p>
        </w:tc>
      </w:tr>
      <w:tr w:rsidR="00B333B1" w14:paraId="79FA98A9" w14:textId="77777777">
        <w:trPr>
          <w:jc w:val="center"/>
        </w:trPr>
        <w:tc>
          <w:tcPr>
            <w:tcW w:w="4968" w:type="dxa"/>
            <w:vAlign w:val="center"/>
          </w:tcPr>
          <w:p w14:paraId="5B24F316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FIG-438</w:t>
            </w:r>
          </w:p>
        </w:tc>
        <w:tc>
          <w:tcPr>
            <w:tcW w:w="4968" w:type="dxa"/>
            <w:vAlign w:val="center"/>
          </w:tcPr>
          <w:p w14:paraId="338E6D0F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Implements organization-scoped entities, relationships, constraints, and migrations.</w:t>
            </w:r>
          </w:p>
        </w:tc>
      </w:tr>
      <w:tr w:rsidR="00B333B1" w14:paraId="166761B4" w14:textId="77777777">
        <w:trPr>
          <w:jc w:val="center"/>
        </w:trPr>
        <w:tc>
          <w:tcPr>
            <w:tcW w:w="4968" w:type="dxa"/>
            <w:vAlign w:val="center"/>
          </w:tcPr>
          <w:p w14:paraId="1DBF7EC9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FIG-439</w:t>
            </w:r>
          </w:p>
        </w:tc>
        <w:tc>
          <w:tcPr>
            <w:tcW w:w="4968" w:type="dxa"/>
            <w:vAlign w:val="center"/>
          </w:tcPr>
          <w:p w14:paraId="566FB45E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Uses module boundaries, scope, permissions, and configuration de</w:t>
            </w:r>
            <w:r>
              <w:rPr>
                <w:sz w:val="18"/>
              </w:rPr>
              <w:t>cisions.</w:t>
            </w:r>
          </w:p>
        </w:tc>
      </w:tr>
      <w:tr w:rsidR="00B333B1" w14:paraId="70E3DCA5" w14:textId="77777777">
        <w:trPr>
          <w:jc w:val="center"/>
        </w:trPr>
        <w:tc>
          <w:tcPr>
            <w:tcW w:w="4968" w:type="dxa"/>
            <w:vAlign w:val="center"/>
          </w:tcPr>
          <w:p w14:paraId="171BEAEB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FIG-440</w:t>
            </w:r>
          </w:p>
        </w:tc>
        <w:tc>
          <w:tcPr>
            <w:tcW w:w="4968" w:type="dxa"/>
            <w:vAlign w:val="center"/>
          </w:tcPr>
          <w:p w14:paraId="250FF983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Uses deal, pipeline, ownership, and lead-conversion architecture.</w:t>
            </w:r>
          </w:p>
        </w:tc>
      </w:tr>
      <w:tr w:rsidR="00B333B1" w14:paraId="0A73E80A" w14:textId="77777777">
        <w:trPr>
          <w:jc w:val="center"/>
        </w:trPr>
        <w:tc>
          <w:tcPr>
            <w:tcW w:w="4968" w:type="dxa"/>
            <w:vAlign w:val="center"/>
          </w:tcPr>
          <w:p w14:paraId="70949FC6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FIG-441</w:t>
            </w:r>
          </w:p>
        </w:tc>
        <w:tc>
          <w:tcPr>
            <w:tcW w:w="4968" w:type="dxa"/>
            <w:vAlign w:val="center"/>
          </w:tcPr>
          <w:p w14:paraId="10C25642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Uses activity, task, notification, and audit architecture.</w:t>
            </w:r>
          </w:p>
        </w:tc>
      </w:tr>
      <w:tr w:rsidR="00B333B1" w14:paraId="19BCB928" w14:textId="77777777">
        <w:trPr>
          <w:jc w:val="center"/>
        </w:trPr>
        <w:tc>
          <w:tcPr>
            <w:tcW w:w="4968" w:type="dxa"/>
            <w:vAlign w:val="center"/>
          </w:tcPr>
          <w:p w14:paraId="1B9974BE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FIG-442</w:t>
            </w:r>
          </w:p>
        </w:tc>
        <w:tc>
          <w:tcPr>
            <w:tcW w:w="4968" w:type="dxa"/>
            <w:vAlign w:val="center"/>
          </w:tcPr>
          <w:p w14:paraId="69205DD6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Uses the integration boundary and organization-resolution approach.</w:t>
            </w:r>
          </w:p>
        </w:tc>
      </w:tr>
      <w:tr w:rsidR="00B333B1" w14:paraId="5FEF4707" w14:textId="77777777">
        <w:trPr>
          <w:jc w:val="center"/>
        </w:trPr>
        <w:tc>
          <w:tcPr>
            <w:tcW w:w="4968" w:type="dxa"/>
            <w:vAlign w:val="center"/>
          </w:tcPr>
          <w:p w14:paraId="7817E1E9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FIG-443</w:t>
            </w:r>
          </w:p>
        </w:tc>
        <w:tc>
          <w:tcPr>
            <w:tcW w:w="4968" w:type="dxa"/>
            <w:vAlign w:val="center"/>
          </w:tcPr>
          <w:p w14:paraId="47429231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Uses reporting bou</w:t>
            </w:r>
            <w:r>
              <w:rPr>
                <w:sz w:val="18"/>
              </w:rPr>
              <w:t>ndaries and permission-scoped metrics.</w:t>
            </w:r>
          </w:p>
        </w:tc>
      </w:tr>
      <w:tr w:rsidR="00B333B1" w14:paraId="69ED24B2" w14:textId="77777777">
        <w:trPr>
          <w:jc w:val="center"/>
        </w:trPr>
        <w:tc>
          <w:tcPr>
            <w:tcW w:w="4968" w:type="dxa"/>
            <w:vAlign w:val="center"/>
          </w:tcPr>
          <w:p w14:paraId="7984C097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FIG-444</w:t>
            </w:r>
          </w:p>
        </w:tc>
        <w:tc>
          <w:tcPr>
            <w:tcW w:w="4968" w:type="dxa"/>
            <w:vAlign w:val="center"/>
          </w:tcPr>
          <w:p w14:paraId="74DD5404" w14:textId="77777777" w:rsidR="00B333B1" w:rsidRDefault="00BB14F9">
            <w:pPr>
              <w:rPr>
                <w:rFonts w:hint="eastAsia"/>
              </w:rPr>
            </w:pPr>
            <w:r>
              <w:rPr>
                <w:sz w:val="18"/>
              </w:rPr>
              <w:t>Builds on the tenant model and future subscriber boundaries.</w:t>
            </w:r>
          </w:p>
        </w:tc>
      </w:tr>
    </w:tbl>
    <w:p w14:paraId="49A5BB9F" w14:textId="77777777" w:rsidR="00B333B1" w:rsidRDefault="00BB14F9">
      <w:pPr>
        <w:pStyle w:val="Heading1"/>
      </w:pPr>
      <w:r>
        <w:t>27. Definition of Done</w:t>
      </w:r>
    </w:p>
    <w:p w14:paraId="761B9F5F" w14:textId="77777777" w:rsidR="00B333B1" w:rsidRDefault="00BB14F9">
      <w:pPr>
        <w:pStyle w:val="ListBullet"/>
        <w:rPr>
          <w:rFonts w:hint="eastAsia"/>
        </w:rPr>
      </w:pPr>
      <w:r>
        <w:t>Architecture and tenant model are documented and reviewed.</w:t>
      </w:r>
    </w:p>
    <w:p w14:paraId="1CBDECD6" w14:textId="77777777" w:rsidR="00B333B1" w:rsidRDefault="00BB14F9">
      <w:pPr>
        <w:pStyle w:val="ListBullet"/>
        <w:rPr>
          <w:rFonts w:hint="eastAsia"/>
        </w:rPr>
      </w:pPr>
      <w:r>
        <w:t>Organization = Tenant is explicit.</w:t>
      </w:r>
    </w:p>
    <w:p w14:paraId="3D3381D1" w14:textId="77777777" w:rsidR="00B333B1" w:rsidRDefault="00BB14F9">
      <w:pPr>
        <w:pStyle w:val="ListBullet"/>
        <w:rPr>
          <w:rFonts w:hint="eastAsia"/>
        </w:rPr>
      </w:pPr>
      <w:r>
        <w:t>Organization-scoped records are explicit.</w:t>
      </w:r>
    </w:p>
    <w:p w14:paraId="7C0811FA" w14:textId="77777777" w:rsidR="00B333B1" w:rsidRDefault="00BB14F9">
      <w:pPr>
        <w:pStyle w:val="ListBullet"/>
        <w:rPr>
          <w:rFonts w:hint="eastAsia"/>
        </w:rPr>
      </w:pPr>
      <w:r>
        <w:t>User membership and initial roles are established.</w:t>
      </w:r>
    </w:p>
    <w:p w14:paraId="5CA6A8F7" w14:textId="77777777" w:rsidR="00B333B1" w:rsidRDefault="00BB14F9">
      <w:pPr>
        <w:pStyle w:val="ListBullet"/>
        <w:rPr>
          <w:rFonts w:hint="eastAsia"/>
        </w:rPr>
      </w:pPr>
      <w:r>
        <w:t>Configuration versus hard-coded rules are identified.</w:t>
      </w:r>
    </w:p>
    <w:p w14:paraId="00AD0365" w14:textId="77777777" w:rsidR="00B333B1" w:rsidRDefault="00BB14F9">
      <w:pPr>
        <w:pStyle w:val="ListBullet"/>
        <w:rPr>
          <w:rFonts w:hint="eastAsia"/>
        </w:rPr>
      </w:pPr>
      <w:r>
        <w:t>Module and API boundaries are defined.</w:t>
      </w:r>
    </w:p>
    <w:p w14:paraId="0867F03E" w14:textId="77777777" w:rsidR="00B333B1" w:rsidRDefault="00BB14F9">
      <w:pPr>
        <w:pStyle w:val="ListBullet"/>
        <w:rPr>
          <w:rFonts w:hint="eastAsia"/>
        </w:rPr>
      </w:pPr>
      <w:r>
        <w:t>Security and tenant-isolation requirements are documented.</w:t>
      </w:r>
    </w:p>
    <w:p w14:paraId="167836FF" w14:textId="77777777" w:rsidR="00B333B1" w:rsidRDefault="00BB14F9">
      <w:pPr>
        <w:pStyle w:val="ListBullet"/>
        <w:rPr>
          <w:rFonts w:hint="eastAsia"/>
        </w:rPr>
      </w:pPr>
      <w:r>
        <w:t>Integration</w:t>
      </w:r>
      <w:r>
        <w:t xml:space="preserve"> and reporting boundaries are documented.</w:t>
      </w:r>
    </w:p>
    <w:p w14:paraId="1CE283A8" w14:textId="77777777" w:rsidR="00B333B1" w:rsidRDefault="00BB14F9">
      <w:pPr>
        <w:pStyle w:val="ListBullet"/>
        <w:rPr>
          <w:rFonts w:hint="eastAsia"/>
        </w:rPr>
      </w:pPr>
      <w:r>
        <w:t>V1 deferrals are explicit.</w:t>
      </w:r>
    </w:p>
    <w:p w14:paraId="38E189E7" w14:textId="77777777" w:rsidR="00B333B1" w:rsidRDefault="00BB14F9">
      <w:pPr>
        <w:pStyle w:val="ListBullet"/>
        <w:rPr>
          <w:rFonts w:hint="eastAsia"/>
        </w:rPr>
      </w:pPr>
      <w:r>
        <w:t>Risks and open implementation decisions are recorded.</w:t>
      </w:r>
    </w:p>
    <w:p w14:paraId="3F743826" w14:textId="77777777" w:rsidR="00B333B1" w:rsidRDefault="00BB14F9">
      <w:pPr>
        <w:pStyle w:val="ListBullet"/>
        <w:rPr>
          <w:rFonts w:hint="eastAsia"/>
        </w:rPr>
      </w:pPr>
      <w:r>
        <w:t>FIG-437 and FIG-438 can begin without reopening fundamental tenant-model decisions.</w:t>
      </w:r>
    </w:p>
    <w:p w14:paraId="689AE810" w14:textId="77777777" w:rsidR="00B333B1" w:rsidRDefault="00BB14F9">
      <w:pPr>
        <w:pStyle w:val="Heading1"/>
      </w:pPr>
      <w:r>
        <w:t>28. Document Status &amp; Approval</w:t>
      </w:r>
    </w:p>
    <w:p w14:paraId="19C59AFC" w14:textId="77777777" w:rsidR="00B333B1" w:rsidRDefault="00BB14F9">
      <w:pPr>
        <w:rPr>
          <w:rFonts w:hint="eastAsia"/>
        </w:rPr>
      </w:pPr>
      <w:r>
        <w:t>Document Status: A</w:t>
      </w:r>
      <w:r>
        <w:t>rchitecture Specification — For Stakeholder &amp; Technical Review</w:t>
      </w:r>
    </w:p>
    <w:p w14:paraId="4CD781F9" w14:textId="77777777" w:rsidR="00B333B1" w:rsidRDefault="00BB14F9">
      <w:pPr>
        <w:rPr>
          <w:rFonts w:hint="eastAsia"/>
        </w:rPr>
      </w:pPr>
      <w:r>
        <w:t>Michael/project lead and the implementing technical owner should review the tenant model, authentication boundary, configuration strategy, and open technical decisions before FIG-437 and FIG-43</w:t>
      </w:r>
      <w:r>
        <w:t>8 are treated as implementation-ready.</w:t>
      </w:r>
    </w:p>
    <w:p w14:paraId="02A211CA" w14:textId="77777777" w:rsidR="00B333B1" w:rsidRDefault="00BB14F9">
      <w:pPr>
        <w:rPr>
          <w:rFonts w:hint="eastAsia"/>
        </w:rPr>
      </w:pPr>
      <w:r>
        <w:t xml:space="preserve">Once approved, this document becomes the architecture baseline for CRM V1. Material changes to the tenant model, record-scoping approach, or major module boundaries should be documented as architectural </w:t>
      </w:r>
      <w:r>
        <w:t>changes.</w:t>
      </w:r>
    </w:p>
    <w:sectPr w:rsidR="00B333B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7ECBF" w14:textId="77777777" w:rsidR="00BB14F9" w:rsidRDefault="00BB14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90A2A3" w14:textId="77777777" w:rsidR="00BB14F9" w:rsidRDefault="00BB14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67942" w14:textId="77777777" w:rsidR="00B333B1" w:rsidRDefault="00BB14F9">
    <w:pPr>
      <w:pStyle w:val="Footer"/>
      <w:jc w:val="center"/>
      <w:rPr>
        <w:rFonts w:hint="eastAsia"/>
      </w:rPr>
    </w:pPr>
    <w:r>
      <w:t>FigBloom Digital Group — CRM V1 Architecture &amp; Tenant Model — FIG-436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667BB" w14:textId="77777777" w:rsidR="00BB14F9" w:rsidRDefault="00BB14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44013A" w14:textId="77777777" w:rsidR="00BB14F9" w:rsidRDefault="00BB14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33B1"/>
    <w:rsid w:val="00B47730"/>
    <w:rsid w:val="00BB14F9"/>
    <w:rsid w:val="00CB0664"/>
    <w:rsid w:val="00F657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61539"/>
  <w14:defaultImageDpi w14:val="300"/>
  <w15:docId w15:val="{B9187C42-340A-4408-A5E5-E9762C43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2753</Words>
  <Characters>15695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Given Him</cp:lastModifiedBy>
  <cp:revision>2</cp:revision>
  <dcterms:created xsi:type="dcterms:W3CDTF">2013-12-23T23:15:00Z</dcterms:created>
  <dcterms:modified xsi:type="dcterms:W3CDTF">2026-09-24T07:12:00Z</dcterms:modified>
  <cp:category/>
</cp:coreProperties>
</file>