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6600" w14:textId="235F2412" w:rsidR="007C43C9" w:rsidRDefault="00B400E6" w:rsidP="007C43C9">
      <w:pPr>
        <w:pStyle w:val="Heading1"/>
        <w:jc w:val="center"/>
        <w:rPr>
          <w:noProof/>
          <w:color w:val="47D459" w:themeColor="accent3" w:themeTint="99"/>
        </w:rPr>
      </w:pPr>
      <w:r>
        <w:rPr>
          <w:noProof/>
          <w:color w:val="47D459" w:themeColor="accent3" w:themeTint="99"/>
        </w:rPr>
        <w:br/>
      </w:r>
      <w:r>
        <w:rPr>
          <w:noProof/>
          <w:color w:val="47D459" w:themeColor="accent3" w:themeTint="99"/>
        </w:rPr>
        <w:br/>
      </w:r>
      <w:r w:rsidR="005E774E" w:rsidRPr="005E774E">
        <w:rPr>
          <w:noProof/>
          <w:color w:val="47D459" w:themeColor="accent3" w:themeTint="99"/>
        </w:rPr>
        <w:t>Investigative Operational Security Protocol</w:t>
      </w:r>
    </w:p>
    <w:p w14:paraId="0F6F25D2" w14:textId="69F65CD2" w:rsidR="007C43C9" w:rsidRDefault="00C75D40" w:rsidP="007C43C9">
      <w:pPr>
        <w:spacing w:after="100" w:afterAutospacing="1"/>
        <w:ind w:right="302"/>
        <w:jc w:val="center"/>
        <w:rPr>
          <w:b/>
          <w:bCs/>
          <w:noProof/>
          <w:sz w:val="20"/>
          <w:szCs w:val="20"/>
        </w:rPr>
      </w:pPr>
      <w:r w:rsidRPr="00C75D40">
        <w:rPr>
          <w:noProof/>
          <w:sz w:val="20"/>
          <w:szCs w:val="20"/>
        </w:rPr>
        <w:t>Security Protocol for Managed Attribution and Proper Cyber Hygiene for OSINT Investigators</w:t>
      </w:r>
    </w:p>
    <w:p w14:paraId="20354606" w14:textId="22DC617E" w:rsidR="00D500AC" w:rsidRPr="00D500AC" w:rsidRDefault="00BC3912" w:rsidP="00D500AC">
      <w:pPr>
        <w:spacing w:after="100" w:afterAutospacing="1"/>
        <w:ind w:right="302"/>
        <w:rPr>
          <w:noProof/>
          <w:sz w:val="20"/>
          <w:szCs w:val="20"/>
        </w:rPr>
      </w:pPr>
      <w:r w:rsidRPr="007C43C9">
        <w:rPr>
          <w:rStyle w:val="Heading2Char"/>
          <w:color w:val="47D459" w:themeColor="accent3" w:themeTint="99"/>
        </w:rPr>
        <w:t>Executive Summary</w:t>
      </w:r>
      <w:r w:rsidR="00586DCF">
        <w:rPr>
          <w:rStyle w:val="Heading2Char"/>
          <w:color w:val="47D459" w:themeColor="accent3" w:themeTint="99"/>
        </w:rPr>
        <w:br/>
      </w:r>
      <w:r w:rsidR="005332A5">
        <w:rPr>
          <w:noProof/>
          <w:sz w:val="20"/>
          <w:szCs w:val="20"/>
        </w:rPr>
        <w:br/>
      </w:r>
      <w:r w:rsidR="00D500AC" w:rsidRPr="00D500AC">
        <w:rPr>
          <w:noProof/>
          <w:sz w:val="20"/>
          <w:szCs w:val="20"/>
        </w:rPr>
        <w:t>This document outlines the operational security protocols and cyber hygiene practices used when conducting open source intelligence investigations. These procedures are designed to protect the investigator, the client, and the integrity of the investigative process.</w:t>
      </w:r>
    </w:p>
    <w:p w14:paraId="4D70DCA4" w14:textId="2F54A743" w:rsidR="00D500AC" w:rsidRPr="00D500AC" w:rsidRDefault="00D500AC" w:rsidP="00D500AC">
      <w:pPr>
        <w:spacing w:after="100" w:afterAutospacing="1"/>
        <w:ind w:right="302"/>
        <w:rPr>
          <w:noProof/>
          <w:sz w:val="20"/>
          <w:szCs w:val="20"/>
        </w:rPr>
      </w:pPr>
      <w:r w:rsidRPr="00D500AC">
        <w:rPr>
          <w:noProof/>
          <w:sz w:val="20"/>
          <w:szCs w:val="20"/>
        </w:rPr>
        <w:t>Open source investigations frequently involve researching individuals, organizations, and digital infrastructure that may monitor visitors, track browsing activity, or otherwise detect investigative activity. For this reason, investigators must implement consistent and repeatable security practices to maintain investigative discretion and reduce attribution risk.</w:t>
      </w:r>
    </w:p>
    <w:p w14:paraId="72AC8AF2" w14:textId="27E605D0" w:rsidR="00F77DCB" w:rsidRDefault="00E04915" w:rsidP="00D500AC">
      <w:pPr>
        <w:spacing w:after="100" w:afterAutospacing="1"/>
        <w:ind w:right="302"/>
        <w:rPr>
          <w:sz w:val="20"/>
          <w:szCs w:val="20"/>
        </w:rPr>
      </w:pPr>
      <w:r w:rsidRPr="00E04915">
        <w:rPr>
          <w:noProof/>
          <w:sz w:val="20"/>
          <w:szCs w:val="20"/>
        </w:rPr>
        <w:t>The procedures described below establish a consistent and repeatable investigative process focused on maintaining managed attribution, ensuring proper cyber hygiene, and preserving investigative evidence while operating within legal and ethical boundaries.</w:t>
      </w:r>
    </w:p>
    <w:p w14:paraId="7143D4AF" w14:textId="0B3DDF7C" w:rsidR="00DD4D52" w:rsidRPr="00DD4D52" w:rsidRDefault="00DD4D52" w:rsidP="007C43C9">
      <w:pPr>
        <w:pStyle w:val="Heading2"/>
        <w:rPr>
          <w:sz w:val="20"/>
          <w:szCs w:val="20"/>
        </w:rPr>
      </w:pPr>
      <w:r w:rsidRPr="007C43C9">
        <w:rPr>
          <w:color w:val="47D459" w:themeColor="accent3" w:themeTint="99"/>
        </w:rPr>
        <w:t>Purpose</w:t>
      </w:r>
      <w:r>
        <w:br/>
      </w:r>
    </w:p>
    <w:p w14:paraId="56BD70FD" w14:textId="40FF94C8" w:rsidR="007645E2" w:rsidRDefault="001A6CA5" w:rsidP="0098021B">
      <w:pPr>
        <w:spacing w:after="100" w:afterAutospacing="1"/>
        <w:ind w:left="58" w:right="302" w:firstLine="0"/>
        <w:rPr>
          <w:noProof/>
          <w:sz w:val="20"/>
          <w:szCs w:val="20"/>
        </w:rPr>
      </w:pPr>
      <w:r w:rsidRPr="001A6CA5">
        <w:rPr>
          <w:noProof/>
          <w:sz w:val="20"/>
          <w:szCs w:val="20"/>
        </w:rPr>
        <w:t>The purpose of this protocol is to establish standardized procedures that guide investigative activity during the course of an open source investigation. Investigative activity will be conducted in accordance with applicable laws, ethical guidelines, and organizational policies governing open source intelligence research</w:t>
      </w:r>
      <w:r w:rsidR="0098021B">
        <w:rPr>
          <w:noProof/>
          <w:sz w:val="20"/>
          <w:szCs w:val="20"/>
        </w:rPr>
        <w:t xml:space="preserve">. </w:t>
      </w:r>
    </w:p>
    <w:p w14:paraId="1FF47B15" w14:textId="648493AF" w:rsidR="002C5E40" w:rsidRDefault="007645E2" w:rsidP="007645E2">
      <w:pPr>
        <w:spacing w:after="100" w:afterAutospacing="1"/>
        <w:ind w:left="58" w:right="302" w:firstLine="0"/>
        <w:rPr>
          <w:noProof/>
          <w:sz w:val="20"/>
          <w:szCs w:val="20"/>
        </w:rPr>
      </w:pPr>
      <w:r w:rsidRPr="007645E2">
        <w:rPr>
          <w:noProof/>
          <w:sz w:val="20"/>
          <w:szCs w:val="20"/>
        </w:rPr>
        <w:t>As a civilian investigator, investigative activities will rely solely on lawful open source research methods and will not involve unauthorized access to systems, hacking, or misrepresentation to obtain restricted information.</w:t>
      </w:r>
      <w:r>
        <w:rPr>
          <w:noProof/>
          <w:sz w:val="20"/>
          <w:szCs w:val="20"/>
        </w:rPr>
        <w:t xml:space="preserve"> </w:t>
      </w:r>
      <w:r w:rsidR="00CD7233" w:rsidRPr="00CD7233">
        <w:rPr>
          <w:noProof/>
          <w:sz w:val="20"/>
          <w:szCs w:val="20"/>
        </w:rPr>
        <w:t>These procedures are designed to:</w:t>
      </w:r>
    </w:p>
    <w:p w14:paraId="005002FB" w14:textId="3C4FC01A" w:rsidR="002C5E40" w:rsidRDefault="002C5E40" w:rsidP="002C5E40">
      <w:pPr>
        <w:pStyle w:val="ListParagraph"/>
        <w:numPr>
          <w:ilvl w:val="0"/>
          <w:numId w:val="13"/>
        </w:numPr>
        <w:spacing w:after="100" w:afterAutospacing="1"/>
        <w:ind w:right="302"/>
        <w:rPr>
          <w:noProof/>
          <w:sz w:val="20"/>
          <w:szCs w:val="20"/>
        </w:rPr>
      </w:pPr>
      <w:r w:rsidRPr="002C5E40">
        <w:rPr>
          <w:noProof/>
          <w:sz w:val="20"/>
          <w:szCs w:val="20"/>
        </w:rPr>
        <w:t>Protect the confidentiality of the client and the investigation</w:t>
      </w:r>
      <w:r>
        <w:rPr>
          <w:noProof/>
          <w:sz w:val="20"/>
          <w:szCs w:val="20"/>
        </w:rPr>
        <w:t>.</w:t>
      </w:r>
    </w:p>
    <w:p w14:paraId="280035BA" w14:textId="5A8972B2" w:rsidR="002C5E40" w:rsidRDefault="002C5E40" w:rsidP="002C5E40">
      <w:pPr>
        <w:pStyle w:val="ListParagraph"/>
        <w:numPr>
          <w:ilvl w:val="0"/>
          <w:numId w:val="13"/>
        </w:numPr>
        <w:spacing w:after="100" w:afterAutospacing="1"/>
        <w:ind w:right="302"/>
        <w:rPr>
          <w:noProof/>
          <w:sz w:val="20"/>
          <w:szCs w:val="20"/>
        </w:rPr>
      </w:pPr>
      <w:r w:rsidRPr="002C5E40">
        <w:rPr>
          <w:noProof/>
          <w:sz w:val="20"/>
          <w:szCs w:val="20"/>
        </w:rPr>
        <w:t>Reduce the likelihood that investigative activity can be traced to the investigator or client</w:t>
      </w:r>
      <w:r>
        <w:rPr>
          <w:noProof/>
          <w:sz w:val="20"/>
          <w:szCs w:val="20"/>
        </w:rPr>
        <w:t>.</w:t>
      </w:r>
    </w:p>
    <w:p w14:paraId="5966A056" w14:textId="6601FAEB" w:rsidR="002C5E40" w:rsidRDefault="002C5E40" w:rsidP="002C5E40">
      <w:pPr>
        <w:pStyle w:val="ListParagraph"/>
        <w:numPr>
          <w:ilvl w:val="0"/>
          <w:numId w:val="13"/>
        </w:numPr>
        <w:spacing w:after="100" w:afterAutospacing="1"/>
        <w:ind w:right="302"/>
        <w:rPr>
          <w:noProof/>
          <w:sz w:val="20"/>
          <w:szCs w:val="20"/>
        </w:rPr>
      </w:pPr>
      <w:r w:rsidRPr="002C5E40">
        <w:rPr>
          <w:noProof/>
          <w:sz w:val="20"/>
          <w:szCs w:val="20"/>
        </w:rPr>
        <w:t>Maintain the security and reliability of investigative systems</w:t>
      </w:r>
      <w:r>
        <w:rPr>
          <w:noProof/>
          <w:sz w:val="20"/>
          <w:szCs w:val="20"/>
        </w:rPr>
        <w:t>.</w:t>
      </w:r>
    </w:p>
    <w:p w14:paraId="25FBBDEF" w14:textId="7503E48E" w:rsidR="002C5E40" w:rsidRPr="002C5E40" w:rsidRDefault="002C5E40" w:rsidP="002C5E40">
      <w:pPr>
        <w:pStyle w:val="ListParagraph"/>
        <w:numPr>
          <w:ilvl w:val="0"/>
          <w:numId w:val="13"/>
        </w:numPr>
        <w:spacing w:after="100" w:afterAutospacing="1"/>
        <w:ind w:right="302"/>
        <w:rPr>
          <w:noProof/>
          <w:sz w:val="20"/>
          <w:szCs w:val="20"/>
        </w:rPr>
      </w:pPr>
      <w:r w:rsidRPr="002C5E40">
        <w:rPr>
          <w:noProof/>
          <w:sz w:val="20"/>
          <w:szCs w:val="20"/>
        </w:rPr>
        <w:t>Ensure that information collected during the investigation is documented and preserved responsibly</w:t>
      </w:r>
      <w:r>
        <w:rPr>
          <w:noProof/>
          <w:sz w:val="20"/>
          <w:szCs w:val="20"/>
        </w:rPr>
        <w:t>.</w:t>
      </w:r>
    </w:p>
    <w:p w14:paraId="3A50046C" w14:textId="18F7AD49" w:rsidR="0052420F" w:rsidRPr="002C5E40" w:rsidRDefault="004B7F40" w:rsidP="002C5E40">
      <w:pPr>
        <w:spacing w:after="100" w:afterAutospacing="1"/>
        <w:ind w:right="302"/>
        <w:rPr>
          <w:noProof/>
          <w:sz w:val="20"/>
          <w:szCs w:val="20"/>
        </w:rPr>
      </w:pPr>
      <w:r w:rsidRPr="004B7F40">
        <w:rPr>
          <w:sz w:val="20"/>
          <w:szCs w:val="20"/>
        </w:rPr>
        <w:t>This protocol complements the previously agreed upon Statement of Work by describing the operational safeguards used during the investigation.</w:t>
      </w:r>
    </w:p>
    <w:p w14:paraId="764989A5" w14:textId="77777777" w:rsidR="00200088" w:rsidRDefault="00200088" w:rsidP="00200088">
      <w:pPr>
        <w:pStyle w:val="Heading2"/>
        <w:spacing w:after="100" w:afterAutospacing="1"/>
        <w:ind w:left="0" w:right="475" w:firstLine="0"/>
        <w:rPr>
          <w:color w:val="00B050"/>
        </w:rPr>
      </w:pPr>
      <w:r w:rsidRPr="00EE07F9">
        <w:rPr>
          <w:color w:val="00B050"/>
        </w:rPr>
        <w:t>Communication and Confidentiality</w:t>
      </w:r>
    </w:p>
    <w:p w14:paraId="7E3277A6" w14:textId="5726EEE8" w:rsidR="00200088" w:rsidRPr="00FC4642" w:rsidRDefault="00982E90" w:rsidP="00200088">
      <w:pPr>
        <w:spacing w:after="100" w:afterAutospacing="1"/>
        <w:ind w:right="475"/>
        <w:rPr>
          <w:sz w:val="20"/>
          <w:szCs w:val="20"/>
        </w:rPr>
      </w:pPr>
      <w:r w:rsidRPr="00982E90">
        <w:rPr>
          <w:sz w:val="20"/>
          <w:szCs w:val="20"/>
        </w:rPr>
        <w:t>To protect client confidentiality and investigative integrity, the investigator will follow these communication practices:</w:t>
      </w:r>
    </w:p>
    <w:p w14:paraId="0D5107A4" w14:textId="77777777" w:rsidR="00F40FA0" w:rsidRPr="00F40FA0" w:rsidRDefault="00F40FA0" w:rsidP="00F40FA0">
      <w:pPr>
        <w:pStyle w:val="ListParagraph"/>
        <w:numPr>
          <w:ilvl w:val="0"/>
          <w:numId w:val="19"/>
        </w:numPr>
        <w:spacing w:after="100" w:afterAutospacing="1"/>
        <w:ind w:right="475"/>
        <w:rPr>
          <w:sz w:val="20"/>
          <w:szCs w:val="20"/>
        </w:rPr>
      </w:pPr>
      <w:r w:rsidRPr="00F40FA0">
        <w:rPr>
          <w:sz w:val="20"/>
          <w:szCs w:val="20"/>
        </w:rPr>
        <w:t>Communicate sensitive investigative information through secure and encrypted channels whenever possible, including encrypted email and secure file storage systems.</w:t>
      </w:r>
    </w:p>
    <w:p w14:paraId="789EDB91" w14:textId="599045A0" w:rsidR="00F40FA0" w:rsidRPr="00F40FA0" w:rsidRDefault="00F40FA0" w:rsidP="00F40FA0">
      <w:pPr>
        <w:pStyle w:val="ListParagraph"/>
        <w:numPr>
          <w:ilvl w:val="0"/>
          <w:numId w:val="19"/>
        </w:numPr>
        <w:spacing w:after="100" w:afterAutospacing="1"/>
        <w:ind w:right="475"/>
        <w:rPr>
          <w:sz w:val="20"/>
          <w:szCs w:val="20"/>
        </w:rPr>
      </w:pPr>
      <w:r w:rsidRPr="00F40FA0">
        <w:rPr>
          <w:sz w:val="20"/>
          <w:szCs w:val="20"/>
        </w:rPr>
        <w:t>Treat all investigative findings and information collected during the investigation as confidential and share them only with authorized parties.</w:t>
      </w:r>
    </w:p>
    <w:p w14:paraId="2515BFD9" w14:textId="6D7659F1" w:rsidR="00046480" w:rsidRDefault="00F40FA0" w:rsidP="00F40FA0">
      <w:pPr>
        <w:pStyle w:val="ListParagraph"/>
        <w:numPr>
          <w:ilvl w:val="0"/>
          <w:numId w:val="19"/>
        </w:numPr>
        <w:spacing w:after="100" w:afterAutospacing="1"/>
        <w:ind w:right="475"/>
        <w:rPr>
          <w:sz w:val="20"/>
          <w:szCs w:val="20"/>
        </w:rPr>
      </w:pPr>
      <w:r w:rsidRPr="00F40FA0">
        <w:rPr>
          <w:sz w:val="20"/>
          <w:szCs w:val="20"/>
        </w:rPr>
        <w:t>Begin investigative work only after appropriate engagement documentation or investigative authorization has been completed.</w:t>
      </w:r>
    </w:p>
    <w:p w14:paraId="18674CF4" w14:textId="79676379" w:rsidR="00277176" w:rsidRPr="00FC4642" w:rsidRDefault="00277176" w:rsidP="00F40FA0">
      <w:pPr>
        <w:pStyle w:val="ListParagraph"/>
        <w:numPr>
          <w:ilvl w:val="0"/>
          <w:numId w:val="19"/>
        </w:numPr>
        <w:spacing w:after="100" w:afterAutospacing="1"/>
        <w:ind w:right="475"/>
        <w:rPr>
          <w:sz w:val="20"/>
          <w:szCs w:val="20"/>
        </w:rPr>
      </w:pPr>
      <w:r w:rsidRPr="00277176">
        <w:rPr>
          <w:sz w:val="20"/>
          <w:szCs w:val="20"/>
        </w:rPr>
        <w:t>Maintain clear and consistent communication with the client regarding investigative scope, limitations, and emerging concerns that may affect the investigation.</w:t>
      </w:r>
    </w:p>
    <w:p w14:paraId="05BE8F38" w14:textId="25038702" w:rsidR="00C327E1" w:rsidRPr="00AC6971" w:rsidRDefault="00200088" w:rsidP="003279CF">
      <w:pPr>
        <w:spacing w:after="100" w:afterAutospacing="1"/>
        <w:ind w:right="475"/>
        <w:rPr>
          <w:sz w:val="20"/>
          <w:szCs w:val="20"/>
        </w:rPr>
      </w:pPr>
      <w:r w:rsidRPr="00FC4642">
        <w:rPr>
          <w:sz w:val="20"/>
          <w:szCs w:val="20"/>
        </w:rPr>
        <w:t>Maintaining confidentiality protects both the client and the investigative process</w:t>
      </w:r>
      <w:r w:rsidRPr="00076BE4">
        <w:rPr>
          <w:sz w:val="20"/>
          <w:szCs w:val="20"/>
        </w:rPr>
        <w:t>.</w:t>
      </w:r>
      <w:r w:rsidR="003279CF">
        <w:rPr>
          <w:sz w:val="20"/>
          <w:szCs w:val="20"/>
        </w:rPr>
        <w:br/>
      </w:r>
      <w:r w:rsidR="003279CF">
        <w:rPr>
          <w:sz w:val="20"/>
          <w:szCs w:val="20"/>
        </w:rPr>
        <w:br/>
      </w:r>
      <w:r w:rsidR="002F0857" w:rsidRPr="002F0857">
        <w:rPr>
          <w:color w:val="47D459" w:themeColor="accent3" w:themeTint="99"/>
        </w:rPr>
        <w:t>Investigation Environment Setup</w:t>
      </w:r>
      <w:r w:rsidR="00AC6971">
        <w:rPr>
          <w:color w:val="47D459" w:themeColor="accent3" w:themeTint="99"/>
        </w:rPr>
        <w:br/>
      </w:r>
      <w:r w:rsidR="003279CF" w:rsidRPr="00AC6971">
        <w:rPr>
          <w:color w:val="47D459" w:themeColor="accent3" w:themeTint="99"/>
          <w:sz w:val="20"/>
          <w:szCs w:val="20"/>
        </w:rPr>
        <w:br/>
      </w:r>
      <w:r w:rsidR="002F0857" w:rsidRPr="00AC6971">
        <w:rPr>
          <w:sz w:val="20"/>
          <w:szCs w:val="20"/>
        </w:rPr>
        <w:t xml:space="preserve">Investigative work will be conducted within a controlled research environment designed to </w:t>
      </w:r>
      <w:r w:rsidR="00AC6971" w:rsidRPr="00AC6971">
        <w:rPr>
          <w:sz w:val="20"/>
          <w:szCs w:val="20"/>
        </w:rPr>
        <w:t>separate</w:t>
      </w:r>
      <w:r w:rsidR="00AC6971" w:rsidRPr="002F0857">
        <w:rPr>
          <w:sz w:val="20"/>
          <w:szCs w:val="20"/>
        </w:rPr>
        <w:t xml:space="preserve"> </w:t>
      </w:r>
      <w:r w:rsidR="00CA0847">
        <w:rPr>
          <w:sz w:val="20"/>
          <w:szCs w:val="20"/>
        </w:rPr>
        <w:br/>
      </w:r>
      <w:r w:rsidR="00CA0847">
        <w:rPr>
          <w:sz w:val="20"/>
          <w:szCs w:val="20"/>
        </w:rPr>
        <w:lastRenderedPageBreak/>
        <w:br/>
      </w:r>
      <w:r w:rsidR="00CA0847">
        <w:rPr>
          <w:sz w:val="20"/>
          <w:szCs w:val="20"/>
        </w:rPr>
        <w:br/>
      </w:r>
      <w:r w:rsidR="00CA0847">
        <w:rPr>
          <w:sz w:val="20"/>
          <w:szCs w:val="20"/>
        </w:rPr>
        <w:br/>
      </w:r>
      <w:r w:rsidR="00CA0847">
        <w:rPr>
          <w:sz w:val="20"/>
          <w:szCs w:val="20"/>
        </w:rPr>
        <w:br/>
      </w:r>
      <w:r w:rsidR="00AC6971">
        <w:rPr>
          <w:sz w:val="20"/>
          <w:szCs w:val="20"/>
        </w:rPr>
        <w:t>investigative</w:t>
      </w:r>
      <w:r w:rsidR="002F0857" w:rsidRPr="002F0857">
        <w:rPr>
          <w:sz w:val="20"/>
          <w:szCs w:val="20"/>
        </w:rPr>
        <w:t xml:space="preserve"> activity from personal systems and accounts.</w:t>
      </w:r>
      <w:r w:rsidR="0098021B">
        <w:rPr>
          <w:sz w:val="20"/>
          <w:szCs w:val="20"/>
        </w:rPr>
        <w:t xml:space="preserve"> </w:t>
      </w:r>
      <w:r w:rsidR="002F0857" w:rsidRPr="002F0857">
        <w:rPr>
          <w:sz w:val="20"/>
          <w:szCs w:val="20"/>
        </w:rPr>
        <w:t>To maintain this separation, the investigator will implement the following practices</w:t>
      </w:r>
      <w:r w:rsidR="006C55DB">
        <w:rPr>
          <w:sz w:val="20"/>
          <w:szCs w:val="20"/>
        </w:rPr>
        <w:t>:</w:t>
      </w:r>
    </w:p>
    <w:p w14:paraId="77C9AF3A" w14:textId="0AA7C7BF" w:rsidR="002020CE" w:rsidRPr="003279CF" w:rsidRDefault="003878B1" w:rsidP="002020CE">
      <w:pPr>
        <w:pStyle w:val="ListParagraph"/>
        <w:numPr>
          <w:ilvl w:val="0"/>
          <w:numId w:val="21"/>
        </w:numPr>
        <w:spacing w:after="100" w:afterAutospacing="1"/>
        <w:rPr>
          <w:sz w:val="20"/>
          <w:szCs w:val="20"/>
        </w:rPr>
      </w:pPr>
      <w:r w:rsidRPr="00AC6971">
        <w:rPr>
          <w:sz w:val="20"/>
          <w:szCs w:val="20"/>
        </w:rPr>
        <w:t>Conduct</w:t>
      </w:r>
      <w:r w:rsidRPr="003279CF">
        <w:rPr>
          <w:sz w:val="20"/>
          <w:szCs w:val="20"/>
        </w:rPr>
        <w:t xml:space="preserve"> investigative research on a dedicated investigative system, virtual environment, or isolated platform that is separated from personal devices and organizational networks.</w:t>
      </w:r>
    </w:p>
    <w:p w14:paraId="1D9D7533" w14:textId="6CF1DCA0" w:rsidR="00F40FA0" w:rsidRPr="00802538" w:rsidRDefault="00F40FA0" w:rsidP="00F40FA0">
      <w:pPr>
        <w:pStyle w:val="ListParagraph"/>
        <w:numPr>
          <w:ilvl w:val="0"/>
          <w:numId w:val="21"/>
        </w:numPr>
        <w:spacing w:after="100" w:afterAutospacing="1"/>
        <w:rPr>
          <w:sz w:val="20"/>
          <w:szCs w:val="20"/>
        </w:rPr>
      </w:pPr>
      <w:r w:rsidRPr="00F40FA0">
        <w:rPr>
          <w:sz w:val="20"/>
          <w:szCs w:val="20"/>
        </w:rPr>
        <w:t>Avoid using personal accounts or devices for investigative research.</w:t>
      </w:r>
    </w:p>
    <w:p w14:paraId="5C11F0D0" w14:textId="4684D35B" w:rsidR="00F40FA0" w:rsidRPr="00F40FA0" w:rsidRDefault="00F40FA0" w:rsidP="00F40FA0">
      <w:pPr>
        <w:pStyle w:val="ListParagraph"/>
        <w:numPr>
          <w:ilvl w:val="0"/>
          <w:numId w:val="21"/>
        </w:numPr>
        <w:spacing w:after="100" w:afterAutospacing="1"/>
        <w:rPr>
          <w:sz w:val="20"/>
          <w:szCs w:val="20"/>
        </w:rPr>
      </w:pPr>
      <w:r w:rsidRPr="00F40FA0">
        <w:rPr>
          <w:sz w:val="20"/>
          <w:szCs w:val="20"/>
        </w:rPr>
        <w:t>Keep operating systems, investigative software, and security protections such as antivirus and anti-malware tools up to date.</w:t>
      </w:r>
    </w:p>
    <w:p w14:paraId="75D701D4" w14:textId="2AE4D8F3" w:rsidR="008C1169" w:rsidRPr="00C327E1" w:rsidRDefault="00F40FA0" w:rsidP="00F40FA0">
      <w:pPr>
        <w:pStyle w:val="ListParagraph"/>
        <w:numPr>
          <w:ilvl w:val="0"/>
          <w:numId w:val="21"/>
        </w:numPr>
        <w:spacing w:after="100" w:afterAutospacing="1"/>
        <w:rPr>
          <w:sz w:val="20"/>
          <w:szCs w:val="20"/>
        </w:rPr>
      </w:pPr>
      <w:r w:rsidRPr="00F40FA0">
        <w:rPr>
          <w:sz w:val="20"/>
          <w:szCs w:val="20"/>
        </w:rPr>
        <w:t>Store investigative data and documentation on secure or encrypted storage systems.</w:t>
      </w:r>
    </w:p>
    <w:p w14:paraId="5C42B166" w14:textId="5A7D926C" w:rsidR="00AD066C" w:rsidRPr="005B5EA6" w:rsidRDefault="008C1169" w:rsidP="008C1169">
      <w:pPr>
        <w:pStyle w:val="Heading2"/>
        <w:spacing w:after="100" w:afterAutospacing="1"/>
        <w:ind w:left="0" w:right="475" w:firstLine="0"/>
        <w:rPr>
          <w:rFonts w:ascii="Calibri" w:eastAsia="Calibri" w:hAnsi="Calibri" w:cs="Calibri"/>
          <w:color w:val="000000"/>
          <w:sz w:val="20"/>
          <w:szCs w:val="20"/>
        </w:rPr>
      </w:pPr>
      <w:r w:rsidRPr="008C1169">
        <w:rPr>
          <w:rFonts w:ascii="Calibri" w:eastAsia="Calibri" w:hAnsi="Calibri" w:cs="Calibri"/>
          <w:color w:val="000000"/>
          <w:sz w:val="20"/>
          <w:szCs w:val="20"/>
        </w:rPr>
        <w:t>Maintaining a controlled investigative environment reduces the risk of accidental exposure and protects both the investigator and the client.</w:t>
      </w:r>
      <w:r>
        <w:rPr>
          <w:rFonts w:ascii="Calibri" w:eastAsia="Calibri" w:hAnsi="Calibri" w:cs="Calibri"/>
          <w:color w:val="000000"/>
          <w:sz w:val="20"/>
          <w:szCs w:val="20"/>
        </w:rPr>
        <w:br/>
      </w:r>
      <w:r>
        <w:rPr>
          <w:rFonts w:ascii="Calibri" w:eastAsia="Calibri" w:hAnsi="Calibri" w:cs="Calibri"/>
          <w:color w:val="000000"/>
          <w:sz w:val="20"/>
          <w:szCs w:val="20"/>
        </w:rPr>
        <w:br/>
      </w:r>
      <w:r w:rsidR="00AD066C" w:rsidRPr="00AD066C">
        <w:rPr>
          <w:color w:val="47D459" w:themeColor="accent3" w:themeTint="99"/>
        </w:rPr>
        <w:t>Managed Attribution Practices</w:t>
      </w:r>
    </w:p>
    <w:p w14:paraId="098B32EE" w14:textId="572DED4A" w:rsidR="00E230E1" w:rsidRDefault="00D0326B" w:rsidP="00D0326B">
      <w:pPr>
        <w:spacing w:after="100" w:afterAutospacing="1"/>
        <w:ind w:right="298"/>
        <w:rPr>
          <w:sz w:val="20"/>
          <w:szCs w:val="20"/>
        </w:rPr>
      </w:pPr>
      <w:r w:rsidRPr="00D0326B">
        <w:rPr>
          <w:sz w:val="20"/>
          <w:szCs w:val="20"/>
        </w:rPr>
        <w:t>During certain investigations it may be necessary to limit the ability of the subject to identify or detect investigative activity. Individuals or organizations being researched may monitor website traffic, social media engagement, or other online interactions, creating a risk that investigative activity could be detected or traced back to the investigator.</w:t>
      </w:r>
      <w:r>
        <w:rPr>
          <w:sz w:val="20"/>
          <w:szCs w:val="20"/>
        </w:rPr>
        <w:t xml:space="preserve"> </w:t>
      </w:r>
      <w:r w:rsidRPr="00D0326B">
        <w:rPr>
          <w:sz w:val="20"/>
          <w:szCs w:val="20"/>
        </w:rPr>
        <w:t>To mitigate this risk, the investigator may implement the following managed attribution practices:</w:t>
      </w:r>
    </w:p>
    <w:p w14:paraId="1FC60123" w14:textId="33953F52" w:rsidR="00A6298F" w:rsidRPr="00A6298F" w:rsidRDefault="00AE767E" w:rsidP="00A6298F">
      <w:pPr>
        <w:pStyle w:val="ListParagraph"/>
        <w:numPr>
          <w:ilvl w:val="0"/>
          <w:numId w:val="15"/>
        </w:numPr>
        <w:spacing w:after="100" w:afterAutospacing="1"/>
        <w:ind w:right="298"/>
        <w:rPr>
          <w:sz w:val="20"/>
          <w:szCs w:val="20"/>
        </w:rPr>
      </w:pPr>
      <w:r w:rsidRPr="00AE767E">
        <w:rPr>
          <w:sz w:val="20"/>
          <w:szCs w:val="20"/>
        </w:rPr>
        <w:t>Use separate investigative research accounts or controlled online personas that are not connected to the investigator’s personal or professional identity and maintain consistent digital attributes appropriate to the investigative context.</w:t>
      </w:r>
    </w:p>
    <w:p w14:paraId="0A266D2A" w14:textId="21B063A2" w:rsidR="00A6298F" w:rsidRPr="00A6298F" w:rsidRDefault="00A6298F" w:rsidP="00A6298F">
      <w:pPr>
        <w:pStyle w:val="ListParagraph"/>
        <w:numPr>
          <w:ilvl w:val="0"/>
          <w:numId w:val="15"/>
        </w:numPr>
        <w:spacing w:after="100" w:afterAutospacing="1"/>
        <w:ind w:right="298"/>
        <w:rPr>
          <w:sz w:val="20"/>
          <w:szCs w:val="20"/>
        </w:rPr>
      </w:pPr>
      <w:r w:rsidRPr="00A6298F">
        <w:rPr>
          <w:sz w:val="20"/>
          <w:szCs w:val="20"/>
        </w:rPr>
        <w:t>Use isolated research environments to prevent cross contamination between investigative and personal activity.</w:t>
      </w:r>
    </w:p>
    <w:p w14:paraId="7F36A8BD" w14:textId="0285E3A9" w:rsidR="00A6298F" w:rsidRPr="00A6298F" w:rsidRDefault="00A6298F" w:rsidP="00A6298F">
      <w:pPr>
        <w:pStyle w:val="ListParagraph"/>
        <w:numPr>
          <w:ilvl w:val="0"/>
          <w:numId w:val="15"/>
        </w:numPr>
        <w:spacing w:after="100" w:afterAutospacing="1"/>
        <w:ind w:right="298"/>
        <w:rPr>
          <w:sz w:val="20"/>
          <w:szCs w:val="20"/>
        </w:rPr>
      </w:pPr>
      <w:r w:rsidRPr="00A6298F">
        <w:rPr>
          <w:sz w:val="20"/>
          <w:szCs w:val="20"/>
        </w:rPr>
        <w:t>Use network privacy tools such as VPN services when accessing websites that log visitor information.</w:t>
      </w:r>
    </w:p>
    <w:p w14:paraId="6EF45B9C" w14:textId="3BBEBB17" w:rsidR="00A6298F" w:rsidRPr="00A6298F" w:rsidRDefault="00061A93" w:rsidP="00A6298F">
      <w:pPr>
        <w:pStyle w:val="ListParagraph"/>
        <w:numPr>
          <w:ilvl w:val="0"/>
          <w:numId w:val="15"/>
        </w:numPr>
        <w:spacing w:after="100" w:afterAutospacing="1"/>
        <w:ind w:right="298"/>
        <w:rPr>
          <w:sz w:val="20"/>
          <w:szCs w:val="20"/>
        </w:rPr>
      </w:pPr>
      <w:r w:rsidRPr="00061A93">
        <w:rPr>
          <w:sz w:val="20"/>
          <w:szCs w:val="20"/>
        </w:rPr>
        <w:t>Monitor investigative accounts and tools to ensure they remain operational and do not expose the investigator’s identity or investigative activity patterns.</w:t>
      </w:r>
    </w:p>
    <w:p w14:paraId="2C0DA982" w14:textId="1E25A2F0" w:rsidR="00046480" w:rsidRPr="00E230E1" w:rsidRDefault="00A6298F" w:rsidP="00A6298F">
      <w:pPr>
        <w:pStyle w:val="ListParagraph"/>
        <w:numPr>
          <w:ilvl w:val="0"/>
          <w:numId w:val="15"/>
        </w:numPr>
        <w:spacing w:after="100" w:afterAutospacing="1"/>
        <w:ind w:right="298"/>
        <w:rPr>
          <w:sz w:val="20"/>
          <w:szCs w:val="20"/>
        </w:rPr>
      </w:pPr>
      <w:r w:rsidRPr="00A6298F">
        <w:rPr>
          <w:sz w:val="20"/>
          <w:szCs w:val="20"/>
        </w:rPr>
        <w:t>Use dedicated investigative contact methods, such as VOIP numbers or controlled communication accounts, when communicating with external parties</w:t>
      </w:r>
      <w:r w:rsidR="00046480" w:rsidRPr="00046480">
        <w:rPr>
          <w:sz w:val="20"/>
          <w:szCs w:val="20"/>
        </w:rPr>
        <w:t>.</w:t>
      </w:r>
    </w:p>
    <w:p w14:paraId="399EC216" w14:textId="628069A9" w:rsidR="00F77DCB" w:rsidRDefault="00E230E1" w:rsidP="00E230E1">
      <w:pPr>
        <w:pStyle w:val="Heading2"/>
        <w:spacing w:after="100" w:afterAutospacing="1"/>
        <w:ind w:left="0" w:right="475" w:firstLine="0"/>
        <w:rPr>
          <w:color w:val="47D459" w:themeColor="accent3" w:themeTint="99"/>
        </w:rPr>
      </w:pPr>
      <w:r w:rsidRPr="00E230E1">
        <w:rPr>
          <w:rFonts w:ascii="Calibri" w:eastAsia="Calibri" w:hAnsi="Calibri" w:cs="Calibri"/>
          <w:color w:val="000000"/>
          <w:sz w:val="20"/>
          <w:szCs w:val="20"/>
        </w:rPr>
        <w:t>Managed attribution practices are implemented solely to protect the integrity of the investigation and prevent investigative compromise.</w:t>
      </w:r>
      <w:r>
        <w:rPr>
          <w:rFonts w:ascii="Calibri" w:eastAsia="Calibri" w:hAnsi="Calibri" w:cs="Calibri"/>
          <w:color w:val="000000"/>
          <w:sz w:val="20"/>
          <w:szCs w:val="20"/>
        </w:rPr>
        <w:br/>
      </w:r>
      <w:r>
        <w:rPr>
          <w:rFonts w:ascii="Calibri" w:eastAsia="Calibri" w:hAnsi="Calibri" w:cs="Calibri"/>
          <w:color w:val="000000"/>
          <w:sz w:val="20"/>
          <w:szCs w:val="20"/>
        </w:rPr>
        <w:br/>
      </w:r>
      <w:r w:rsidR="000A5263" w:rsidRPr="000A5263">
        <w:rPr>
          <w:color w:val="47D459" w:themeColor="accent3" w:themeTint="99"/>
        </w:rPr>
        <w:t>Cyber Hygiene and System Security</w:t>
      </w:r>
    </w:p>
    <w:p w14:paraId="69C6DBE1" w14:textId="14527B8E" w:rsidR="003A7272" w:rsidRDefault="003A7272" w:rsidP="003A7272">
      <w:pPr>
        <w:spacing w:after="100" w:afterAutospacing="1"/>
        <w:ind w:right="475"/>
        <w:rPr>
          <w:sz w:val="20"/>
          <w:szCs w:val="20"/>
        </w:rPr>
      </w:pPr>
      <w:r w:rsidRPr="003A7272">
        <w:rPr>
          <w:sz w:val="20"/>
          <w:szCs w:val="20"/>
        </w:rPr>
        <w:t>Maintaining proper cyber hygiene is essential to protect investigative systems from compromise and ensure reliable research results.</w:t>
      </w:r>
      <w:r w:rsidR="0098021B">
        <w:rPr>
          <w:sz w:val="20"/>
          <w:szCs w:val="20"/>
        </w:rPr>
        <w:t xml:space="preserve"> </w:t>
      </w:r>
      <w:r w:rsidRPr="003A7272">
        <w:rPr>
          <w:sz w:val="20"/>
          <w:szCs w:val="20"/>
        </w:rPr>
        <w:t>The investigator will maintain the following practices:</w:t>
      </w:r>
    </w:p>
    <w:p w14:paraId="6F117695" w14:textId="77777777" w:rsidR="00597D7A" w:rsidRPr="00597D7A" w:rsidRDefault="00597D7A" w:rsidP="00597D7A">
      <w:pPr>
        <w:pStyle w:val="ListParagraph"/>
        <w:numPr>
          <w:ilvl w:val="0"/>
          <w:numId w:val="16"/>
        </w:numPr>
        <w:spacing w:after="100" w:afterAutospacing="1"/>
        <w:ind w:right="475"/>
        <w:rPr>
          <w:sz w:val="20"/>
          <w:szCs w:val="20"/>
        </w:rPr>
      </w:pPr>
      <w:r w:rsidRPr="00597D7A">
        <w:rPr>
          <w:sz w:val="20"/>
          <w:szCs w:val="20"/>
        </w:rPr>
        <w:t>Keep operating systems and investigative software updated with current security patches.</w:t>
      </w:r>
    </w:p>
    <w:p w14:paraId="0BFF24B3" w14:textId="43620B55" w:rsidR="00597D7A" w:rsidRDefault="00597D7A" w:rsidP="00597D7A">
      <w:pPr>
        <w:pStyle w:val="ListParagraph"/>
        <w:numPr>
          <w:ilvl w:val="0"/>
          <w:numId w:val="16"/>
        </w:numPr>
        <w:spacing w:after="100" w:afterAutospacing="1"/>
        <w:ind w:right="475"/>
        <w:rPr>
          <w:sz w:val="20"/>
          <w:szCs w:val="20"/>
        </w:rPr>
      </w:pPr>
      <w:r w:rsidRPr="00597D7A">
        <w:rPr>
          <w:sz w:val="20"/>
          <w:szCs w:val="20"/>
        </w:rPr>
        <w:t>Maintain and regularly update antivirus and anti-malware tools.</w:t>
      </w:r>
    </w:p>
    <w:p w14:paraId="1618C81E" w14:textId="09DD0AE3" w:rsidR="00B02153" w:rsidRPr="00597D7A" w:rsidRDefault="00B02153" w:rsidP="00597D7A">
      <w:pPr>
        <w:pStyle w:val="ListParagraph"/>
        <w:numPr>
          <w:ilvl w:val="0"/>
          <w:numId w:val="16"/>
        </w:numPr>
        <w:spacing w:after="100" w:afterAutospacing="1"/>
        <w:ind w:right="475"/>
        <w:rPr>
          <w:sz w:val="20"/>
          <w:szCs w:val="20"/>
        </w:rPr>
      </w:pPr>
      <w:r w:rsidRPr="00B02153">
        <w:rPr>
          <w:sz w:val="20"/>
          <w:szCs w:val="20"/>
        </w:rPr>
        <w:t>Use strong, unique passwords for investigative accounts and enable multi-factor authentication whenever possible.</w:t>
      </w:r>
    </w:p>
    <w:p w14:paraId="562F9029" w14:textId="3C19E4D0" w:rsidR="00597D7A" w:rsidRPr="00597D7A" w:rsidRDefault="00597D7A" w:rsidP="00597D7A">
      <w:pPr>
        <w:pStyle w:val="ListParagraph"/>
        <w:numPr>
          <w:ilvl w:val="0"/>
          <w:numId w:val="16"/>
        </w:numPr>
        <w:spacing w:after="100" w:afterAutospacing="1"/>
        <w:ind w:right="475"/>
        <w:rPr>
          <w:sz w:val="20"/>
          <w:szCs w:val="20"/>
        </w:rPr>
      </w:pPr>
      <w:r w:rsidRPr="00597D7A">
        <w:rPr>
          <w:sz w:val="20"/>
          <w:szCs w:val="20"/>
        </w:rPr>
        <w:t>Configure browser security settings to reduce tracking and data retention.</w:t>
      </w:r>
    </w:p>
    <w:p w14:paraId="79BA6A61" w14:textId="6C69171F" w:rsidR="00597D7A" w:rsidRPr="00597D7A" w:rsidRDefault="00597D7A" w:rsidP="00597D7A">
      <w:pPr>
        <w:pStyle w:val="ListParagraph"/>
        <w:numPr>
          <w:ilvl w:val="0"/>
          <w:numId w:val="16"/>
        </w:numPr>
        <w:spacing w:after="100" w:afterAutospacing="1"/>
        <w:ind w:right="475"/>
        <w:rPr>
          <w:sz w:val="20"/>
          <w:szCs w:val="20"/>
        </w:rPr>
      </w:pPr>
      <w:r w:rsidRPr="00597D7A">
        <w:rPr>
          <w:sz w:val="20"/>
          <w:szCs w:val="20"/>
        </w:rPr>
        <w:t>Clear temporary files, cached data, and cookies periodically.</w:t>
      </w:r>
    </w:p>
    <w:p w14:paraId="115E2E6D" w14:textId="6BA37110" w:rsidR="003A7272" w:rsidRPr="003A7272" w:rsidRDefault="00597D7A" w:rsidP="00597D7A">
      <w:pPr>
        <w:pStyle w:val="ListParagraph"/>
        <w:numPr>
          <w:ilvl w:val="0"/>
          <w:numId w:val="16"/>
        </w:numPr>
        <w:spacing w:after="100" w:afterAutospacing="1"/>
        <w:ind w:right="475"/>
        <w:rPr>
          <w:sz w:val="20"/>
          <w:szCs w:val="20"/>
        </w:rPr>
      </w:pPr>
      <w:r w:rsidRPr="00597D7A">
        <w:rPr>
          <w:sz w:val="20"/>
          <w:szCs w:val="20"/>
        </w:rPr>
        <w:t>Monitor investigative systems for unusual activity or potential compromise</w:t>
      </w:r>
      <w:r w:rsidR="003A7272" w:rsidRPr="003A7272">
        <w:rPr>
          <w:sz w:val="20"/>
          <w:szCs w:val="20"/>
        </w:rPr>
        <w:t>.</w:t>
      </w:r>
    </w:p>
    <w:p w14:paraId="0C50E56A" w14:textId="77777777" w:rsidR="005B78E7" w:rsidRDefault="003A7272" w:rsidP="005B78E7">
      <w:pPr>
        <w:spacing w:after="100" w:afterAutospacing="1"/>
        <w:ind w:right="475"/>
        <w:rPr>
          <w:sz w:val="20"/>
          <w:szCs w:val="20"/>
        </w:rPr>
      </w:pPr>
      <w:r w:rsidRPr="003A7272">
        <w:rPr>
          <w:sz w:val="20"/>
          <w:szCs w:val="20"/>
        </w:rPr>
        <w:t>These practices help ensure that investigative systems remain secure and that investigative activity is not inadvertently exposed.</w:t>
      </w:r>
    </w:p>
    <w:p w14:paraId="4A9CC141" w14:textId="1B959A43" w:rsidR="005B78E7" w:rsidRPr="00872C30" w:rsidRDefault="00CA0F4B" w:rsidP="00872C30">
      <w:pPr>
        <w:pStyle w:val="Heading2"/>
        <w:rPr>
          <w:color w:val="00B050"/>
        </w:rPr>
      </w:pPr>
      <w:r w:rsidRPr="00872C30">
        <w:rPr>
          <w:color w:val="00B050"/>
        </w:rPr>
        <w:t>Personal Exposure Monitoring</w:t>
      </w:r>
      <w:r w:rsidR="00872C30">
        <w:rPr>
          <w:color w:val="00B050"/>
        </w:rPr>
        <w:br/>
      </w:r>
    </w:p>
    <w:p w14:paraId="69805FED" w14:textId="13103F74" w:rsidR="005B78E7" w:rsidRDefault="00872C30" w:rsidP="00CA0847">
      <w:pPr>
        <w:spacing w:after="100" w:afterAutospacing="1"/>
        <w:ind w:left="0" w:right="475" w:firstLine="0"/>
        <w:rPr>
          <w:sz w:val="20"/>
          <w:szCs w:val="20"/>
        </w:rPr>
      </w:pPr>
      <w:r w:rsidRPr="005B78E7">
        <w:rPr>
          <w:sz w:val="20"/>
          <w:szCs w:val="20"/>
        </w:rPr>
        <w:t>Open-source</w:t>
      </w:r>
      <w:r w:rsidR="005B78E7" w:rsidRPr="005B78E7">
        <w:rPr>
          <w:sz w:val="20"/>
          <w:szCs w:val="20"/>
        </w:rPr>
        <w:t xml:space="preserve"> investigators </w:t>
      </w:r>
      <w:r w:rsidR="00A243CD">
        <w:rPr>
          <w:sz w:val="20"/>
          <w:szCs w:val="20"/>
        </w:rPr>
        <w:t>will</w:t>
      </w:r>
      <w:r w:rsidR="005B78E7" w:rsidRPr="005B78E7">
        <w:rPr>
          <w:sz w:val="20"/>
          <w:szCs w:val="20"/>
        </w:rPr>
        <w:t xml:space="preserve"> remain aware of their own digital footprint. Information about the investigator, their family members, or their organization that is publicly available online may create </w:t>
      </w:r>
      <w:r w:rsidR="00CA0847">
        <w:rPr>
          <w:sz w:val="20"/>
          <w:szCs w:val="20"/>
        </w:rPr>
        <w:br/>
      </w:r>
      <w:r w:rsidR="00CA0847">
        <w:rPr>
          <w:sz w:val="20"/>
          <w:szCs w:val="20"/>
        </w:rPr>
        <w:br/>
      </w:r>
      <w:r w:rsidR="00CA0847">
        <w:rPr>
          <w:sz w:val="20"/>
          <w:szCs w:val="20"/>
        </w:rPr>
        <w:lastRenderedPageBreak/>
        <w:br/>
      </w:r>
      <w:r w:rsidR="00CA0847">
        <w:rPr>
          <w:sz w:val="20"/>
          <w:szCs w:val="20"/>
        </w:rPr>
        <w:br/>
      </w:r>
      <w:r w:rsidR="004F4686">
        <w:rPr>
          <w:sz w:val="20"/>
          <w:szCs w:val="20"/>
        </w:rPr>
        <w:br/>
      </w:r>
      <w:r w:rsidR="008B6DE1">
        <w:rPr>
          <w:sz w:val="20"/>
          <w:szCs w:val="20"/>
        </w:rPr>
        <w:br/>
      </w:r>
      <w:r w:rsidR="005B78E7" w:rsidRPr="005B78E7">
        <w:rPr>
          <w:sz w:val="20"/>
          <w:szCs w:val="20"/>
        </w:rPr>
        <w:t>attribution risks during an investigation.</w:t>
      </w:r>
      <w:r w:rsidR="0098021B">
        <w:rPr>
          <w:sz w:val="20"/>
          <w:szCs w:val="20"/>
        </w:rPr>
        <w:t xml:space="preserve"> </w:t>
      </w:r>
      <w:r w:rsidR="00DB2021" w:rsidRPr="00DB2021">
        <w:rPr>
          <w:sz w:val="20"/>
          <w:szCs w:val="20"/>
        </w:rPr>
        <w:t>To reduce this risk, the investigator will implement the following practices:</w:t>
      </w:r>
    </w:p>
    <w:p w14:paraId="3A240DCC" w14:textId="12538DA2" w:rsidR="008E2B8B" w:rsidRPr="00DF0304" w:rsidRDefault="00597D7A" w:rsidP="00CA0847">
      <w:pPr>
        <w:pStyle w:val="ListParagraph"/>
        <w:numPr>
          <w:ilvl w:val="0"/>
          <w:numId w:val="16"/>
        </w:numPr>
        <w:spacing w:after="100" w:afterAutospacing="1"/>
        <w:ind w:right="475"/>
        <w:rPr>
          <w:sz w:val="20"/>
          <w:szCs w:val="20"/>
        </w:rPr>
      </w:pPr>
      <w:r w:rsidRPr="00597D7A">
        <w:rPr>
          <w:sz w:val="20"/>
          <w:szCs w:val="20"/>
        </w:rPr>
        <w:t>Conduct periodic searches of public records, databases, and online sources to identify information that may expose the investigator or investigation.</w:t>
      </w:r>
    </w:p>
    <w:p w14:paraId="28CB8905" w14:textId="750D7137" w:rsidR="00597D7A" w:rsidRPr="00597D7A" w:rsidRDefault="00597D7A" w:rsidP="00CA0847">
      <w:pPr>
        <w:pStyle w:val="ListParagraph"/>
        <w:numPr>
          <w:ilvl w:val="0"/>
          <w:numId w:val="16"/>
        </w:numPr>
        <w:spacing w:after="100" w:afterAutospacing="1"/>
        <w:ind w:right="475"/>
        <w:rPr>
          <w:sz w:val="20"/>
          <w:szCs w:val="20"/>
        </w:rPr>
      </w:pPr>
      <w:r w:rsidRPr="00597D7A">
        <w:rPr>
          <w:sz w:val="20"/>
          <w:szCs w:val="20"/>
        </w:rPr>
        <w:t>Monitor data broker sites and public records for exposure of personal information such as addresses, phone numbers, or email accounts.</w:t>
      </w:r>
    </w:p>
    <w:p w14:paraId="58C8A617" w14:textId="18CB4F6C" w:rsidR="00E318EE" w:rsidRPr="003279CF" w:rsidRDefault="00597D7A" w:rsidP="00CA0847">
      <w:pPr>
        <w:pStyle w:val="ListParagraph"/>
        <w:numPr>
          <w:ilvl w:val="0"/>
          <w:numId w:val="16"/>
        </w:numPr>
        <w:spacing w:after="100" w:afterAutospacing="1"/>
        <w:ind w:right="475"/>
        <w:rPr>
          <w:sz w:val="20"/>
          <w:szCs w:val="20"/>
        </w:rPr>
      </w:pPr>
      <w:r w:rsidRPr="00597D7A">
        <w:rPr>
          <w:sz w:val="20"/>
          <w:szCs w:val="20"/>
        </w:rPr>
        <w:t>Request removal or opt out from data broker sites when appropriate.</w:t>
      </w:r>
    </w:p>
    <w:p w14:paraId="743961CC" w14:textId="1D92C7B6" w:rsidR="00597D7A" w:rsidRPr="00597D7A" w:rsidRDefault="00597D7A" w:rsidP="00CA0847">
      <w:pPr>
        <w:pStyle w:val="ListParagraph"/>
        <w:numPr>
          <w:ilvl w:val="0"/>
          <w:numId w:val="16"/>
        </w:numPr>
        <w:spacing w:after="100" w:afterAutospacing="1"/>
        <w:ind w:right="475"/>
        <w:rPr>
          <w:sz w:val="20"/>
          <w:szCs w:val="20"/>
        </w:rPr>
      </w:pPr>
      <w:r w:rsidRPr="00597D7A">
        <w:rPr>
          <w:sz w:val="20"/>
          <w:szCs w:val="20"/>
        </w:rPr>
        <w:t>Ensure investigative usernames, accounts, and email addresses are not linked to personal or professional identities.</w:t>
      </w:r>
    </w:p>
    <w:p w14:paraId="5869D561" w14:textId="753B733A" w:rsidR="00597D7A" w:rsidRPr="00597D7A" w:rsidRDefault="00597D7A" w:rsidP="00CA0847">
      <w:pPr>
        <w:pStyle w:val="ListParagraph"/>
        <w:numPr>
          <w:ilvl w:val="0"/>
          <w:numId w:val="16"/>
        </w:numPr>
        <w:spacing w:after="100" w:afterAutospacing="1"/>
        <w:ind w:right="475"/>
        <w:rPr>
          <w:sz w:val="20"/>
          <w:szCs w:val="20"/>
        </w:rPr>
      </w:pPr>
      <w:r w:rsidRPr="00597D7A">
        <w:rPr>
          <w:sz w:val="20"/>
          <w:szCs w:val="20"/>
        </w:rPr>
        <w:t>Review privacy settings on personal social media accounts to limit public exposure of personal information.</w:t>
      </w:r>
    </w:p>
    <w:p w14:paraId="383FC140" w14:textId="3213B0F6" w:rsidR="00624341" w:rsidRDefault="00975429" w:rsidP="00CA0847">
      <w:pPr>
        <w:pStyle w:val="ListParagraph"/>
        <w:numPr>
          <w:ilvl w:val="0"/>
          <w:numId w:val="16"/>
        </w:numPr>
        <w:spacing w:after="100" w:afterAutospacing="1"/>
        <w:ind w:right="475"/>
        <w:rPr>
          <w:sz w:val="20"/>
          <w:szCs w:val="20"/>
        </w:rPr>
      </w:pPr>
      <w:r w:rsidRPr="00975429">
        <w:rPr>
          <w:sz w:val="20"/>
          <w:szCs w:val="20"/>
        </w:rPr>
        <w:t>Maintain awareness of emerging online services, public databases, or data aggregation platforms helps reduce the risk of investigator exposure.</w:t>
      </w:r>
    </w:p>
    <w:p w14:paraId="16ADAEF5" w14:textId="6EF765EB" w:rsidR="00624341" w:rsidRPr="005D759C" w:rsidRDefault="005B78E7" w:rsidP="005D759C">
      <w:pPr>
        <w:spacing w:after="100" w:afterAutospacing="1"/>
        <w:ind w:right="475" w:firstLine="0"/>
        <w:rPr>
          <w:sz w:val="20"/>
          <w:szCs w:val="20"/>
        </w:rPr>
      </w:pPr>
      <w:r w:rsidRPr="005D759C">
        <w:rPr>
          <w:sz w:val="20"/>
          <w:szCs w:val="20"/>
        </w:rPr>
        <w:t>Maintain</w:t>
      </w:r>
      <w:r w:rsidR="00624341" w:rsidRPr="005D759C">
        <w:rPr>
          <w:sz w:val="20"/>
          <w:szCs w:val="20"/>
        </w:rPr>
        <w:t>ing</w:t>
      </w:r>
      <w:r w:rsidRPr="005D759C">
        <w:rPr>
          <w:sz w:val="20"/>
          <w:szCs w:val="20"/>
        </w:rPr>
        <w:t xml:space="preserve"> awareness of new data exposure risks that may arise from emerging online services, public databases, or data aggregation platforms</w:t>
      </w:r>
      <w:r w:rsidR="00624341" w:rsidRPr="005D759C">
        <w:rPr>
          <w:sz w:val="20"/>
          <w:szCs w:val="20"/>
        </w:rPr>
        <w:t>.</w:t>
      </w:r>
    </w:p>
    <w:p w14:paraId="49D0638C" w14:textId="0387788D" w:rsidR="008E2B8B" w:rsidRPr="008E2B8B" w:rsidRDefault="00242C2C" w:rsidP="008E2B8B">
      <w:pPr>
        <w:pStyle w:val="Heading2"/>
        <w:spacing w:after="100" w:afterAutospacing="1"/>
        <w:rPr>
          <w:sz w:val="20"/>
          <w:szCs w:val="20"/>
        </w:rPr>
      </w:pPr>
      <w:r w:rsidRPr="00242C2C">
        <w:rPr>
          <w:color w:val="47D459" w:themeColor="accent3" w:themeTint="99"/>
        </w:rPr>
        <w:t>Attribution Risk Levels</w:t>
      </w:r>
    </w:p>
    <w:p w14:paraId="4C974AB1" w14:textId="6B015DF4" w:rsidR="00FF6A6B" w:rsidRDefault="008E2B8B" w:rsidP="008E2B8B">
      <w:pPr>
        <w:spacing w:after="100" w:afterAutospacing="1"/>
        <w:ind w:right="475"/>
        <w:rPr>
          <w:sz w:val="20"/>
          <w:szCs w:val="20"/>
        </w:rPr>
      </w:pPr>
      <w:r w:rsidRPr="008E2B8B">
        <w:rPr>
          <w:sz w:val="20"/>
          <w:szCs w:val="20"/>
        </w:rPr>
        <w:t>Not all investigations require the same level of operational security. Prior to beginning investigative work, the investigator will assess the potential attribution risk associated with the case, including whether the subject may detect investigative activity or anticipate investigative scrutiny.</w:t>
      </w:r>
      <w:r>
        <w:rPr>
          <w:sz w:val="20"/>
          <w:szCs w:val="20"/>
        </w:rPr>
        <w:br/>
      </w:r>
      <w:r>
        <w:rPr>
          <w:sz w:val="20"/>
          <w:szCs w:val="20"/>
        </w:rPr>
        <w:br/>
      </w:r>
      <w:r w:rsidRPr="008E2B8B">
        <w:rPr>
          <w:sz w:val="20"/>
          <w:szCs w:val="20"/>
        </w:rPr>
        <w:t>The following table outlines typical attribution risk levels and the corresponding security practices that may be applied during an investigation.</w:t>
      </w:r>
    </w:p>
    <w:tbl>
      <w:tblPr>
        <w:tblStyle w:val="PlainTable5"/>
        <w:tblW w:w="0" w:type="auto"/>
        <w:tblLook w:val="04A0" w:firstRow="1" w:lastRow="0" w:firstColumn="1" w:lastColumn="0" w:noHBand="0" w:noVBand="1"/>
      </w:tblPr>
      <w:tblGrid>
        <w:gridCol w:w="1268"/>
        <w:gridCol w:w="2790"/>
        <w:gridCol w:w="2231"/>
        <w:gridCol w:w="2976"/>
      </w:tblGrid>
      <w:tr w:rsidR="00557AAA" w14:paraId="20384016" w14:textId="77777777" w:rsidTr="00E0236C">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0" w:type="auto"/>
          </w:tcPr>
          <w:p w14:paraId="431F3ED7" w14:textId="016B1AAB" w:rsidR="00557AAA" w:rsidRPr="00E0236C" w:rsidRDefault="00E24DDB" w:rsidP="008E2B8B">
            <w:pPr>
              <w:spacing w:after="100" w:afterAutospacing="1"/>
              <w:ind w:left="0" w:right="475" w:firstLine="0"/>
              <w:rPr>
                <w:b/>
                <w:bCs/>
                <w:sz w:val="16"/>
                <w:szCs w:val="16"/>
              </w:rPr>
            </w:pPr>
            <w:r w:rsidRPr="00E0236C">
              <w:rPr>
                <w:b/>
                <w:bCs/>
                <w:sz w:val="16"/>
                <w:szCs w:val="16"/>
              </w:rPr>
              <w:t>Risk Level</w:t>
            </w:r>
          </w:p>
        </w:tc>
        <w:tc>
          <w:tcPr>
            <w:tcW w:w="0" w:type="auto"/>
          </w:tcPr>
          <w:p w14:paraId="20BA96BF" w14:textId="2F41EBDA" w:rsidR="00557AAA" w:rsidRPr="00E0236C" w:rsidRDefault="00E24DDB" w:rsidP="008E2B8B">
            <w:pPr>
              <w:spacing w:after="100" w:afterAutospacing="1"/>
              <w:ind w:left="0" w:right="475" w:firstLine="0"/>
              <w:cnfStyle w:val="100000000000" w:firstRow="1" w:lastRow="0" w:firstColumn="0" w:lastColumn="0" w:oddVBand="0" w:evenVBand="0" w:oddHBand="0" w:evenHBand="0" w:firstRowFirstColumn="0" w:firstRowLastColumn="0" w:lastRowFirstColumn="0" w:lastRowLastColumn="0"/>
              <w:rPr>
                <w:b/>
                <w:bCs/>
                <w:sz w:val="16"/>
                <w:szCs w:val="16"/>
              </w:rPr>
            </w:pPr>
            <w:r w:rsidRPr="00E0236C">
              <w:rPr>
                <w:b/>
                <w:bCs/>
                <w:sz w:val="16"/>
                <w:szCs w:val="16"/>
              </w:rPr>
              <w:t>Typical Investigation Characteristics</w:t>
            </w:r>
          </w:p>
        </w:tc>
        <w:tc>
          <w:tcPr>
            <w:tcW w:w="0" w:type="auto"/>
          </w:tcPr>
          <w:p w14:paraId="3135F2A8" w14:textId="561D05FD" w:rsidR="00557AAA" w:rsidRPr="00E0236C" w:rsidRDefault="00E24DDB" w:rsidP="008E2B8B">
            <w:pPr>
              <w:spacing w:after="100" w:afterAutospacing="1"/>
              <w:ind w:left="0" w:right="475" w:firstLine="0"/>
              <w:cnfStyle w:val="100000000000" w:firstRow="1" w:lastRow="0" w:firstColumn="0" w:lastColumn="0" w:oddVBand="0" w:evenVBand="0" w:oddHBand="0" w:evenHBand="0" w:firstRowFirstColumn="0" w:firstRowLastColumn="0" w:lastRowFirstColumn="0" w:lastRowLastColumn="0"/>
              <w:rPr>
                <w:b/>
                <w:bCs/>
                <w:sz w:val="16"/>
                <w:szCs w:val="16"/>
              </w:rPr>
            </w:pPr>
            <w:r w:rsidRPr="00E0236C">
              <w:rPr>
                <w:b/>
                <w:bCs/>
                <w:sz w:val="16"/>
                <w:szCs w:val="16"/>
              </w:rPr>
              <w:t>Example Scenarios</w:t>
            </w:r>
          </w:p>
        </w:tc>
        <w:tc>
          <w:tcPr>
            <w:tcW w:w="0" w:type="auto"/>
          </w:tcPr>
          <w:p w14:paraId="7DAAE5A1" w14:textId="45CC572F" w:rsidR="00557AAA" w:rsidRPr="00E0236C" w:rsidRDefault="00E24DDB" w:rsidP="008E2B8B">
            <w:pPr>
              <w:spacing w:after="100" w:afterAutospacing="1"/>
              <w:ind w:left="0" w:right="475" w:firstLine="0"/>
              <w:cnfStyle w:val="100000000000" w:firstRow="1" w:lastRow="0" w:firstColumn="0" w:lastColumn="0" w:oddVBand="0" w:evenVBand="0" w:oddHBand="0" w:evenHBand="0" w:firstRowFirstColumn="0" w:firstRowLastColumn="0" w:lastRowFirstColumn="0" w:lastRowLastColumn="0"/>
              <w:rPr>
                <w:b/>
                <w:bCs/>
                <w:sz w:val="16"/>
                <w:szCs w:val="16"/>
              </w:rPr>
            </w:pPr>
            <w:r w:rsidRPr="00E0236C">
              <w:rPr>
                <w:b/>
                <w:bCs/>
                <w:sz w:val="16"/>
                <w:szCs w:val="16"/>
              </w:rPr>
              <w:t>Security Measures</w:t>
            </w:r>
          </w:p>
        </w:tc>
      </w:tr>
      <w:tr w:rsidR="00557AAA" w14:paraId="0EEC26DC" w14:textId="77777777" w:rsidTr="00E02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FF435E" w14:textId="16DE76CE" w:rsidR="00557AAA" w:rsidRPr="002E4B75" w:rsidRDefault="00DD3DBA" w:rsidP="008E2B8B">
            <w:pPr>
              <w:spacing w:after="100" w:afterAutospacing="1"/>
              <w:ind w:left="0" w:right="475" w:firstLine="0"/>
              <w:rPr>
                <w:sz w:val="16"/>
                <w:szCs w:val="16"/>
              </w:rPr>
            </w:pPr>
            <w:r w:rsidRPr="00C00130">
              <w:rPr>
                <w:color w:val="00B050"/>
                <w:sz w:val="16"/>
                <w:szCs w:val="16"/>
              </w:rPr>
              <w:t>Low Risk</w:t>
            </w:r>
          </w:p>
        </w:tc>
        <w:tc>
          <w:tcPr>
            <w:tcW w:w="0" w:type="auto"/>
          </w:tcPr>
          <w:p w14:paraId="63C8298A" w14:textId="1ACA26F4" w:rsidR="00557AAA" w:rsidRPr="002E4B75" w:rsidRDefault="007C677E"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Subject is unlikely to monitor website traffic, social media views, or research activity. Investigation involves passive research of public information.</w:t>
            </w:r>
          </w:p>
        </w:tc>
        <w:tc>
          <w:tcPr>
            <w:tcW w:w="0" w:type="auto"/>
          </w:tcPr>
          <w:p w14:paraId="10EE7C69" w14:textId="712872A1" w:rsidR="00557AAA" w:rsidRPr="002E4B75" w:rsidRDefault="007C677E"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Basic background research, public records review, news searches, corporate filings.</w:t>
            </w:r>
          </w:p>
        </w:tc>
        <w:tc>
          <w:tcPr>
            <w:tcW w:w="0" w:type="auto"/>
          </w:tcPr>
          <w:p w14:paraId="2827837D" w14:textId="0844E843" w:rsidR="00557AAA" w:rsidRPr="002E4B75" w:rsidRDefault="00401A93"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Standard research environment, normal browser hygiene, documentation of findings.</w:t>
            </w:r>
          </w:p>
        </w:tc>
      </w:tr>
      <w:tr w:rsidR="00DD3DBA" w14:paraId="48F42DDB" w14:textId="77777777" w:rsidTr="00E0236C">
        <w:tc>
          <w:tcPr>
            <w:cnfStyle w:val="001000000000" w:firstRow="0" w:lastRow="0" w:firstColumn="1" w:lastColumn="0" w:oddVBand="0" w:evenVBand="0" w:oddHBand="0" w:evenHBand="0" w:firstRowFirstColumn="0" w:firstRowLastColumn="0" w:lastRowFirstColumn="0" w:lastRowLastColumn="0"/>
            <w:tcW w:w="0" w:type="auto"/>
          </w:tcPr>
          <w:p w14:paraId="46DAF3ED" w14:textId="61C8FC5F" w:rsidR="00DD3DBA" w:rsidRPr="002E4B75" w:rsidRDefault="00DD3DBA" w:rsidP="008E2B8B">
            <w:pPr>
              <w:spacing w:after="100" w:afterAutospacing="1"/>
              <w:ind w:left="0" w:right="475" w:firstLine="0"/>
              <w:rPr>
                <w:sz w:val="16"/>
                <w:szCs w:val="16"/>
              </w:rPr>
            </w:pPr>
            <w:r w:rsidRPr="00C00130">
              <w:rPr>
                <w:color w:val="FFFF00"/>
                <w:sz w:val="16"/>
                <w:szCs w:val="16"/>
              </w:rPr>
              <w:t>Medium</w:t>
            </w:r>
            <w:r w:rsidRPr="00C00130">
              <w:rPr>
                <w:color w:val="FFFF00"/>
                <w:sz w:val="16"/>
                <w:szCs w:val="16"/>
              </w:rPr>
              <w:t xml:space="preserve"> Risk</w:t>
            </w:r>
          </w:p>
        </w:tc>
        <w:tc>
          <w:tcPr>
            <w:tcW w:w="0" w:type="auto"/>
          </w:tcPr>
          <w:p w14:paraId="58CCB44C" w14:textId="6E4D6002" w:rsidR="00DD3DBA" w:rsidRPr="002E4B75" w:rsidRDefault="007C677E" w:rsidP="008E2B8B">
            <w:pPr>
              <w:spacing w:after="100" w:afterAutospacing="1"/>
              <w:ind w:left="0" w:right="475" w:firstLine="0"/>
              <w:cnfStyle w:val="000000000000" w:firstRow="0" w:lastRow="0" w:firstColumn="0" w:lastColumn="0" w:oddVBand="0" w:evenVBand="0" w:oddHBand="0" w:evenHBand="0" w:firstRowFirstColumn="0" w:firstRowLastColumn="0" w:lastRowFirstColumn="0" w:lastRowLastColumn="0"/>
              <w:rPr>
                <w:sz w:val="16"/>
                <w:szCs w:val="16"/>
              </w:rPr>
            </w:pPr>
            <w:r w:rsidRPr="002E4B75">
              <w:rPr>
                <w:sz w:val="16"/>
                <w:szCs w:val="16"/>
              </w:rPr>
              <w:t>Subject has an active online presence and may monitor visitors or engagement on websites or social platforms. Some risk of investigative detection exists.</w:t>
            </w:r>
          </w:p>
        </w:tc>
        <w:tc>
          <w:tcPr>
            <w:tcW w:w="0" w:type="auto"/>
          </w:tcPr>
          <w:p w14:paraId="402DA259" w14:textId="2DD7916F" w:rsidR="00DD3DBA" w:rsidRPr="002E4B75" w:rsidRDefault="007C677E" w:rsidP="008E2B8B">
            <w:pPr>
              <w:spacing w:after="100" w:afterAutospacing="1"/>
              <w:ind w:left="0" w:right="475" w:firstLine="0"/>
              <w:cnfStyle w:val="000000000000" w:firstRow="0" w:lastRow="0" w:firstColumn="0" w:lastColumn="0" w:oddVBand="0" w:evenVBand="0" w:oddHBand="0" w:evenHBand="0" w:firstRowFirstColumn="0" w:firstRowLastColumn="0" w:lastRowFirstColumn="0" w:lastRowLastColumn="0"/>
              <w:rPr>
                <w:sz w:val="16"/>
                <w:szCs w:val="16"/>
              </w:rPr>
            </w:pPr>
            <w:r w:rsidRPr="002E4B75">
              <w:rPr>
                <w:sz w:val="16"/>
                <w:szCs w:val="16"/>
              </w:rPr>
              <w:t>Reviewing social media profiles that show profile views, visiting business websites with visitor analytics.</w:t>
            </w:r>
          </w:p>
        </w:tc>
        <w:tc>
          <w:tcPr>
            <w:tcW w:w="0" w:type="auto"/>
          </w:tcPr>
          <w:p w14:paraId="31BA08E6" w14:textId="4ED2ED9B" w:rsidR="00DD3DBA" w:rsidRPr="002E4B75" w:rsidRDefault="00401A93" w:rsidP="008E2B8B">
            <w:pPr>
              <w:spacing w:after="100" w:afterAutospacing="1"/>
              <w:ind w:left="0" w:right="475" w:firstLine="0"/>
              <w:cnfStyle w:val="000000000000" w:firstRow="0" w:lastRow="0" w:firstColumn="0" w:lastColumn="0" w:oddVBand="0" w:evenVBand="0" w:oddHBand="0" w:evenHBand="0" w:firstRowFirstColumn="0" w:firstRowLastColumn="0" w:lastRowFirstColumn="0" w:lastRowLastColumn="0"/>
              <w:rPr>
                <w:sz w:val="16"/>
                <w:szCs w:val="16"/>
              </w:rPr>
            </w:pPr>
            <w:r w:rsidRPr="002E4B75">
              <w:rPr>
                <w:sz w:val="16"/>
                <w:szCs w:val="16"/>
              </w:rPr>
              <w:t>Use investigative research accounts, consider VPN usage, isolate investigative browsing sessions.</w:t>
            </w:r>
          </w:p>
        </w:tc>
      </w:tr>
      <w:tr w:rsidR="00DD3DBA" w14:paraId="0EDDCF83" w14:textId="77777777" w:rsidTr="00E02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55CCC1" w14:textId="32464A4D" w:rsidR="00DD3DBA" w:rsidRPr="002E4B75" w:rsidRDefault="00DD3DBA" w:rsidP="008E2B8B">
            <w:pPr>
              <w:spacing w:after="100" w:afterAutospacing="1"/>
              <w:ind w:left="0" w:right="475" w:firstLine="0"/>
              <w:rPr>
                <w:sz w:val="16"/>
                <w:szCs w:val="16"/>
              </w:rPr>
            </w:pPr>
            <w:r w:rsidRPr="00C00130">
              <w:rPr>
                <w:color w:val="EE0000"/>
                <w:sz w:val="16"/>
                <w:szCs w:val="16"/>
              </w:rPr>
              <w:t>High Risk</w:t>
            </w:r>
          </w:p>
        </w:tc>
        <w:tc>
          <w:tcPr>
            <w:tcW w:w="0" w:type="auto"/>
          </w:tcPr>
          <w:p w14:paraId="549CFBF4" w14:textId="61816FAD" w:rsidR="00DD3DBA" w:rsidRPr="002E4B75" w:rsidRDefault="007C677E"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Subject may actively monitor digital activity or possess technical capability to detect investigators. Exposure of investigative identity could compromise the case.</w:t>
            </w:r>
          </w:p>
        </w:tc>
        <w:tc>
          <w:tcPr>
            <w:tcW w:w="0" w:type="auto"/>
          </w:tcPr>
          <w:p w14:paraId="257A9297" w14:textId="7DEF8D4C" w:rsidR="00DD3DBA" w:rsidRPr="002E4B75" w:rsidRDefault="00401A93"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Investigating cyber actors, fraud groups, or individuals who monitor site logs or track engagement closely.</w:t>
            </w:r>
          </w:p>
        </w:tc>
        <w:tc>
          <w:tcPr>
            <w:tcW w:w="0" w:type="auto"/>
          </w:tcPr>
          <w:p w14:paraId="6A566140" w14:textId="1892DBC5" w:rsidR="00DD3DBA" w:rsidRPr="002E4B75" w:rsidRDefault="00401A93" w:rsidP="008E2B8B">
            <w:pPr>
              <w:spacing w:after="100" w:afterAutospacing="1"/>
              <w:ind w:left="0" w:right="475" w:firstLine="0"/>
              <w:cnfStyle w:val="000000100000" w:firstRow="0" w:lastRow="0" w:firstColumn="0" w:lastColumn="0" w:oddVBand="0" w:evenVBand="0" w:oddHBand="1" w:evenHBand="0" w:firstRowFirstColumn="0" w:firstRowLastColumn="0" w:lastRowFirstColumn="0" w:lastRowLastColumn="0"/>
              <w:rPr>
                <w:sz w:val="16"/>
                <w:szCs w:val="16"/>
              </w:rPr>
            </w:pPr>
            <w:r w:rsidRPr="002E4B75">
              <w:rPr>
                <w:sz w:val="16"/>
                <w:szCs w:val="16"/>
              </w:rPr>
              <w:t>Use controlled investigative environments, isolated virtual machines, managed attribution accounts, VPN or network privacy tools, careful monitoring of investigator digital footprint.</w:t>
            </w:r>
          </w:p>
        </w:tc>
      </w:tr>
    </w:tbl>
    <w:p w14:paraId="4340E449" w14:textId="39393F88" w:rsidR="00C36150" w:rsidRDefault="00F53CBB" w:rsidP="005B5EA6">
      <w:pPr>
        <w:spacing w:after="100" w:afterAutospacing="1"/>
        <w:ind w:right="475" w:firstLine="0"/>
        <w:rPr>
          <w:sz w:val="20"/>
          <w:szCs w:val="20"/>
        </w:rPr>
      </w:pPr>
      <w:r>
        <w:rPr>
          <w:rFonts w:asciiTheme="majorHAnsi" w:eastAsiaTheme="majorEastAsia" w:hAnsiTheme="majorHAnsi" w:cstheme="majorBidi"/>
          <w:color w:val="00B050"/>
          <w:sz w:val="26"/>
          <w:szCs w:val="26"/>
        </w:rPr>
        <w:br/>
      </w:r>
      <w:r w:rsidR="00C36150" w:rsidRPr="00E66682">
        <w:rPr>
          <w:rFonts w:asciiTheme="majorHAnsi" w:eastAsiaTheme="majorEastAsia" w:hAnsiTheme="majorHAnsi" w:cstheme="majorBidi"/>
          <w:color w:val="00B050"/>
          <w:sz w:val="26"/>
          <w:szCs w:val="26"/>
        </w:rPr>
        <w:t>Pre Investigation Security Checklist</w:t>
      </w:r>
      <w:r w:rsidR="005B7C61">
        <w:rPr>
          <w:sz w:val="20"/>
          <w:szCs w:val="20"/>
        </w:rPr>
        <w:br/>
      </w:r>
      <w:r w:rsidR="005B7C61">
        <w:rPr>
          <w:sz w:val="20"/>
          <w:szCs w:val="20"/>
        </w:rPr>
        <w:br/>
      </w:r>
      <w:r w:rsidR="00C36150" w:rsidRPr="00E66682">
        <w:rPr>
          <w:sz w:val="20"/>
          <w:szCs w:val="20"/>
        </w:rPr>
        <w:t>Before beginning investigative activity, the investigator will review the following checklist to ensure the investigative environment is properly configured</w:t>
      </w:r>
      <w:r w:rsidR="00C36150">
        <w:rPr>
          <w:sz w:val="20"/>
          <w:szCs w:val="20"/>
        </w:rPr>
        <w:t>:</w:t>
      </w:r>
    </w:p>
    <w:p w14:paraId="1FDFDC36" w14:textId="77B332BD" w:rsidR="008E2B8B" w:rsidRPr="00F53CBB" w:rsidRDefault="005B286F" w:rsidP="008E2B8B">
      <w:pPr>
        <w:pStyle w:val="ListParagraph"/>
        <w:numPr>
          <w:ilvl w:val="0"/>
          <w:numId w:val="18"/>
        </w:numPr>
        <w:spacing w:after="100" w:afterAutospacing="1"/>
        <w:rPr>
          <w:sz w:val="20"/>
          <w:szCs w:val="20"/>
        </w:rPr>
      </w:pPr>
      <w:r w:rsidRPr="00F53CBB">
        <w:rPr>
          <w:sz w:val="20"/>
          <w:szCs w:val="20"/>
        </w:rPr>
        <w:t>Confirm investigative systems and software are updated.</w:t>
      </w:r>
    </w:p>
    <w:p w14:paraId="4AA8A87F" w14:textId="48CDFD3A" w:rsidR="00840D4C" w:rsidRPr="008E2B8B" w:rsidRDefault="005B286F" w:rsidP="00840D4C">
      <w:pPr>
        <w:pStyle w:val="ListParagraph"/>
        <w:numPr>
          <w:ilvl w:val="0"/>
          <w:numId w:val="18"/>
        </w:numPr>
        <w:spacing w:after="100" w:afterAutospacing="1"/>
        <w:rPr>
          <w:sz w:val="20"/>
          <w:szCs w:val="20"/>
        </w:rPr>
      </w:pPr>
      <w:r w:rsidRPr="008E2B8B">
        <w:rPr>
          <w:sz w:val="20"/>
          <w:szCs w:val="20"/>
        </w:rPr>
        <w:t>Verify investigative accounts are active and not linked to personal identities.</w:t>
      </w:r>
    </w:p>
    <w:p w14:paraId="5909C882" w14:textId="5BB2A615" w:rsidR="005B286F" w:rsidRPr="005B286F" w:rsidRDefault="005B286F" w:rsidP="005B286F">
      <w:pPr>
        <w:pStyle w:val="ListParagraph"/>
        <w:numPr>
          <w:ilvl w:val="0"/>
          <w:numId w:val="18"/>
        </w:numPr>
        <w:spacing w:after="100" w:afterAutospacing="1"/>
        <w:rPr>
          <w:sz w:val="20"/>
          <w:szCs w:val="20"/>
        </w:rPr>
      </w:pPr>
      <w:r w:rsidRPr="005B286F">
        <w:rPr>
          <w:sz w:val="20"/>
          <w:szCs w:val="20"/>
        </w:rPr>
        <w:t>Confirm VPN or network privacy tools function correctly when required.</w:t>
      </w:r>
    </w:p>
    <w:p w14:paraId="675E0FF2" w14:textId="0E839BCB" w:rsidR="005B286F" w:rsidRPr="005B286F" w:rsidRDefault="005B286F" w:rsidP="005B286F">
      <w:pPr>
        <w:pStyle w:val="ListParagraph"/>
        <w:numPr>
          <w:ilvl w:val="0"/>
          <w:numId w:val="18"/>
        </w:numPr>
        <w:spacing w:after="100" w:afterAutospacing="1"/>
        <w:rPr>
          <w:sz w:val="20"/>
          <w:szCs w:val="20"/>
        </w:rPr>
      </w:pPr>
      <w:r w:rsidRPr="005B286F">
        <w:rPr>
          <w:sz w:val="20"/>
          <w:szCs w:val="20"/>
        </w:rPr>
        <w:t>Ensure investigative documentation tools are ready for use.</w:t>
      </w:r>
    </w:p>
    <w:p w14:paraId="37F9B37F" w14:textId="15C6BF3E" w:rsidR="00C36150" w:rsidRPr="00E66682" w:rsidRDefault="005B286F" w:rsidP="005B286F">
      <w:pPr>
        <w:pStyle w:val="ListParagraph"/>
        <w:numPr>
          <w:ilvl w:val="0"/>
          <w:numId w:val="18"/>
        </w:numPr>
        <w:spacing w:after="100" w:afterAutospacing="1"/>
        <w:rPr>
          <w:sz w:val="20"/>
          <w:szCs w:val="20"/>
        </w:rPr>
      </w:pPr>
      <w:r w:rsidRPr="005B286F">
        <w:rPr>
          <w:sz w:val="20"/>
          <w:szCs w:val="20"/>
        </w:rPr>
        <w:t>Confirm investigative data storage locations are secure</w:t>
      </w:r>
      <w:r w:rsidR="00C36150" w:rsidRPr="00E66682">
        <w:rPr>
          <w:sz w:val="20"/>
          <w:szCs w:val="20"/>
        </w:rPr>
        <w:t>.</w:t>
      </w:r>
    </w:p>
    <w:p w14:paraId="1A197773" w14:textId="0B81052E" w:rsidR="00360458" w:rsidRDefault="00C36150" w:rsidP="00360458">
      <w:pPr>
        <w:spacing w:after="100" w:afterAutospacing="1"/>
        <w:rPr>
          <w:sz w:val="20"/>
          <w:szCs w:val="20"/>
        </w:rPr>
      </w:pPr>
      <w:r w:rsidRPr="00E66682">
        <w:rPr>
          <w:sz w:val="20"/>
          <w:szCs w:val="20"/>
        </w:rPr>
        <w:t>Performing this review prior to each investigation helps maintain consistent security practices and reduces the risk of operational errors.</w:t>
      </w:r>
      <w:r w:rsidR="00D2036E">
        <w:rPr>
          <w:color w:val="00B050"/>
        </w:rPr>
        <w:br/>
      </w:r>
      <w:r w:rsidR="000B1CEF">
        <w:rPr>
          <w:color w:val="00B050"/>
        </w:rPr>
        <w:lastRenderedPageBreak/>
        <w:br/>
      </w:r>
      <w:r w:rsidR="00CA0847">
        <w:rPr>
          <w:color w:val="00B050"/>
        </w:rPr>
        <w:br/>
      </w:r>
      <w:r w:rsidR="00CA0847">
        <w:rPr>
          <w:color w:val="00B050"/>
        </w:rPr>
        <w:br/>
      </w:r>
      <w:r w:rsidR="00E9437E" w:rsidRPr="00E9437E">
        <w:rPr>
          <w:color w:val="00B050"/>
        </w:rPr>
        <w:t>Evidence Collection and Documentation</w:t>
      </w:r>
      <w:r w:rsidR="00D2036E">
        <w:rPr>
          <w:color w:val="00B050"/>
        </w:rPr>
        <w:br/>
      </w:r>
      <w:r w:rsidR="004049C5">
        <w:rPr>
          <w:sz w:val="20"/>
          <w:szCs w:val="20"/>
        </w:rPr>
        <w:br/>
      </w:r>
      <w:r w:rsidR="00360458" w:rsidRPr="00360458">
        <w:rPr>
          <w:sz w:val="20"/>
          <w:szCs w:val="20"/>
        </w:rPr>
        <w:t>Investigative findings will be documented in a manner that preserves the accuracy and traceability of the information collected. Documentation will clearly link investigative findings to their original sources and research methods so that investigative conclusions can be verified if necessary.</w:t>
      </w:r>
      <w:r w:rsidR="00360458">
        <w:rPr>
          <w:sz w:val="20"/>
          <w:szCs w:val="20"/>
        </w:rPr>
        <w:t xml:space="preserve"> </w:t>
      </w:r>
      <w:r w:rsidR="00360458" w:rsidRPr="00360458">
        <w:rPr>
          <w:sz w:val="20"/>
          <w:szCs w:val="20"/>
        </w:rPr>
        <w:t>Investigative documentation will incorporate the following practices:</w:t>
      </w:r>
    </w:p>
    <w:p w14:paraId="010A296C" w14:textId="24F9B174" w:rsidR="009B452B" w:rsidRPr="00360458" w:rsidRDefault="009B452B" w:rsidP="00360458">
      <w:pPr>
        <w:pStyle w:val="ListParagraph"/>
        <w:numPr>
          <w:ilvl w:val="0"/>
          <w:numId w:val="23"/>
        </w:numPr>
        <w:spacing w:after="100" w:afterAutospacing="1"/>
        <w:rPr>
          <w:sz w:val="20"/>
          <w:szCs w:val="20"/>
        </w:rPr>
      </w:pPr>
      <w:r w:rsidRPr="00360458">
        <w:rPr>
          <w:sz w:val="20"/>
          <w:szCs w:val="20"/>
        </w:rPr>
        <w:t>Record search techniques and research methods used during the investigation.</w:t>
      </w:r>
    </w:p>
    <w:p w14:paraId="7DE3B5B9" w14:textId="3735DDA5" w:rsidR="009B452B" w:rsidRPr="009B452B" w:rsidRDefault="00061A93" w:rsidP="009B452B">
      <w:pPr>
        <w:pStyle w:val="ListParagraph"/>
        <w:numPr>
          <w:ilvl w:val="0"/>
          <w:numId w:val="17"/>
        </w:numPr>
        <w:spacing w:after="100" w:afterAutospacing="1"/>
        <w:rPr>
          <w:sz w:val="20"/>
          <w:szCs w:val="20"/>
        </w:rPr>
      </w:pPr>
      <w:r w:rsidRPr="00061A93">
        <w:rPr>
          <w:sz w:val="20"/>
          <w:szCs w:val="20"/>
        </w:rPr>
        <w:t>Record the original source location, including URLs and timestamps, so that findings can be verified and reproduced by others.</w:t>
      </w:r>
    </w:p>
    <w:p w14:paraId="23BF81D5" w14:textId="63289B9D" w:rsidR="009B452B" w:rsidRPr="009B452B" w:rsidRDefault="00FA7878" w:rsidP="009B452B">
      <w:pPr>
        <w:pStyle w:val="ListParagraph"/>
        <w:numPr>
          <w:ilvl w:val="0"/>
          <w:numId w:val="17"/>
        </w:numPr>
        <w:spacing w:after="100" w:afterAutospacing="1"/>
        <w:rPr>
          <w:sz w:val="20"/>
          <w:szCs w:val="20"/>
        </w:rPr>
      </w:pPr>
      <w:r w:rsidRPr="00FA7878">
        <w:rPr>
          <w:sz w:val="20"/>
          <w:szCs w:val="20"/>
        </w:rPr>
        <w:t>Archive webpages or online content using reliable preservation methods to ensure the original material can be referenced if the source changes or is removed.</w:t>
      </w:r>
    </w:p>
    <w:p w14:paraId="04E47E8E" w14:textId="00CC1376" w:rsidR="009B452B" w:rsidRDefault="009B452B" w:rsidP="009B452B">
      <w:pPr>
        <w:pStyle w:val="ListParagraph"/>
        <w:numPr>
          <w:ilvl w:val="0"/>
          <w:numId w:val="17"/>
        </w:numPr>
        <w:spacing w:after="100" w:afterAutospacing="1"/>
        <w:rPr>
          <w:sz w:val="20"/>
          <w:szCs w:val="20"/>
        </w:rPr>
      </w:pPr>
      <w:r w:rsidRPr="009B452B">
        <w:rPr>
          <w:sz w:val="20"/>
          <w:szCs w:val="20"/>
        </w:rPr>
        <w:t>Capture screenshots of relevant findings.</w:t>
      </w:r>
    </w:p>
    <w:p w14:paraId="327EA39B" w14:textId="5B8C2738" w:rsidR="00690973" w:rsidRPr="009B452B" w:rsidRDefault="00690973" w:rsidP="009B452B">
      <w:pPr>
        <w:pStyle w:val="ListParagraph"/>
        <w:numPr>
          <w:ilvl w:val="0"/>
          <w:numId w:val="17"/>
        </w:numPr>
        <w:spacing w:after="100" w:afterAutospacing="1"/>
        <w:rPr>
          <w:sz w:val="20"/>
          <w:szCs w:val="20"/>
        </w:rPr>
      </w:pPr>
      <w:r w:rsidRPr="00690973">
        <w:rPr>
          <w:sz w:val="20"/>
          <w:szCs w:val="20"/>
        </w:rPr>
        <w:t>Use consistent naming conventions for case numbers, investigative files, screenshots, and archived material to maintain organized and traceable investigative records.</w:t>
      </w:r>
    </w:p>
    <w:p w14:paraId="314E8A2E" w14:textId="2F45C967" w:rsidR="00E520B4" w:rsidRPr="00E520B4" w:rsidRDefault="009B452B" w:rsidP="009B452B">
      <w:pPr>
        <w:pStyle w:val="ListParagraph"/>
        <w:numPr>
          <w:ilvl w:val="0"/>
          <w:numId w:val="17"/>
        </w:numPr>
        <w:spacing w:after="100" w:afterAutospacing="1"/>
        <w:rPr>
          <w:sz w:val="20"/>
          <w:szCs w:val="20"/>
        </w:rPr>
      </w:pPr>
      <w:r w:rsidRPr="009B452B">
        <w:rPr>
          <w:sz w:val="20"/>
          <w:szCs w:val="20"/>
        </w:rPr>
        <w:t>Maintain investigative notes that capture analytical observations and emerging findings.</w:t>
      </w:r>
    </w:p>
    <w:p w14:paraId="131CCC69" w14:textId="2C435D5E" w:rsidR="005B14BE" w:rsidRDefault="00E520B4" w:rsidP="00E66682">
      <w:pPr>
        <w:spacing w:after="100" w:afterAutospacing="1"/>
        <w:rPr>
          <w:sz w:val="20"/>
          <w:szCs w:val="20"/>
        </w:rPr>
      </w:pPr>
      <w:r w:rsidRPr="00E520B4">
        <w:rPr>
          <w:sz w:val="20"/>
          <w:szCs w:val="20"/>
        </w:rPr>
        <w:t>Proper documentation ensures that investigative findings remain verifiable and defensible.</w:t>
      </w:r>
    </w:p>
    <w:p w14:paraId="5BD2B2B3" w14:textId="0F970234" w:rsidR="00872C30" w:rsidRDefault="00872C30" w:rsidP="008F5D5E">
      <w:pPr>
        <w:pStyle w:val="Heading2"/>
        <w:spacing w:after="100" w:afterAutospacing="1"/>
        <w:ind w:left="0" w:right="475" w:firstLine="0"/>
        <w:rPr>
          <w:color w:val="00B050"/>
        </w:rPr>
      </w:pPr>
      <w:r w:rsidRPr="00872C30">
        <w:rPr>
          <w:color w:val="00B050"/>
        </w:rPr>
        <w:t>Protecting the Investigative Organization</w:t>
      </w:r>
    </w:p>
    <w:p w14:paraId="1796BD2E" w14:textId="6D494B1F" w:rsidR="00872C30" w:rsidRDefault="008F12C9" w:rsidP="008F5D5E">
      <w:pPr>
        <w:spacing w:after="100" w:afterAutospacing="1"/>
        <w:ind w:left="0" w:right="475" w:firstLine="0"/>
        <w:rPr>
          <w:sz w:val="20"/>
          <w:szCs w:val="20"/>
        </w:rPr>
      </w:pPr>
      <w:r w:rsidRPr="008F12C9">
        <w:rPr>
          <w:sz w:val="20"/>
          <w:szCs w:val="20"/>
        </w:rPr>
        <w:t>Investigations conducted on behalf of an organization must also protect the security, legal compliance, and reputation of the investigative firm. Investigative activities will be conducted in accordance with the organization's internal security and legal policies. To support these requirements, investigators will follow the practices below:</w:t>
      </w:r>
    </w:p>
    <w:p w14:paraId="426087B8" w14:textId="77777777" w:rsidR="009B452B" w:rsidRPr="009B452B" w:rsidRDefault="009B452B" w:rsidP="009B452B">
      <w:pPr>
        <w:pStyle w:val="ListParagraph"/>
        <w:numPr>
          <w:ilvl w:val="0"/>
          <w:numId w:val="20"/>
        </w:numPr>
        <w:spacing w:after="100" w:afterAutospacing="1"/>
        <w:ind w:right="475"/>
        <w:rPr>
          <w:sz w:val="20"/>
          <w:szCs w:val="20"/>
        </w:rPr>
      </w:pPr>
      <w:r w:rsidRPr="009B452B">
        <w:rPr>
          <w:sz w:val="20"/>
          <w:szCs w:val="20"/>
        </w:rPr>
        <w:t>Ensure investigative work complies with organizational security policies and applicable legal requirements.</w:t>
      </w:r>
    </w:p>
    <w:p w14:paraId="0C4367CE" w14:textId="6801176F" w:rsidR="009B452B" w:rsidRPr="009B452B" w:rsidRDefault="009B452B" w:rsidP="009B452B">
      <w:pPr>
        <w:pStyle w:val="ListParagraph"/>
        <w:numPr>
          <w:ilvl w:val="0"/>
          <w:numId w:val="20"/>
        </w:numPr>
        <w:spacing w:after="100" w:afterAutospacing="1"/>
        <w:ind w:right="475"/>
        <w:rPr>
          <w:sz w:val="20"/>
          <w:szCs w:val="20"/>
        </w:rPr>
      </w:pPr>
      <w:r w:rsidRPr="009B452B">
        <w:rPr>
          <w:sz w:val="20"/>
          <w:szCs w:val="20"/>
        </w:rPr>
        <w:t>Maintain secure storage and access controls for investigative files, research data, and client communications.</w:t>
      </w:r>
    </w:p>
    <w:p w14:paraId="10F1EF4E" w14:textId="76BC2445" w:rsidR="009B452B" w:rsidRPr="009B452B" w:rsidRDefault="009B452B" w:rsidP="009B452B">
      <w:pPr>
        <w:pStyle w:val="ListParagraph"/>
        <w:numPr>
          <w:ilvl w:val="0"/>
          <w:numId w:val="20"/>
        </w:numPr>
        <w:spacing w:after="100" w:afterAutospacing="1"/>
        <w:ind w:right="475"/>
        <w:rPr>
          <w:sz w:val="20"/>
          <w:szCs w:val="20"/>
        </w:rPr>
      </w:pPr>
      <w:r w:rsidRPr="009B452B">
        <w:rPr>
          <w:sz w:val="20"/>
          <w:szCs w:val="20"/>
        </w:rPr>
        <w:t>Identify appropriate organizational contacts for legal, technical, or security questions that arise during an investigation.</w:t>
      </w:r>
    </w:p>
    <w:p w14:paraId="2C762FEB" w14:textId="12B2B35A" w:rsidR="009B452B" w:rsidRPr="009B452B" w:rsidRDefault="00902D94" w:rsidP="009B452B">
      <w:pPr>
        <w:pStyle w:val="ListParagraph"/>
        <w:numPr>
          <w:ilvl w:val="0"/>
          <w:numId w:val="20"/>
        </w:numPr>
        <w:spacing w:after="100" w:afterAutospacing="1"/>
        <w:ind w:right="475"/>
        <w:rPr>
          <w:sz w:val="20"/>
          <w:szCs w:val="20"/>
        </w:rPr>
      </w:pPr>
      <w:r w:rsidRPr="00902D94">
        <w:rPr>
          <w:sz w:val="20"/>
          <w:szCs w:val="20"/>
        </w:rPr>
        <w:t>Ensure personnel handling investigative data understand privacy obligations and proper data handling practices through periodic training or professional development.</w:t>
      </w:r>
    </w:p>
    <w:p w14:paraId="6E4C7EDC" w14:textId="279CF165" w:rsidR="004D17A2" w:rsidRDefault="003F0987" w:rsidP="009B452B">
      <w:pPr>
        <w:pStyle w:val="ListParagraph"/>
        <w:numPr>
          <w:ilvl w:val="0"/>
          <w:numId w:val="20"/>
        </w:numPr>
        <w:spacing w:after="100" w:afterAutospacing="1"/>
        <w:ind w:right="475"/>
        <w:rPr>
          <w:sz w:val="20"/>
          <w:szCs w:val="20"/>
        </w:rPr>
      </w:pPr>
      <w:r w:rsidRPr="003F0987">
        <w:rPr>
          <w:sz w:val="20"/>
          <w:szCs w:val="20"/>
        </w:rPr>
        <w:t>Report potential security incidents or data exposure concerns according to established incident response procedures.</w:t>
      </w:r>
    </w:p>
    <w:p w14:paraId="0074410E" w14:textId="29FDCCB0" w:rsidR="001444EE" w:rsidRDefault="001444EE" w:rsidP="009B452B">
      <w:pPr>
        <w:pStyle w:val="ListParagraph"/>
        <w:numPr>
          <w:ilvl w:val="0"/>
          <w:numId w:val="20"/>
        </w:numPr>
        <w:spacing w:after="100" w:afterAutospacing="1"/>
        <w:ind w:right="475"/>
        <w:rPr>
          <w:sz w:val="20"/>
          <w:szCs w:val="20"/>
        </w:rPr>
      </w:pPr>
      <w:r w:rsidRPr="001444EE">
        <w:rPr>
          <w:sz w:val="20"/>
          <w:szCs w:val="20"/>
        </w:rPr>
        <w:t>Ensure investigative activities align with the organization's security monitoring and incident response processes, including Security Operations Center (SOC) procedures or equivalent security governance frameworks.</w:t>
      </w:r>
    </w:p>
    <w:p w14:paraId="1BC29278" w14:textId="333562BC" w:rsidR="004D17A2" w:rsidRDefault="004D17A2" w:rsidP="004D17A2">
      <w:pPr>
        <w:spacing w:after="100" w:afterAutospacing="1"/>
        <w:ind w:right="475"/>
        <w:rPr>
          <w:sz w:val="20"/>
          <w:szCs w:val="20"/>
        </w:rPr>
      </w:pPr>
      <w:r w:rsidRPr="004D17A2">
        <w:rPr>
          <w:sz w:val="20"/>
          <w:szCs w:val="20"/>
        </w:rPr>
        <w:t>These practices help ensure that investigative activity protects both the client and the investigative organization.</w:t>
      </w:r>
    </w:p>
    <w:p w14:paraId="3D9F46F1" w14:textId="604BBF4F" w:rsidR="00FF196C" w:rsidRDefault="00880696" w:rsidP="004D17A2">
      <w:pPr>
        <w:spacing w:after="100" w:afterAutospacing="1"/>
        <w:ind w:right="475"/>
        <w:rPr>
          <w:rFonts w:asciiTheme="majorHAnsi" w:eastAsiaTheme="majorEastAsia" w:hAnsiTheme="majorHAnsi" w:cstheme="majorBidi"/>
          <w:color w:val="00B050"/>
          <w:sz w:val="26"/>
          <w:szCs w:val="26"/>
        </w:rPr>
      </w:pPr>
      <w:r w:rsidRPr="00880696">
        <w:rPr>
          <w:rFonts w:asciiTheme="majorHAnsi" w:eastAsiaTheme="majorEastAsia" w:hAnsiTheme="majorHAnsi" w:cstheme="majorBidi"/>
          <w:color w:val="00B050"/>
          <w:sz w:val="26"/>
          <w:szCs w:val="26"/>
        </w:rPr>
        <w:t>Support and Escalation Contacts</w:t>
      </w:r>
    </w:p>
    <w:p w14:paraId="27985114" w14:textId="7F0E907F" w:rsidR="00880696" w:rsidRDefault="00880696" w:rsidP="00880696">
      <w:pPr>
        <w:spacing w:after="100" w:afterAutospacing="1"/>
        <w:ind w:right="475"/>
        <w:rPr>
          <w:sz w:val="20"/>
          <w:szCs w:val="20"/>
        </w:rPr>
      </w:pPr>
      <w:r w:rsidRPr="00880696">
        <w:rPr>
          <w:sz w:val="20"/>
          <w:szCs w:val="20"/>
        </w:rPr>
        <w:t>During the course of an investigation, technical, legal, or security questions may arise that require consultation before investigative activity continues. The investigator will identify and maintain appropriate support contacts prior to beginning investigative work.</w:t>
      </w:r>
      <w:r>
        <w:rPr>
          <w:sz w:val="20"/>
          <w:szCs w:val="20"/>
        </w:rPr>
        <w:t xml:space="preserve"> </w:t>
      </w:r>
      <w:r w:rsidR="00E12BC1" w:rsidRPr="00E12BC1">
        <w:rPr>
          <w:sz w:val="20"/>
          <w:szCs w:val="20"/>
        </w:rPr>
        <w:t>If questions arise during the investigation, the following points of contact will be used:</w:t>
      </w:r>
    </w:p>
    <w:p w14:paraId="0DAE18AA" w14:textId="02EC6FC7" w:rsidR="003C733A" w:rsidRDefault="003C733A" w:rsidP="003C733A">
      <w:pPr>
        <w:spacing w:after="100" w:afterAutospacing="1"/>
        <w:ind w:right="475"/>
        <w:rPr>
          <w:sz w:val="20"/>
          <w:szCs w:val="20"/>
        </w:rPr>
      </w:pPr>
      <w:r w:rsidRPr="00781B44">
        <w:rPr>
          <w:b/>
          <w:bCs/>
          <w:sz w:val="20"/>
          <w:szCs w:val="20"/>
        </w:rPr>
        <w:t>Technical Support Contact</w:t>
      </w:r>
      <w:r w:rsidR="00264FAC">
        <w:rPr>
          <w:b/>
          <w:bCs/>
          <w:sz w:val="20"/>
          <w:szCs w:val="20"/>
        </w:rPr>
        <w:br/>
      </w:r>
      <w:r w:rsidRPr="003C733A">
        <w:rPr>
          <w:sz w:val="20"/>
          <w:szCs w:val="20"/>
        </w:rPr>
        <w:t xml:space="preserve">Name: Alex </w:t>
      </w:r>
      <w:r w:rsidR="00D56397">
        <w:rPr>
          <w:sz w:val="20"/>
          <w:szCs w:val="20"/>
        </w:rPr>
        <w:t>Smith</w:t>
      </w:r>
      <w:r w:rsidR="00781B44">
        <w:rPr>
          <w:sz w:val="20"/>
          <w:szCs w:val="20"/>
        </w:rPr>
        <w:br/>
      </w:r>
      <w:r w:rsidRPr="003C733A">
        <w:rPr>
          <w:sz w:val="20"/>
          <w:szCs w:val="20"/>
        </w:rPr>
        <w:t xml:space="preserve">Role: </w:t>
      </w:r>
      <w:r w:rsidR="00AA4CF7">
        <w:rPr>
          <w:sz w:val="20"/>
          <w:szCs w:val="20"/>
        </w:rPr>
        <w:t>IT Support</w:t>
      </w:r>
      <w:r w:rsidR="00264FAC">
        <w:rPr>
          <w:sz w:val="20"/>
          <w:szCs w:val="20"/>
        </w:rPr>
        <w:br/>
      </w:r>
      <w:r w:rsidRPr="003C733A">
        <w:rPr>
          <w:sz w:val="20"/>
          <w:szCs w:val="20"/>
        </w:rPr>
        <w:t xml:space="preserve">Email: </w:t>
      </w:r>
      <w:hyperlink r:id="rId7" w:history="1">
        <w:r w:rsidR="00DD4224" w:rsidRPr="007672D8">
          <w:rPr>
            <w:rStyle w:val="Hyperlink"/>
            <w:sz w:val="20"/>
            <w:szCs w:val="20"/>
          </w:rPr>
          <w:t>support@</w:t>
        </w:r>
        <w:r w:rsidR="00DD4224" w:rsidRPr="007672D8">
          <w:rPr>
            <w:rStyle w:val="Hyperlink"/>
            <w:sz w:val="20"/>
            <w:szCs w:val="20"/>
          </w:rPr>
          <w:t>fightfraudwitherin</w:t>
        </w:r>
        <w:r w:rsidR="00DD4224" w:rsidRPr="007672D8">
          <w:rPr>
            <w:rStyle w:val="Hyperlink"/>
            <w:sz w:val="20"/>
            <w:szCs w:val="20"/>
          </w:rPr>
          <w:t>.com</w:t>
        </w:r>
      </w:hyperlink>
      <w:r w:rsidR="00DD4224">
        <w:rPr>
          <w:sz w:val="20"/>
          <w:szCs w:val="20"/>
        </w:rPr>
        <w:t xml:space="preserve"> </w:t>
      </w:r>
      <w:r w:rsidR="00AA4CF7">
        <w:rPr>
          <w:sz w:val="20"/>
          <w:szCs w:val="20"/>
        </w:rPr>
        <w:br/>
      </w:r>
      <w:r w:rsidRPr="003C733A">
        <w:rPr>
          <w:sz w:val="20"/>
          <w:szCs w:val="20"/>
        </w:rPr>
        <w:t>Phone: (555) 410-2387</w:t>
      </w:r>
      <w:r w:rsidR="000B4FB9">
        <w:rPr>
          <w:sz w:val="20"/>
          <w:szCs w:val="20"/>
        </w:rPr>
        <w:br/>
      </w:r>
      <w:r w:rsidR="000B4FB9">
        <w:rPr>
          <w:sz w:val="20"/>
          <w:szCs w:val="20"/>
        </w:rPr>
        <w:lastRenderedPageBreak/>
        <w:br/>
      </w:r>
      <w:r w:rsidR="000B4FB9">
        <w:rPr>
          <w:sz w:val="20"/>
          <w:szCs w:val="20"/>
        </w:rPr>
        <w:br/>
      </w:r>
      <w:r w:rsidR="000B4FB9">
        <w:rPr>
          <w:sz w:val="20"/>
          <w:szCs w:val="20"/>
        </w:rPr>
        <w:br/>
      </w:r>
      <w:r w:rsidR="000B4FB9">
        <w:rPr>
          <w:sz w:val="20"/>
          <w:szCs w:val="20"/>
        </w:rPr>
        <w:br/>
      </w:r>
      <w:r w:rsidRPr="00AA4CF7">
        <w:rPr>
          <w:b/>
          <w:bCs/>
          <w:sz w:val="20"/>
          <w:szCs w:val="20"/>
        </w:rPr>
        <w:t>Legal Counsel</w:t>
      </w:r>
      <w:r w:rsidR="00AA4CF7">
        <w:rPr>
          <w:b/>
          <w:bCs/>
          <w:sz w:val="20"/>
          <w:szCs w:val="20"/>
        </w:rPr>
        <w:br/>
      </w:r>
      <w:r w:rsidRPr="003C733A">
        <w:rPr>
          <w:sz w:val="20"/>
          <w:szCs w:val="20"/>
        </w:rPr>
        <w:t xml:space="preserve">Name: Morgan </w:t>
      </w:r>
      <w:r w:rsidR="00D56397">
        <w:rPr>
          <w:sz w:val="20"/>
          <w:szCs w:val="20"/>
        </w:rPr>
        <w:t>Paul</w:t>
      </w:r>
      <w:r w:rsidR="00AA4CF7">
        <w:rPr>
          <w:sz w:val="20"/>
          <w:szCs w:val="20"/>
        </w:rPr>
        <w:br/>
      </w:r>
      <w:r w:rsidRPr="003C733A">
        <w:rPr>
          <w:sz w:val="20"/>
          <w:szCs w:val="20"/>
        </w:rPr>
        <w:t>Role: Legal Advisor, Investigative Compliance</w:t>
      </w:r>
      <w:r w:rsidR="0028753F">
        <w:rPr>
          <w:sz w:val="20"/>
          <w:szCs w:val="20"/>
        </w:rPr>
        <w:br/>
      </w:r>
      <w:r w:rsidRPr="003C733A">
        <w:rPr>
          <w:sz w:val="20"/>
          <w:szCs w:val="20"/>
        </w:rPr>
        <w:t xml:space="preserve">Email: </w:t>
      </w:r>
      <w:hyperlink r:id="rId8" w:history="1">
        <w:r w:rsidR="00DD4224" w:rsidRPr="007672D8">
          <w:rPr>
            <w:rStyle w:val="Hyperlink"/>
            <w:sz w:val="20"/>
            <w:szCs w:val="20"/>
          </w:rPr>
          <w:t>legal@</w:t>
        </w:r>
        <w:r w:rsidR="00DD4224" w:rsidRPr="007672D8">
          <w:rPr>
            <w:rStyle w:val="Hyperlink"/>
            <w:sz w:val="20"/>
            <w:szCs w:val="20"/>
          </w:rPr>
          <w:t>fightfraudwitherin</w:t>
        </w:r>
        <w:r w:rsidR="00DD4224" w:rsidRPr="007672D8">
          <w:rPr>
            <w:rStyle w:val="Hyperlink"/>
            <w:sz w:val="20"/>
            <w:szCs w:val="20"/>
          </w:rPr>
          <w:t>.com</w:t>
        </w:r>
      </w:hyperlink>
      <w:r w:rsidR="00DD4224">
        <w:rPr>
          <w:sz w:val="20"/>
          <w:szCs w:val="20"/>
        </w:rPr>
        <w:br/>
      </w:r>
      <w:r w:rsidRPr="003C733A">
        <w:rPr>
          <w:sz w:val="20"/>
          <w:szCs w:val="20"/>
        </w:rPr>
        <w:t>Phone: (555) 602-7741</w:t>
      </w:r>
    </w:p>
    <w:p w14:paraId="196BE134" w14:textId="6136F936" w:rsidR="003C733A" w:rsidRPr="005A2C8E" w:rsidRDefault="003C733A" w:rsidP="003C733A">
      <w:pPr>
        <w:spacing w:after="100" w:afterAutospacing="1"/>
        <w:ind w:right="475"/>
        <w:rPr>
          <w:sz w:val="20"/>
          <w:szCs w:val="20"/>
        </w:rPr>
      </w:pPr>
      <w:r w:rsidRPr="003C733A">
        <w:rPr>
          <w:b/>
          <w:bCs/>
          <w:sz w:val="20"/>
          <w:szCs w:val="20"/>
        </w:rPr>
        <w:t>Security Incident Contact</w:t>
      </w:r>
      <w:r w:rsidR="00264FAC">
        <w:rPr>
          <w:b/>
          <w:bCs/>
          <w:sz w:val="20"/>
          <w:szCs w:val="20"/>
        </w:rPr>
        <w:br/>
      </w:r>
      <w:r w:rsidRPr="005A2C8E">
        <w:rPr>
          <w:sz w:val="20"/>
          <w:szCs w:val="20"/>
        </w:rPr>
        <w:t xml:space="preserve">Name: Jordan </w:t>
      </w:r>
      <w:r w:rsidR="00D56397">
        <w:rPr>
          <w:sz w:val="20"/>
          <w:szCs w:val="20"/>
        </w:rPr>
        <w:t>Brown</w:t>
      </w:r>
      <w:r w:rsidR="00264FAC" w:rsidRPr="005A2C8E">
        <w:rPr>
          <w:sz w:val="20"/>
          <w:szCs w:val="20"/>
        </w:rPr>
        <w:br/>
      </w:r>
      <w:r w:rsidRPr="005A2C8E">
        <w:rPr>
          <w:sz w:val="20"/>
          <w:szCs w:val="20"/>
        </w:rPr>
        <w:t xml:space="preserve">Role: Security Operations </w:t>
      </w:r>
      <w:r w:rsidR="005A2C8E" w:rsidRPr="005A2C8E">
        <w:rPr>
          <w:sz w:val="20"/>
          <w:szCs w:val="20"/>
        </w:rPr>
        <w:br/>
      </w:r>
      <w:r w:rsidRPr="005A2C8E">
        <w:rPr>
          <w:sz w:val="20"/>
          <w:szCs w:val="20"/>
        </w:rPr>
        <w:t xml:space="preserve">Email: </w:t>
      </w:r>
      <w:hyperlink r:id="rId9" w:history="1">
        <w:r w:rsidR="005A2C8E" w:rsidRPr="005A2C8E">
          <w:rPr>
            <w:rStyle w:val="Hyperlink"/>
            <w:sz w:val="20"/>
            <w:szCs w:val="20"/>
          </w:rPr>
          <w:t>soc</w:t>
        </w:r>
        <w:r w:rsidR="005A2C8E" w:rsidRPr="005A2C8E">
          <w:rPr>
            <w:rStyle w:val="Hyperlink"/>
            <w:sz w:val="20"/>
            <w:szCs w:val="20"/>
          </w:rPr>
          <w:t>@</w:t>
        </w:r>
        <w:r w:rsidR="005A2C8E" w:rsidRPr="005A2C8E">
          <w:rPr>
            <w:rStyle w:val="Hyperlink"/>
            <w:sz w:val="20"/>
            <w:szCs w:val="20"/>
          </w:rPr>
          <w:t>fightfraudwitherin</w:t>
        </w:r>
        <w:r w:rsidR="005A2C8E" w:rsidRPr="005A2C8E">
          <w:rPr>
            <w:rStyle w:val="Hyperlink"/>
            <w:sz w:val="20"/>
            <w:szCs w:val="20"/>
          </w:rPr>
          <w:t>.com</w:t>
        </w:r>
      </w:hyperlink>
      <w:r w:rsidR="005A2C8E" w:rsidRPr="005A2C8E">
        <w:rPr>
          <w:sz w:val="20"/>
          <w:szCs w:val="20"/>
        </w:rPr>
        <w:br/>
      </w:r>
      <w:r w:rsidRPr="005A2C8E">
        <w:rPr>
          <w:sz w:val="20"/>
          <w:szCs w:val="20"/>
        </w:rPr>
        <w:t>Phone: (555) 918-4412</w:t>
      </w:r>
    </w:p>
    <w:p w14:paraId="09140DFD" w14:textId="4683822C" w:rsidR="00781B44" w:rsidRPr="00781B44" w:rsidRDefault="00781B44" w:rsidP="003C733A">
      <w:pPr>
        <w:spacing w:after="100" w:afterAutospacing="1"/>
        <w:ind w:right="475"/>
        <w:rPr>
          <w:sz w:val="20"/>
          <w:szCs w:val="20"/>
        </w:rPr>
      </w:pPr>
      <w:r w:rsidRPr="00781B44">
        <w:rPr>
          <w:sz w:val="20"/>
          <w:szCs w:val="20"/>
        </w:rPr>
        <w:t>If legal or technical uncertainty arises during the investigation, investigative activity will pause until appropriate guidance is obtained.</w:t>
      </w:r>
    </w:p>
    <w:p w14:paraId="156E372E" w14:textId="49CB186F" w:rsidR="00076BE4" w:rsidRDefault="00076BE4" w:rsidP="00803AC3">
      <w:pPr>
        <w:pStyle w:val="Heading2"/>
        <w:spacing w:after="100" w:afterAutospacing="1"/>
        <w:ind w:left="0" w:right="475" w:firstLine="0"/>
        <w:rPr>
          <w:color w:val="00B050"/>
        </w:rPr>
      </w:pPr>
      <w:r w:rsidRPr="00076BE4">
        <w:rPr>
          <w:color w:val="00B050"/>
        </w:rPr>
        <w:t>Protocol Review and Updates</w:t>
      </w:r>
    </w:p>
    <w:p w14:paraId="12D41115" w14:textId="6FBA7BD2" w:rsidR="00C179D0" w:rsidRDefault="001E0827" w:rsidP="00771849">
      <w:pPr>
        <w:spacing w:after="100" w:afterAutospacing="1"/>
        <w:ind w:left="0" w:right="475" w:firstLine="0"/>
        <w:rPr>
          <w:sz w:val="20"/>
          <w:szCs w:val="20"/>
        </w:rPr>
      </w:pPr>
      <w:r w:rsidRPr="001E0827">
        <w:rPr>
          <w:sz w:val="20"/>
          <w:szCs w:val="20"/>
        </w:rPr>
        <w:t>Operational security practices must adapt to changes in technology, investigative tools, and online environments. This protocol may be periodically reviewed and updated to reflect improved investigative practices, technological changes, and lessons learned during investigative engagements</w:t>
      </w:r>
    </w:p>
    <w:p w14:paraId="515F13C2" w14:textId="77777777" w:rsidR="00C179D0" w:rsidRDefault="00C179D0" w:rsidP="00771849">
      <w:pPr>
        <w:spacing w:after="100" w:afterAutospacing="1"/>
        <w:ind w:left="0" w:right="475" w:firstLine="0"/>
        <w:rPr>
          <w:sz w:val="20"/>
          <w:szCs w:val="20"/>
        </w:rPr>
      </w:pPr>
    </w:p>
    <w:p w14:paraId="734524E4" w14:textId="77777777" w:rsidR="00C179D0" w:rsidRDefault="00C179D0" w:rsidP="00771849">
      <w:pPr>
        <w:spacing w:after="100" w:afterAutospacing="1"/>
        <w:ind w:left="0" w:right="475" w:firstLine="0"/>
        <w:rPr>
          <w:sz w:val="20"/>
          <w:szCs w:val="20"/>
        </w:rPr>
      </w:pPr>
    </w:p>
    <w:p w14:paraId="6FFB943C" w14:textId="4785CE38" w:rsidR="00771849" w:rsidRDefault="001E0827" w:rsidP="00771849">
      <w:pPr>
        <w:spacing w:after="100" w:afterAutospacing="1"/>
        <w:ind w:left="0" w:right="475" w:firstLine="0"/>
        <w:rPr>
          <w:sz w:val="20"/>
          <w:szCs w:val="20"/>
        </w:rPr>
      </w:pPr>
      <w:r>
        <w:rPr>
          <w:sz w:val="20"/>
          <w:szCs w:val="20"/>
        </w:rPr>
        <w:br/>
      </w:r>
      <w:r>
        <w:rPr>
          <w:sz w:val="20"/>
          <w:szCs w:val="20"/>
        </w:rPr>
        <w:br/>
      </w:r>
      <w:r>
        <w:rPr>
          <w:sz w:val="20"/>
          <w:szCs w:val="20"/>
        </w:rPr>
        <w:br/>
      </w:r>
    </w:p>
    <w:p w14:paraId="4D3046D2" w14:textId="77777777" w:rsidR="005A2C8E" w:rsidRDefault="005A2C8E" w:rsidP="00771849">
      <w:pPr>
        <w:spacing w:after="100" w:afterAutospacing="1"/>
        <w:ind w:left="0" w:right="475" w:firstLine="0"/>
        <w:jc w:val="right"/>
        <w:rPr>
          <w:sz w:val="16"/>
          <w:szCs w:val="16"/>
        </w:rPr>
      </w:pPr>
    </w:p>
    <w:p w14:paraId="063D2B8E" w14:textId="77777777" w:rsidR="005A2C8E" w:rsidRDefault="005A2C8E" w:rsidP="00771849">
      <w:pPr>
        <w:spacing w:after="100" w:afterAutospacing="1"/>
        <w:ind w:left="0" w:right="475" w:firstLine="0"/>
        <w:jc w:val="right"/>
        <w:rPr>
          <w:sz w:val="16"/>
          <w:szCs w:val="16"/>
        </w:rPr>
      </w:pPr>
    </w:p>
    <w:p w14:paraId="22CBA7E1" w14:textId="77777777" w:rsidR="005A2C8E" w:rsidRDefault="005A2C8E" w:rsidP="00771849">
      <w:pPr>
        <w:spacing w:after="100" w:afterAutospacing="1"/>
        <w:ind w:left="0" w:right="475" w:firstLine="0"/>
        <w:jc w:val="right"/>
        <w:rPr>
          <w:sz w:val="16"/>
          <w:szCs w:val="16"/>
        </w:rPr>
      </w:pPr>
    </w:p>
    <w:p w14:paraId="255DFE23" w14:textId="77777777" w:rsidR="005A2C8E" w:rsidRDefault="005A2C8E" w:rsidP="00771849">
      <w:pPr>
        <w:spacing w:after="100" w:afterAutospacing="1"/>
        <w:ind w:left="0" w:right="475" w:firstLine="0"/>
        <w:jc w:val="right"/>
        <w:rPr>
          <w:sz w:val="16"/>
          <w:szCs w:val="16"/>
        </w:rPr>
      </w:pPr>
    </w:p>
    <w:p w14:paraId="586CFABF" w14:textId="77777777" w:rsidR="005A2C8E" w:rsidRDefault="005A2C8E" w:rsidP="00771849">
      <w:pPr>
        <w:spacing w:after="100" w:afterAutospacing="1"/>
        <w:ind w:left="0" w:right="475" w:firstLine="0"/>
        <w:jc w:val="right"/>
        <w:rPr>
          <w:sz w:val="16"/>
          <w:szCs w:val="16"/>
        </w:rPr>
      </w:pPr>
    </w:p>
    <w:p w14:paraId="0B8EE71B" w14:textId="77777777" w:rsidR="005A2C8E" w:rsidRDefault="005A2C8E" w:rsidP="00771849">
      <w:pPr>
        <w:spacing w:after="100" w:afterAutospacing="1"/>
        <w:ind w:left="0" w:right="475" w:firstLine="0"/>
        <w:jc w:val="right"/>
        <w:rPr>
          <w:sz w:val="16"/>
          <w:szCs w:val="16"/>
        </w:rPr>
      </w:pPr>
    </w:p>
    <w:p w14:paraId="58768D80" w14:textId="77777777" w:rsidR="005A2C8E" w:rsidRDefault="005A2C8E" w:rsidP="00771849">
      <w:pPr>
        <w:spacing w:after="100" w:afterAutospacing="1"/>
        <w:ind w:left="0" w:right="475" w:firstLine="0"/>
        <w:jc w:val="right"/>
        <w:rPr>
          <w:sz w:val="16"/>
          <w:szCs w:val="16"/>
        </w:rPr>
      </w:pPr>
    </w:p>
    <w:p w14:paraId="6942086D" w14:textId="77777777" w:rsidR="005A2C8E" w:rsidRDefault="005A2C8E" w:rsidP="00771849">
      <w:pPr>
        <w:spacing w:after="100" w:afterAutospacing="1"/>
        <w:ind w:left="0" w:right="475" w:firstLine="0"/>
        <w:jc w:val="right"/>
        <w:rPr>
          <w:sz w:val="16"/>
          <w:szCs w:val="16"/>
        </w:rPr>
      </w:pPr>
    </w:p>
    <w:p w14:paraId="27D66553" w14:textId="77777777" w:rsidR="005A2C8E" w:rsidRDefault="005A2C8E" w:rsidP="00771849">
      <w:pPr>
        <w:spacing w:after="100" w:afterAutospacing="1"/>
        <w:ind w:left="0" w:right="475" w:firstLine="0"/>
        <w:jc w:val="right"/>
        <w:rPr>
          <w:sz w:val="16"/>
          <w:szCs w:val="16"/>
        </w:rPr>
      </w:pPr>
    </w:p>
    <w:p w14:paraId="1D3609EF" w14:textId="77777777" w:rsidR="005A2C8E" w:rsidRDefault="005A2C8E" w:rsidP="00771849">
      <w:pPr>
        <w:spacing w:after="100" w:afterAutospacing="1"/>
        <w:ind w:left="0" w:right="475" w:firstLine="0"/>
        <w:jc w:val="right"/>
        <w:rPr>
          <w:sz w:val="16"/>
          <w:szCs w:val="16"/>
        </w:rPr>
      </w:pPr>
    </w:p>
    <w:p w14:paraId="674F26BF" w14:textId="77777777" w:rsidR="000B4FB9" w:rsidRDefault="000B4FB9" w:rsidP="00771849">
      <w:pPr>
        <w:spacing w:after="100" w:afterAutospacing="1"/>
        <w:ind w:left="0" w:right="475" w:firstLine="0"/>
        <w:jc w:val="right"/>
        <w:rPr>
          <w:sz w:val="16"/>
          <w:szCs w:val="16"/>
        </w:rPr>
      </w:pPr>
    </w:p>
    <w:p w14:paraId="0C62934A" w14:textId="77777777" w:rsidR="000B4FB9" w:rsidRDefault="000B4FB9" w:rsidP="00771849">
      <w:pPr>
        <w:spacing w:after="100" w:afterAutospacing="1"/>
        <w:ind w:left="0" w:right="475" w:firstLine="0"/>
        <w:jc w:val="right"/>
        <w:rPr>
          <w:sz w:val="16"/>
          <w:szCs w:val="16"/>
        </w:rPr>
      </w:pPr>
    </w:p>
    <w:p w14:paraId="55C6A8D4" w14:textId="628E6917" w:rsidR="00FB66E8" w:rsidRPr="00FB66E8" w:rsidRDefault="00FB66E8" w:rsidP="00771849">
      <w:pPr>
        <w:spacing w:after="100" w:afterAutospacing="1"/>
        <w:ind w:left="0" w:right="475" w:firstLine="0"/>
        <w:jc w:val="right"/>
        <w:rPr>
          <w:sz w:val="16"/>
          <w:szCs w:val="16"/>
        </w:rPr>
      </w:pPr>
      <w:r w:rsidRPr="00FB66E8">
        <w:rPr>
          <w:sz w:val="16"/>
          <w:szCs w:val="16"/>
        </w:rPr>
        <w:t>Document Control</w:t>
      </w:r>
      <w:r w:rsidRPr="00FB66E8">
        <w:rPr>
          <w:sz w:val="16"/>
          <w:szCs w:val="16"/>
        </w:rPr>
        <w:br/>
      </w:r>
      <w:r w:rsidRPr="00FB66E8">
        <w:rPr>
          <w:sz w:val="16"/>
          <w:szCs w:val="16"/>
        </w:rPr>
        <w:t>Version: 1.0</w:t>
      </w:r>
      <w:r w:rsidRPr="00FB66E8">
        <w:rPr>
          <w:sz w:val="16"/>
          <w:szCs w:val="16"/>
        </w:rPr>
        <w:br/>
      </w:r>
      <w:r w:rsidRPr="00FB66E8">
        <w:rPr>
          <w:sz w:val="16"/>
          <w:szCs w:val="16"/>
        </w:rPr>
        <w:t>Author: Erin Martin</w:t>
      </w:r>
      <w:r w:rsidRPr="00FB66E8">
        <w:rPr>
          <w:sz w:val="16"/>
          <w:szCs w:val="16"/>
        </w:rPr>
        <w:br/>
      </w:r>
      <w:r w:rsidRPr="00FB66E8">
        <w:rPr>
          <w:sz w:val="16"/>
          <w:szCs w:val="16"/>
        </w:rPr>
        <w:t>Date: March</w:t>
      </w:r>
      <w:r w:rsidRPr="00FB66E8">
        <w:rPr>
          <w:sz w:val="16"/>
          <w:szCs w:val="16"/>
        </w:rPr>
        <w:t xml:space="preserve"> 10</w:t>
      </w:r>
      <w:r w:rsidRPr="00FB66E8">
        <w:rPr>
          <w:sz w:val="16"/>
          <w:szCs w:val="16"/>
          <w:vertAlign w:val="superscript"/>
        </w:rPr>
        <w:t>th</w:t>
      </w:r>
      <w:r w:rsidRPr="00FB66E8">
        <w:rPr>
          <w:sz w:val="16"/>
          <w:szCs w:val="16"/>
        </w:rPr>
        <w:t>,</w:t>
      </w:r>
      <w:r w:rsidRPr="00FB66E8">
        <w:rPr>
          <w:sz w:val="16"/>
          <w:szCs w:val="16"/>
        </w:rPr>
        <w:t xml:space="preserve"> 2026</w:t>
      </w:r>
    </w:p>
    <w:sectPr w:rsidR="00FB66E8" w:rsidRPr="00FB66E8" w:rsidSect="00CD6395">
      <w:headerReference w:type="default" r:id="rId10"/>
      <w:footerReference w:type="default" r:id="rId11"/>
      <w:pgSz w:w="11910" w:h="16845"/>
      <w:pgMar w:top="994" w:right="1162" w:bottom="1440" w:left="1483" w:header="432"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5C5B" w14:textId="77777777" w:rsidR="00B86A78" w:rsidRDefault="00B86A78" w:rsidP="00815480">
      <w:pPr>
        <w:spacing w:after="0" w:line="240" w:lineRule="auto"/>
      </w:pPr>
      <w:r>
        <w:separator/>
      </w:r>
    </w:p>
  </w:endnote>
  <w:endnote w:type="continuationSeparator" w:id="0">
    <w:p w14:paraId="4B93D6D9" w14:textId="77777777" w:rsidR="00B86A78" w:rsidRDefault="00B86A78" w:rsidP="00815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253820"/>
      <w:docPartObj>
        <w:docPartGallery w:val="Page Numbers (Bottom of Page)"/>
        <w:docPartUnique/>
      </w:docPartObj>
    </w:sdtPr>
    <w:sdtEndPr>
      <w:rPr>
        <w:color w:val="7F7F7F" w:themeColor="background1" w:themeShade="7F"/>
        <w:spacing w:val="60"/>
      </w:rPr>
    </w:sdtEndPr>
    <w:sdtContent>
      <w:p w14:paraId="1CA9FDE0" w14:textId="2B2DE52E" w:rsidR="00C87C08" w:rsidRDefault="00C87C08">
        <w:pPr>
          <w:pStyle w:val="Footer"/>
          <w:pBdr>
            <w:top w:val="single" w:sz="4" w:space="1" w:color="D9D9D9" w:themeColor="background1" w:themeShade="D9"/>
          </w:pBdr>
          <w:rPr>
            <w:b/>
            <w:bCs/>
          </w:rPr>
        </w:pPr>
        <w:r w:rsidRPr="00C87C08">
          <w:rPr>
            <w:sz w:val="16"/>
            <w:szCs w:val="16"/>
          </w:rPr>
          <w:fldChar w:fldCharType="begin"/>
        </w:r>
        <w:r w:rsidRPr="00C87C08">
          <w:rPr>
            <w:sz w:val="16"/>
            <w:szCs w:val="16"/>
          </w:rPr>
          <w:instrText xml:space="preserve"> PAGE   \* MERGEFORMAT </w:instrText>
        </w:r>
        <w:r w:rsidRPr="00C87C08">
          <w:rPr>
            <w:sz w:val="16"/>
            <w:szCs w:val="16"/>
          </w:rPr>
          <w:fldChar w:fldCharType="separate"/>
        </w:r>
        <w:r w:rsidRPr="00C87C08">
          <w:rPr>
            <w:b/>
            <w:bCs/>
            <w:noProof/>
            <w:sz w:val="16"/>
            <w:szCs w:val="16"/>
          </w:rPr>
          <w:t>2</w:t>
        </w:r>
        <w:r w:rsidRPr="00C87C08">
          <w:rPr>
            <w:b/>
            <w:bCs/>
            <w:noProof/>
            <w:sz w:val="16"/>
            <w:szCs w:val="16"/>
          </w:rPr>
          <w:fldChar w:fldCharType="end"/>
        </w:r>
        <w:r w:rsidRPr="00C87C08">
          <w:rPr>
            <w:b/>
            <w:bCs/>
            <w:sz w:val="16"/>
            <w:szCs w:val="16"/>
          </w:rPr>
          <w:t xml:space="preserve"> | </w:t>
        </w:r>
        <w:r w:rsidRPr="00C87C08">
          <w:rPr>
            <w:color w:val="7F7F7F" w:themeColor="background1" w:themeShade="7F"/>
            <w:spacing w:val="60"/>
            <w:sz w:val="16"/>
            <w:szCs w:val="16"/>
          </w:rPr>
          <w:t>Page</w:t>
        </w:r>
      </w:p>
    </w:sdtContent>
  </w:sdt>
  <w:p w14:paraId="3273CA33" w14:textId="77777777" w:rsidR="006C55DB" w:rsidRDefault="006C5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D835" w14:textId="77777777" w:rsidR="00B86A78" w:rsidRDefault="00B86A78" w:rsidP="00815480">
      <w:pPr>
        <w:spacing w:after="0" w:line="240" w:lineRule="auto"/>
      </w:pPr>
      <w:r>
        <w:separator/>
      </w:r>
    </w:p>
  </w:footnote>
  <w:footnote w:type="continuationSeparator" w:id="0">
    <w:p w14:paraId="0BBAE07D" w14:textId="77777777" w:rsidR="00B86A78" w:rsidRDefault="00B86A78" w:rsidP="00815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C534" w14:textId="4E59FE2F" w:rsidR="003624CC" w:rsidRPr="003624CC" w:rsidRDefault="00C34AD3" w:rsidP="00CD6395">
    <w:pPr>
      <w:pStyle w:val="Header"/>
      <w:tabs>
        <w:tab w:val="clear" w:pos="4680"/>
        <w:tab w:val="clear" w:pos="9360"/>
        <w:tab w:val="left" w:pos="1293"/>
        <w:tab w:val="left" w:pos="6800"/>
        <w:tab w:val="right" w:pos="8785"/>
      </w:tabs>
      <w:ind w:left="0" w:firstLine="0"/>
      <w:rPr>
        <w:color w:val="FFFFFF" w:themeColor="background1"/>
        <w:sz w:val="20"/>
        <w:szCs w:val="20"/>
      </w:rPr>
    </w:pPr>
    <w:r w:rsidRPr="003624CC">
      <w:rPr>
        <w:noProof/>
        <w:color w:val="FFFFFF" w:themeColor="background1"/>
        <w:sz w:val="20"/>
        <w:szCs w:val="20"/>
      </w:rPr>
      <mc:AlternateContent>
        <mc:Choice Requires="wps">
          <w:drawing>
            <wp:anchor distT="0" distB="0" distL="114300" distR="114300" simplePos="0" relativeHeight="251659264" behindDoc="1" locked="0" layoutInCell="1" allowOverlap="1" wp14:anchorId="59DBDE8C" wp14:editId="65774B3B">
              <wp:simplePos x="0" y="0"/>
              <wp:positionH relativeFrom="column">
                <wp:posOffset>-941705</wp:posOffset>
              </wp:positionH>
              <wp:positionV relativeFrom="paragraph">
                <wp:posOffset>-435187</wp:posOffset>
              </wp:positionV>
              <wp:extent cx="7561580" cy="1187450"/>
              <wp:effectExtent l="0" t="0" r="20320" b="12700"/>
              <wp:wrapNone/>
              <wp:docPr id="1779783132" name="Rectangle 5"/>
              <wp:cNvGraphicFramePr/>
              <a:graphic xmlns:a="http://schemas.openxmlformats.org/drawingml/2006/main">
                <a:graphicData uri="http://schemas.microsoft.com/office/word/2010/wordprocessingShape">
                  <wps:wsp>
                    <wps:cNvSpPr/>
                    <wps:spPr>
                      <a:xfrm>
                        <a:off x="0" y="0"/>
                        <a:ext cx="7561580" cy="11874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EA2CB0" w14:textId="4E8AA8ED" w:rsidR="003624CC" w:rsidRDefault="003624CC" w:rsidP="003624CC">
                          <w:pPr>
                            <w:ind w:left="0"/>
                            <w:jc w:val="center"/>
                          </w:pPr>
                          <w:r>
                            <w:t>dd</w:t>
                          </w:r>
                        </w:p>
                        <w:p w14:paraId="677814DE" w14:textId="77777777" w:rsidR="00C34AD3" w:rsidRDefault="00C34AD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BDE8C" id="Rectangle 5" o:spid="_x0000_s1026" style="position:absolute;margin-left:-74.15pt;margin-top:-34.25pt;width:595.4pt;height:9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" fillcolor="black [3200]" strokecolor="black [480]" strokeweight="1.5pt">
              <v:textbox>
                <w:txbxContent>
                  <w:p w14:paraId="4EEA2CB0" w14:textId="4E8AA8ED" w:rsidR="003624CC" w:rsidRDefault="003624CC" w:rsidP="003624CC">
                    <w:pPr>
                      <w:ind w:left="0"/>
                      <w:jc w:val="center"/>
                    </w:pPr>
                    <w:r>
                      <w:t>dd</w:t>
                    </w:r>
                  </w:p>
                  <w:p w14:paraId="677814DE" w14:textId="77777777" w:rsidR="00C34AD3" w:rsidRDefault="00C34AD3"/>
                </w:txbxContent>
              </v:textbox>
            </v:rect>
          </w:pict>
        </mc:Fallback>
      </mc:AlternateContent>
    </w:r>
    <w:r w:rsidR="00CD6395" w:rsidRPr="003624CC">
      <w:rPr>
        <w:noProof/>
        <w:color w:val="FFFFFF" w:themeColor="background1"/>
        <w:sz w:val="20"/>
        <w:szCs w:val="20"/>
      </w:rPr>
      <w:drawing>
        <wp:anchor distT="0" distB="0" distL="114300" distR="114300" simplePos="0" relativeHeight="251660288" behindDoc="0" locked="0" layoutInCell="1" allowOverlap="1" wp14:anchorId="439CBA1F" wp14:editId="6CC367EA">
          <wp:simplePos x="0" y="0"/>
          <wp:positionH relativeFrom="column">
            <wp:posOffset>-416772</wp:posOffset>
          </wp:positionH>
          <wp:positionV relativeFrom="paragraph">
            <wp:posOffset>-304165</wp:posOffset>
          </wp:positionV>
          <wp:extent cx="1590675" cy="1060450"/>
          <wp:effectExtent l="0" t="0" r="9525" b="6350"/>
          <wp:wrapNone/>
          <wp:docPr id="1080173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73132" name="Picture 1080173132"/>
                  <pic:cNvPicPr/>
                </pic:nvPicPr>
                <pic:blipFill>
                  <a:blip r:embed="rId1">
                    <a:extLst>
                      <a:ext uri="{28A0092B-C50C-407E-A947-70E740481C1C}">
                        <a14:useLocalDpi xmlns:a14="http://schemas.microsoft.com/office/drawing/2010/main" val="0"/>
                      </a:ext>
                    </a:extLst>
                  </a:blip>
                  <a:stretch>
                    <a:fillRect/>
                  </a:stretch>
                </pic:blipFill>
                <pic:spPr>
                  <a:xfrm>
                    <a:off x="0" y="0"/>
                    <a:ext cx="1590675" cy="1060450"/>
                  </a:xfrm>
                  <a:prstGeom prst="rect">
                    <a:avLst/>
                  </a:prstGeom>
                </pic:spPr>
              </pic:pic>
            </a:graphicData>
          </a:graphic>
          <wp14:sizeRelH relativeFrom="margin">
            <wp14:pctWidth>0</wp14:pctWidth>
          </wp14:sizeRelH>
          <wp14:sizeRelV relativeFrom="margin">
            <wp14:pctHeight>0</wp14:pctHeight>
          </wp14:sizeRelV>
        </wp:anchor>
      </w:drawing>
    </w:r>
    <w:r w:rsidR="00CD6395">
      <w:rPr>
        <w:color w:val="FFFFFF" w:themeColor="background1"/>
        <w:sz w:val="20"/>
        <w:szCs w:val="20"/>
      </w:rPr>
      <w:tab/>
    </w:r>
    <w:r w:rsidR="00CD6395">
      <w:rPr>
        <w:color w:val="FFFFFF" w:themeColor="background1"/>
        <w:sz w:val="20"/>
        <w:szCs w:val="20"/>
      </w:rPr>
      <w:tab/>
    </w:r>
    <w:r w:rsidR="00CD6395">
      <w:rPr>
        <w:color w:val="FFFFFF" w:themeColor="background1"/>
        <w:sz w:val="20"/>
        <w:szCs w:val="20"/>
      </w:rPr>
      <w:tab/>
    </w:r>
    <w:r w:rsidR="003624CC" w:rsidRPr="003624CC">
      <w:rPr>
        <w:color w:val="FFFFFF" w:themeColor="background1"/>
        <w:sz w:val="20"/>
        <w:szCs w:val="20"/>
      </w:rPr>
      <w:t>123 Main Street USA</w:t>
    </w:r>
  </w:p>
  <w:p w14:paraId="69A62807" w14:textId="2D9721EB" w:rsidR="00312CF3" w:rsidRPr="003624CC" w:rsidRDefault="003624CC" w:rsidP="003624CC">
    <w:pPr>
      <w:pStyle w:val="Header"/>
      <w:tabs>
        <w:tab w:val="clear" w:pos="4680"/>
        <w:tab w:val="clear" w:pos="9360"/>
        <w:tab w:val="left" w:pos="1293"/>
      </w:tabs>
      <w:jc w:val="right"/>
      <w:rPr>
        <w:sz w:val="20"/>
        <w:szCs w:val="20"/>
      </w:rPr>
    </w:pPr>
    <w:r w:rsidRPr="003624CC">
      <w:rPr>
        <w:color w:val="FFFFFF" w:themeColor="background1"/>
        <w:sz w:val="20"/>
        <w:szCs w:val="20"/>
      </w:rPr>
      <w:t>555-</w:t>
    </w:r>
    <w:r w:rsidR="00484E1B">
      <w:rPr>
        <w:color w:val="FFFFFF" w:themeColor="background1"/>
        <w:sz w:val="20"/>
        <w:szCs w:val="20"/>
      </w:rPr>
      <w:t>867</w:t>
    </w:r>
    <w:r w:rsidRPr="003624CC">
      <w:rPr>
        <w:color w:val="FFFFFF" w:themeColor="background1"/>
        <w:sz w:val="20"/>
        <w:szCs w:val="20"/>
      </w:rPr>
      <w:t>-5</w:t>
    </w:r>
    <w:r w:rsidR="00484E1B">
      <w:rPr>
        <w:color w:val="FFFFFF" w:themeColor="background1"/>
        <w:sz w:val="20"/>
        <w:szCs w:val="20"/>
      </w:rPr>
      <w:t>309</w:t>
    </w:r>
    <w:r>
      <w:rPr>
        <w:color w:val="FFFFFF" w:themeColor="background1"/>
        <w:sz w:val="20"/>
        <w:szCs w:val="20"/>
      </w:rPr>
      <w:br/>
      <w:t>fightfraudwitherin@gmail.com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92"/>
    <w:multiLevelType w:val="hybridMultilevel"/>
    <w:tmpl w:val="34ACF32E"/>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 w15:restartNumberingAfterBreak="0">
    <w:nsid w:val="06867F5C"/>
    <w:multiLevelType w:val="hybridMultilevel"/>
    <w:tmpl w:val="77987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23D85"/>
    <w:multiLevelType w:val="hybridMultilevel"/>
    <w:tmpl w:val="A6907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028D4"/>
    <w:multiLevelType w:val="hybridMultilevel"/>
    <w:tmpl w:val="00FCFD06"/>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4" w15:restartNumberingAfterBreak="0">
    <w:nsid w:val="115510B4"/>
    <w:multiLevelType w:val="hybridMultilevel"/>
    <w:tmpl w:val="D52A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0549C"/>
    <w:multiLevelType w:val="hybridMultilevel"/>
    <w:tmpl w:val="3264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244A7E"/>
    <w:multiLevelType w:val="hybridMultilevel"/>
    <w:tmpl w:val="0AA80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D302B1"/>
    <w:multiLevelType w:val="hybridMultilevel"/>
    <w:tmpl w:val="C14C20A0"/>
    <w:lvl w:ilvl="0" w:tplc="04090001">
      <w:start w:val="1"/>
      <w:numFmt w:val="bullet"/>
      <w:lvlText w:val=""/>
      <w:lvlJc w:val="left"/>
      <w:pPr>
        <w:ind w:left="778" w:hanging="360"/>
      </w:pPr>
      <w:rPr>
        <w:rFonts w:ascii="Symbol" w:hAnsi="Symbol" w:hint="default"/>
      </w:rPr>
    </w:lvl>
    <w:lvl w:ilvl="1" w:tplc="04090003">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8" w15:restartNumberingAfterBreak="0">
    <w:nsid w:val="25F42C7E"/>
    <w:multiLevelType w:val="hybridMultilevel"/>
    <w:tmpl w:val="0C9E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245AA8"/>
    <w:multiLevelType w:val="hybridMultilevel"/>
    <w:tmpl w:val="5D4ED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C6655"/>
    <w:multiLevelType w:val="hybridMultilevel"/>
    <w:tmpl w:val="0BA4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D4601"/>
    <w:multiLevelType w:val="hybridMultilevel"/>
    <w:tmpl w:val="D08E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C051AF"/>
    <w:multiLevelType w:val="hybridMultilevel"/>
    <w:tmpl w:val="FDC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36BDA"/>
    <w:multiLevelType w:val="hybridMultilevel"/>
    <w:tmpl w:val="CACA2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FC4FB8"/>
    <w:multiLevelType w:val="hybridMultilevel"/>
    <w:tmpl w:val="34AE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8928B5"/>
    <w:multiLevelType w:val="hybridMultilevel"/>
    <w:tmpl w:val="E3DE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E33395"/>
    <w:multiLevelType w:val="hybridMultilevel"/>
    <w:tmpl w:val="4596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F5D0E"/>
    <w:multiLevelType w:val="multilevel"/>
    <w:tmpl w:val="3BD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57B67"/>
    <w:multiLevelType w:val="hybridMultilevel"/>
    <w:tmpl w:val="EB3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0B43A0"/>
    <w:multiLevelType w:val="hybridMultilevel"/>
    <w:tmpl w:val="1C96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617FA4"/>
    <w:multiLevelType w:val="hybridMultilevel"/>
    <w:tmpl w:val="0FE2A6E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1" w15:restartNumberingAfterBreak="0">
    <w:nsid w:val="71895C13"/>
    <w:multiLevelType w:val="hybridMultilevel"/>
    <w:tmpl w:val="0714D090"/>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2" w15:restartNumberingAfterBreak="0">
    <w:nsid w:val="7E155129"/>
    <w:multiLevelType w:val="hybridMultilevel"/>
    <w:tmpl w:val="8E50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141216">
    <w:abstractNumId w:val="17"/>
  </w:num>
  <w:num w:numId="2" w16cid:durableId="1964537069">
    <w:abstractNumId w:val="21"/>
  </w:num>
  <w:num w:numId="3" w16cid:durableId="1260404526">
    <w:abstractNumId w:val="0"/>
  </w:num>
  <w:num w:numId="4" w16cid:durableId="1478960687">
    <w:abstractNumId w:val="3"/>
  </w:num>
  <w:num w:numId="5" w16cid:durableId="1225069976">
    <w:abstractNumId w:val="7"/>
  </w:num>
  <w:num w:numId="6" w16cid:durableId="445349426">
    <w:abstractNumId w:val="5"/>
  </w:num>
  <w:num w:numId="7" w16cid:durableId="537545657">
    <w:abstractNumId w:val="12"/>
  </w:num>
  <w:num w:numId="8" w16cid:durableId="1974746127">
    <w:abstractNumId w:val="14"/>
  </w:num>
  <w:num w:numId="9" w16cid:durableId="532617751">
    <w:abstractNumId w:val="9"/>
  </w:num>
  <w:num w:numId="10" w16cid:durableId="232011230">
    <w:abstractNumId w:val="16"/>
  </w:num>
  <w:num w:numId="11" w16cid:durableId="642268845">
    <w:abstractNumId w:val="11"/>
  </w:num>
  <w:num w:numId="12" w16cid:durableId="428550450">
    <w:abstractNumId w:val="8"/>
  </w:num>
  <w:num w:numId="13" w16cid:durableId="165639118">
    <w:abstractNumId w:val="20"/>
  </w:num>
  <w:num w:numId="14" w16cid:durableId="1214730269">
    <w:abstractNumId w:val="10"/>
  </w:num>
  <w:num w:numId="15" w16cid:durableId="510140499">
    <w:abstractNumId w:val="13"/>
  </w:num>
  <w:num w:numId="16" w16cid:durableId="756705747">
    <w:abstractNumId w:val="2"/>
  </w:num>
  <w:num w:numId="17" w16cid:durableId="1301349134">
    <w:abstractNumId w:val="15"/>
  </w:num>
  <w:num w:numId="18" w16cid:durableId="591664274">
    <w:abstractNumId w:val="18"/>
  </w:num>
  <w:num w:numId="19" w16cid:durableId="337122845">
    <w:abstractNumId w:val="6"/>
  </w:num>
  <w:num w:numId="20" w16cid:durableId="1623345163">
    <w:abstractNumId w:val="1"/>
  </w:num>
  <w:num w:numId="21" w16cid:durableId="1063867113">
    <w:abstractNumId w:val="19"/>
  </w:num>
  <w:num w:numId="22" w16cid:durableId="974724087">
    <w:abstractNumId w:val="22"/>
  </w:num>
  <w:num w:numId="23" w16cid:durableId="1308437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47D"/>
    <w:rsid w:val="000077B3"/>
    <w:rsid w:val="0002190C"/>
    <w:rsid w:val="00046480"/>
    <w:rsid w:val="000510DC"/>
    <w:rsid w:val="00052EF1"/>
    <w:rsid w:val="00061A93"/>
    <w:rsid w:val="00062AC0"/>
    <w:rsid w:val="00064767"/>
    <w:rsid w:val="00076BE4"/>
    <w:rsid w:val="000A5263"/>
    <w:rsid w:val="000B1CEF"/>
    <w:rsid w:val="000B4FB9"/>
    <w:rsid w:val="000C70AC"/>
    <w:rsid w:val="000E33BF"/>
    <w:rsid w:val="000F0005"/>
    <w:rsid w:val="00116990"/>
    <w:rsid w:val="001444EE"/>
    <w:rsid w:val="00176959"/>
    <w:rsid w:val="001958B3"/>
    <w:rsid w:val="001A6CA5"/>
    <w:rsid w:val="001E0827"/>
    <w:rsid w:val="001E3BB2"/>
    <w:rsid w:val="00200088"/>
    <w:rsid w:val="002020CE"/>
    <w:rsid w:val="002035A2"/>
    <w:rsid w:val="00242C2C"/>
    <w:rsid w:val="0026412B"/>
    <w:rsid w:val="00264FAC"/>
    <w:rsid w:val="00277176"/>
    <w:rsid w:val="0028753F"/>
    <w:rsid w:val="002C5E40"/>
    <w:rsid w:val="002C6677"/>
    <w:rsid w:val="002D1D3F"/>
    <w:rsid w:val="002E4B75"/>
    <w:rsid w:val="002F0857"/>
    <w:rsid w:val="00312CF3"/>
    <w:rsid w:val="00324ECC"/>
    <w:rsid w:val="003279CF"/>
    <w:rsid w:val="00333EFD"/>
    <w:rsid w:val="00340A9C"/>
    <w:rsid w:val="00360458"/>
    <w:rsid w:val="003624CC"/>
    <w:rsid w:val="00374425"/>
    <w:rsid w:val="003878B1"/>
    <w:rsid w:val="00391E47"/>
    <w:rsid w:val="003A7272"/>
    <w:rsid w:val="003B1789"/>
    <w:rsid w:val="003C733A"/>
    <w:rsid w:val="003C7B46"/>
    <w:rsid w:val="003F0987"/>
    <w:rsid w:val="00401A93"/>
    <w:rsid w:val="004049C5"/>
    <w:rsid w:val="00436025"/>
    <w:rsid w:val="004534B5"/>
    <w:rsid w:val="0047155F"/>
    <w:rsid w:val="00484E1B"/>
    <w:rsid w:val="004B7F40"/>
    <w:rsid w:val="004D17A2"/>
    <w:rsid w:val="004F4686"/>
    <w:rsid w:val="004F6A24"/>
    <w:rsid w:val="005101BE"/>
    <w:rsid w:val="005155E5"/>
    <w:rsid w:val="0052420F"/>
    <w:rsid w:val="005332A5"/>
    <w:rsid w:val="00557AAA"/>
    <w:rsid w:val="005706FF"/>
    <w:rsid w:val="005863BC"/>
    <w:rsid w:val="00586DCF"/>
    <w:rsid w:val="00595347"/>
    <w:rsid w:val="00597D7A"/>
    <w:rsid w:val="005A2C8E"/>
    <w:rsid w:val="005A6545"/>
    <w:rsid w:val="005A7315"/>
    <w:rsid w:val="005B14BE"/>
    <w:rsid w:val="005B286F"/>
    <w:rsid w:val="005B5EA6"/>
    <w:rsid w:val="005B78E7"/>
    <w:rsid w:val="005B7C61"/>
    <w:rsid w:val="005D759C"/>
    <w:rsid w:val="005E55E7"/>
    <w:rsid w:val="005E774E"/>
    <w:rsid w:val="00611DA1"/>
    <w:rsid w:val="00624341"/>
    <w:rsid w:val="0062610E"/>
    <w:rsid w:val="00627AD3"/>
    <w:rsid w:val="0063497A"/>
    <w:rsid w:val="00660BD0"/>
    <w:rsid w:val="00690973"/>
    <w:rsid w:val="00695EEC"/>
    <w:rsid w:val="006C55DB"/>
    <w:rsid w:val="006C7386"/>
    <w:rsid w:val="006F5804"/>
    <w:rsid w:val="006F5F6E"/>
    <w:rsid w:val="007645E2"/>
    <w:rsid w:val="00771849"/>
    <w:rsid w:val="00772F0E"/>
    <w:rsid w:val="00781B44"/>
    <w:rsid w:val="007828FB"/>
    <w:rsid w:val="007C43C9"/>
    <w:rsid w:val="007C677E"/>
    <w:rsid w:val="007F747D"/>
    <w:rsid w:val="00802538"/>
    <w:rsid w:val="00803AC3"/>
    <w:rsid w:val="00807BB2"/>
    <w:rsid w:val="00815480"/>
    <w:rsid w:val="00840D4C"/>
    <w:rsid w:val="00872C30"/>
    <w:rsid w:val="00880696"/>
    <w:rsid w:val="008874F4"/>
    <w:rsid w:val="00890007"/>
    <w:rsid w:val="008A0395"/>
    <w:rsid w:val="008B6DE1"/>
    <w:rsid w:val="008C1169"/>
    <w:rsid w:val="008C5D92"/>
    <w:rsid w:val="008E2B8B"/>
    <w:rsid w:val="008F12C9"/>
    <w:rsid w:val="008F5D5E"/>
    <w:rsid w:val="00902D94"/>
    <w:rsid w:val="00962599"/>
    <w:rsid w:val="00964F66"/>
    <w:rsid w:val="00975429"/>
    <w:rsid w:val="0098021B"/>
    <w:rsid w:val="00982E90"/>
    <w:rsid w:val="00990538"/>
    <w:rsid w:val="009A08E5"/>
    <w:rsid w:val="009B452B"/>
    <w:rsid w:val="009F4FD2"/>
    <w:rsid w:val="00A23D02"/>
    <w:rsid w:val="00A243CD"/>
    <w:rsid w:val="00A41926"/>
    <w:rsid w:val="00A45F04"/>
    <w:rsid w:val="00A61CDA"/>
    <w:rsid w:val="00A6298F"/>
    <w:rsid w:val="00AA2F2B"/>
    <w:rsid w:val="00AA4CF7"/>
    <w:rsid w:val="00AB4F3B"/>
    <w:rsid w:val="00AB5088"/>
    <w:rsid w:val="00AC6971"/>
    <w:rsid w:val="00AD066C"/>
    <w:rsid w:val="00AE767E"/>
    <w:rsid w:val="00B02153"/>
    <w:rsid w:val="00B3723C"/>
    <w:rsid w:val="00B400E6"/>
    <w:rsid w:val="00B46B8B"/>
    <w:rsid w:val="00B7329D"/>
    <w:rsid w:val="00B73AAF"/>
    <w:rsid w:val="00B86A78"/>
    <w:rsid w:val="00BC3912"/>
    <w:rsid w:val="00C00130"/>
    <w:rsid w:val="00C179D0"/>
    <w:rsid w:val="00C17B65"/>
    <w:rsid w:val="00C327E1"/>
    <w:rsid w:val="00C34AD3"/>
    <w:rsid w:val="00C34B7D"/>
    <w:rsid w:val="00C36150"/>
    <w:rsid w:val="00C75D40"/>
    <w:rsid w:val="00C87C08"/>
    <w:rsid w:val="00CA0847"/>
    <w:rsid w:val="00CA0F4B"/>
    <w:rsid w:val="00CD3BD6"/>
    <w:rsid w:val="00CD6395"/>
    <w:rsid w:val="00CD7233"/>
    <w:rsid w:val="00D0326B"/>
    <w:rsid w:val="00D129B7"/>
    <w:rsid w:val="00D2036E"/>
    <w:rsid w:val="00D30327"/>
    <w:rsid w:val="00D500AC"/>
    <w:rsid w:val="00D53E28"/>
    <w:rsid w:val="00D56397"/>
    <w:rsid w:val="00D672B3"/>
    <w:rsid w:val="00D73328"/>
    <w:rsid w:val="00D81F29"/>
    <w:rsid w:val="00DB2021"/>
    <w:rsid w:val="00DD3DBA"/>
    <w:rsid w:val="00DD4224"/>
    <w:rsid w:val="00DD4D52"/>
    <w:rsid w:val="00DD58B8"/>
    <w:rsid w:val="00DF0304"/>
    <w:rsid w:val="00DF1AE1"/>
    <w:rsid w:val="00E0236C"/>
    <w:rsid w:val="00E04915"/>
    <w:rsid w:val="00E12BC1"/>
    <w:rsid w:val="00E230E1"/>
    <w:rsid w:val="00E24DDB"/>
    <w:rsid w:val="00E318EE"/>
    <w:rsid w:val="00E520B4"/>
    <w:rsid w:val="00E66682"/>
    <w:rsid w:val="00E9437E"/>
    <w:rsid w:val="00EB0987"/>
    <w:rsid w:val="00EE07F9"/>
    <w:rsid w:val="00F34211"/>
    <w:rsid w:val="00F40FA0"/>
    <w:rsid w:val="00F53CBB"/>
    <w:rsid w:val="00F75266"/>
    <w:rsid w:val="00F77DCB"/>
    <w:rsid w:val="00F9765B"/>
    <w:rsid w:val="00FA7878"/>
    <w:rsid w:val="00FB66E8"/>
    <w:rsid w:val="00FC04B9"/>
    <w:rsid w:val="00FC4642"/>
    <w:rsid w:val="00FF196C"/>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611D"/>
  <w15:docId w15:val="{A40F14CA-80BD-4FD0-912C-C16B8B05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6" w:line="216" w:lineRule="auto"/>
      <w:ind w:left="5" w:right="480" w:hanging="5"/>
    </w:pPr>
    <w:rPr>
      <w:rFonts w:ascii="Calibri" w:eastAsia="Calibri" w:hAnsi="Calibri" w:cs="Calibri"/>
      <w:color w:val="000000"/>
      <w:sz w:val="32"/>
    </w:rPr>
  </w:style>
  <w:style w:type="paragraph" w:styleId="Heading1">
    <w:name w:val="heading 1"/>
    <w:basedOn w:val="Normal"/>
    <w:next w:val="Normal"/>
    <w:link w:val="Heading1Char"/>
    <w:uiPriority w:val="9"/>
    <w:qFormat/>
    <w:rsid w:val="00BC3912"/>
    <w:pPr>
      <w:keepNext/>
      <w:keepLines/>
      <w:spacing w:before="240" w:after="0"/>
      <w:outlineLvl w:val="0"/>
    </w:pPr>
    <w:rPr>
      <w:rFonts w:asciiTheme="majorHAnsi" w:eastAsiaTheme="majorEastAsia" w:hAnsiTheme="majorHAnsi" w:cstheme="majorBidi"/>
      <w:color w:val="0F4761" w:themeColor="accent1" w:themeShade="BF"/>
      <w:szCs w:val="32"/>
    </w:rPr>
  </w:style>
  <w:style w:type="paragraph" w:styleId="Heading2">
    <w:name w:val="heading 2"/>
    <w:basedOn w:val="Normal"/>
    <w:next w:val="Normal"/>
    <w:link w:val="Heading2Char"/>
    <w:uiPriority w:val="9"/>
    <w:unhideWhenUsed/>
    <w:qFormat/>
    <w:rsid w:val="007C43C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F77DCB"/>
    <w:pPr>
      <w:spacing w:before="100" w:beforeAutospacing="1" w:after="100" w:afterAutospacing="1" w:line="240" w:lineRule="auto"/>
      <w:ind w:left="0" w:right="0" w:firstLine="0"/>
      <w:outlineLvl w:val="2"/>
    </w:pPr>
    <w:rPr>
      <w:rFonts w:ascii="Times New Roman" w:eastAsiaTheme="minorEastAsia" w:hAnsi="Times New Roman" w:cs="Times New Roman"/>
      <w:b/>
      <w:bCs/>
      <w:color w:val="auto"/>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4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480"/>
    <w:rPr>
      <w:rFonts w:ascii="Calibri" w:eastAsia="Calibri" w:hAnsi="Calibri" w:cs="Calibri"/>
      <w:color w:val="000000"/>
      <w:sz w:val="32"/>
    </w:rPr>
  </w:style>
  <w:style w:type="paragraph" w:styleId="Footer">
    <w:name w:val="footer"/>
    <w:basedOn w:val="Normal"/>
    <w:link w:val="FooterChar"/>
    <w:uiPriority w:val="99"/>
    <w:unhideWhenUsed/>
    <w:rsid w:val="008154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480"/>
    <w:rPr>
      <w:rFonts w:ascii="Calibri" w:eastAsia="Calibri" w:hAnsi="Calibri" w:cs="Calibri"/>
      <w:color w:val="000000"/>
      <w:sz w:val="32"/>
    </w:rPr>
  </w:style>
  <w:style w:type="character" w:customStyle="1" w:styleId="Heading3Char">
    <w:name w:val="Heading 3 Char"/>
    <w:basedOn w:val="DefaultParagraphFont"/>
    <w:link w:val="Heading3"/>
    <w:uiPriority w:val="9"/>
    <w:rsid w:val="00F77DCB"/>
    <w:rPr>
      <w:rFonts w:ascii="Times New Roman" w:hAnsi="Times New Roman" w:cs="Times New Roman"/>
      <w:b/>
      <w:bCs/>
      <w:kern w:val="0"/>
      <w:sz w:val="27"/>
      <w:szCs w:val="27"/>
      <w14:ligatures w14:val="none"/>
    </w:rPr>
  </w:style>
  <w:style w:type="paragraph" w:styleId="NormalWeb">
    <w:name w:val="Normal (Web)"/>
    <w:basedOn w:val="Normal"/>
    <w:uiPriority w:val="99"/>
    <w:semiHidden/>
    <w:unhideWhenUsed/>
    <w:rsid w:val="00F77DCB"/>
    <w:pPr>
      <w:spacing w:before="100" w:beforeAutospacing="1" w:after="100" w:afterAutospacing="1" w:line="240" w:lineRule="auto"/>
      <w:ind w:left="0" w:right="0" w:firstLine="0"/>
    </w:pPr>
    <w:rPr>
      <w:rFonts w:ascii="Times New Roman" w:eastAsiaTheme="minorEastAsia" w:hAnsi="Times New Roman" w:cs="Times New Roman"/>
      <w:color w:val="auto"/>
      <w:kern w:val="0"/>
      <w:sz w:val="24"/>
      <w14:ligatures w14:val="none"/>
    </w:rPr>
  </w:style>
  <w:style w:type="character" w:styleId="Strong">
    <w:name w:val="Strong"/>
    <w:basedOn w:val="DefaultParagraphFont"/>
    <w:uiPriority w:val="22"/>
    <w:qFormat/>
    <w:rsid w:val="00F77DCB"/>
    <w:rPr>
      <w:b/>
      <w:bCs/>
    </w:rPr>
  </w:style>
  <w:style w:type="character" w:customStyle="1" w:styleId="Heading1Char">
    <w:name w:val="Heading 1 Char"/>
    <w:basedOn w:val="DefaultParagraphFont"/>
    <w:link w:val="Heading1"/>
    <w:uiPriority w:val="9"/>
    <w:rsid w:val="00BC3912"/>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DD4D52"/>
    <w:pPr>
      <w:ind w:left="720"/>
      <w:contextualSpacing/>
    </w:pPr>
  </w:style>
  <w:style w:type="character" w:customStyle="1" w:styleId="Heading2Char">
    <w:name w:val="Heading 2 Char"/>
    <w:basedOn w:val="DefaultParagraphFont"/>
    <w:link w:val="Heading2"/>
    <w:uiPriority w:val="9"/>
    <w:rsid w:val="007C43C9"/>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39"/>
    <w:rsid w:val="00557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3E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AA4CF7"/>
    <w:rPr>
      <w:color w:val="467886" w:themeColor="hyperlink"/>
      <w:u w:val="single"/>
    </w:rPr>
  </w:style>
  <w:style w:type="character" w:styleId="UnresolvedMention">
    <w:name w:val="Unresolved Mention"/>
    <w:basedOn w:val="DefaultParagraphFont"/>
    <w:uiPriority w:val="99"/>
    <w:semiHidden/>
    <w:unhideWhenUsed/>
    <w:rsid w:val="00AA4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fightfraudwitheri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port@fightfraudwither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oc@fightfraudwitheri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5</Pages>
  <Words>2195</Words>
  <Characters>11439</Characters>
  <Application>Microsoft Office Word</Application>
  <DocSecurity>0</DocSecurity>
  <Lines>211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Martin</dc:creator>
  <cp:keywords/>
  <cp:lastModifiedBy>Erin Martin</cp:lastModifiedBy>
  <cp:revision>192</cp:revision>
  <dcterms:created xsi:type="dcterms:W3CDTF">2026-03-10T15:29:00Z</dcterms:created>
  <dcterms:modified xsi:type="dcterms:W3CDTF">2026-03-10T21:02:00Z</dcterms:modified>
</cp:coreProperties>
</file>