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</w:t>
      </w:r>
    </w:p>
    <w:p>
      <w:pPr/>
      <w:r>
        <w:rPr>
          <w:b w:val="0"/>
        </w:rPr>
        <w:t>Generated: June 23, 2026 at 12:29 PM</w:t>
        <w:br/>
      </w:r>
      <w:r>
        <w:rPr>
          <w:b w:val="0"/>
        </w:rPr>
        <w:t>Source: https://www.capitoltrades.com/politicians</w:t>
        <w:br/>
      </w:r>
      <w:r>
        <w:rPr>
          <w:b w:val="0"/>
        </w:rPr>
        <w:t>Task: find the most traded fund</w:t>
      </w:r>
    </w:p>
    <w:p/>
    <w:p>
      <w:pPr>
        <w:pStyle w:val="Heading2"/>
      </w:pPr>
      <w:r>
        <w:t>Extracted Data</w:t>
      </w:r>
    </w:p>
    <w:p>
      <w:pPr>
        <w:pStyle w:val="Heading3"/>
      </w:pPr>
      <w:r>
        <w:t>Most Traded Fund — Capitol Trades (Politicians Page)</w:t>
      </w:r>
    </w:p>
    <w:p>
      <w:r>
        <w:t>The page content provided lists **politicians** and their trading activity, not individual funds/issuers. However, based on the data visible, the task asks for the **most traded fund**, which cannot be directly determined from this page alone — this page ranks **politicians by trading activity**, not funds.</w:t>
      </w:r>
    </w:p>
    <w:p>
      <w:r>
        <w:t>That said, based on the available data, the politician with the **highest number of trades** is:</w:t>
      </w:r>
    </w:p>
    <w:p>
      <w:r>
        <w:t>| Politician | Party | State | Trades | Issuers | Volume | Last Traded |</w:t>
      </w:r>
    </w:p>
    <w:p>
      <w:r>
        <w:t>|---|---|---|---|---|---|---|</w:t>
      </w:r>
    </w:p>
    <w:p>
      <w:r>
        <w:t>| **Josh Gottheimer** | Democrat | New Jersey | **1,365** | 320 | $166.00M | 2026-05-27 |</w:t>
      </w:r>
    </w:p>
    <w:p>
      <w:r>
        <w:t>&gt; ⚠️ **Note:** This page shows politician-level trade data, not fund-level data. To find the **most traded fund specifically**, the correct page to visit would be **capitoltrades.com/issuers** or a similar filtered view. The current page does not surface individual fund names or tickers.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