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6DC13">
      <w:pPr>
        <w:widowControl/>
        <w:jc w:val="left"/>
        <w:rPr>
          <w:rFonts w:hAnsi="宋体"/>
        </w:rPr>
      </w:pPr>
    </w:p>
    <w:p w14:paraId="7E838B95">
      <w:pPr>
        <w:widowControl/>
        <w:jc w:val="left"/>
        <w:rPr>
          <w:rFonts w:hAnsi="宋体"/>
        </w:rPr>
      </w:pPr>
    </w:p>
    <w:p w14:paraId="28BDC262">
      <w:pPr>
        <w:widowControl/>
        <w:jc w:val="left"/>
        <w:rPr>
          <w:rFonts w:hAnsi="宋体"/>
        </w:rPr>
      </w:pPr>
    </w:p>
    <w:p w14:paraId="0AE620BC">
      <w:pPr>
        <w:widowControl/>
        <w:jc w:val="left"/>
        <w:rPr>
          <w:rFonts w:hAnsi="宋体"/>
        </w:rPr>
      </w:pPr>
    </w:p>
    <w:p w14:paraId="325977EF">
      <w:pPr>
        <w:widowControl/>
        <w:jc w:val="center"/>
        <w:rPr>
          <w:rFonts w:hAnsi="宋体"/>
        </w:rPr>
      </w:pPr>
      <w:r>
        <w:rPr>
          <w:b/>
          <w:sz w:val="48"/>
          <w:szCs w:val="48"/>
        </w:rPr>
        <w:drawing>
          <wp:inline distT="0" distB="0" distL="114300" distR="114300">
            <wp:extent cx="3199130" cy="708660"/>
            <wp:effectExtent l="0" t="0" r="0" b="0"/>
            <wp:docPr id="1" name="图片 1" descr="上海海事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上海海事大学"/>
                    <pic:cNvPicPr>
                      <a:picLocks noChangeAspect="1"/>
                    </pic:cNvPicPr>
                  </pic:nvPicPr>
                  <pic:blipFill>
                    <a:blip r:embed="rId7"/>
                    <a:stretch>
                      <a:fillRect/>
                    </a:stretch>
                  </pic:blipFill>
                  <pic:spPr>
                    <a:xfrm>
                      <a:off x="0" y="0"/>
                      <a:ext cx="3199130" cy="708660"/>
                    </a:xfrm>
                    <a:prstGeom prst="rect">
                      <a:avLst/>
                    </a:prstGeom>
                    <a:noFill/>
                    <a:ln w="12700">
                      <a:noFill/>
                    </a:ln>
                  </pic:spPr>
                </pic:pic>
              </a:graphicData>
            </a:graphic>
          </wp:inline>
        </w:drawing>
      </w:r>
    </w:p>
    <w:p w14:paraId="100DAB90">
      <w:pPr>
        <w:widowControl/>
        <w:jc w:val="center"/>
        <w:rPr>
          <w:rFonts w:hAnsi="宋体"/>
        </w:rPr>
      </w:pPr>
      <w:r>
        <w:drawing>
          <wp:inline distT="0" distB="0" distL="114300" distR="114300">
            <wp:extent cx="1343660" cy="1332865"/>
            <wp:effectExtent l="0" t="0" r="12700" b="8255"/>
            <wp:docPr id="2" name="图片 2" descr="上海海事大学校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上海海事大学校标"/>
                    <pic:cNvPicPr>
                      <a:picLocks noChangeAspect="1"/>
                    </pic:cNvPicPr>
                  </pic:nvPicPr>
                  <pic:blipFill>
                    <a:blip r:embed="rId8"/>
                    <a:stretch>
                      <a:fillRect/>
                    </a:stretch>
                  </pic:blipFill>
                  <pic:spPr>
                    <a:xfrm>
                      <a:off x="0" y="0"/>
                      <a:ext cx="1343660" cy="1332865"/>
                    </a:xfrm>
                    <a:prstGeom prst="rect">
                      <a:avLst/>
                    </a:prstGeom>
                    <a:noFill/>
                    <a:ln w="12700">
                      <a:noFill/>
                    </a:ln>
                  </pic:spPr>
                </pic:pic>
              </a:graphicData>
            </a:graphic>
          </wp:inline>
        </w:drawing>
      </w:r>
    </w:p>
    <w:p w14:paraId="0DC5E938">
      <w:pPr>
        <w:widowControl/>
        <w:jc w:val="left"/>
        <w:rPr>
          <w:rFonts w:hAnsi="宋体"/>
        </w:rPr>
      </w:pPr>
    </w:p>
    <w:p w14:paraId="53593D01">
      <w:pPr>
        <w:widowControl/>
        <w:jc w:val="left"/>
        <w:rPr>
          <w:rFonts w:hAnsi="宋体"/>
        </w:rPr>
      </w:pPr>
    </w:p>
    <w:p w14:paraId="27BE314E">
      <w:pPr>
        <w:widowControl/>
        <w:jc w:val="left"/>
        <w:rPr>
          <w:rFonts w:hAnsi="宋体"/>
        </w:rPr>
      </w:pPr>
    </w:p>
    <w:p w14:paraId="33951A0E">
      <w:pPr>
        <w:widowControl/>
        <w:jc w:val="left"/>
        <w:rPr>
          <w:rFonts w:hint="eastAsia" w:hAnsi="宋体"/>
        </w:rPr>
      </w:pPr>
    </w:p>
    <w:p w14:paraId="492C53CA">
      <w:pPr>
        <w:widowControl/>
        <w:jc w:val="center"/>
        <w:rPr>
          <w:rFonts w:hAnsi="宋体"/>
          <w:sz w:val="52"/>
          <w:szCs w:val="52"/>
        </w:rPr>
      </w:pPr>
      <w:r>
        <w:rPr>
          <w:rFonts w:hint="eastAsia" w:hAnsi="宋体"/>
          <w:sz w:val="52"/>
          <w:szCs w:val="52"/>
        </w:rPr>
        <w:t>《</w:t>
      </w:r>
      <w:r>
        <w:rPr>
          <w:rFonts w:hint="eastAsia" w:hAnsi="宋体"/>
          <w:sz w:val="52"/>
          <w:szCs w:val="52"/>
          <w:lang w:val="en-US" w:eastAsia="zh-CN"/>
        </w:rPr>
        <w:t>地理信息系统导论</w:t>
      </w:r>
      <w:r>
        <w:rPr>
          <w:rFonts w:hint="eastAsia" w:hAnsi="宋体"/>
          <w:sz w:val="52"/>
          <w:szCs w:val="52"/>
        </w:rPr>
        <w:t>》</w:t>
      </w:r>
    </w:p>
    <w:p w14:paraId="6293ABE2">
      <w:pPr>
        <w:widowControl/>
        <w:jc w:val="center"/>
        <w:rPr>
          <w:rFonts w:hAnsi="宋体"/>
          <w:sz w:val="52"/>
          <w:szCs w:val="52"/>
        </w:rPr>
      </w:pPr>
      <w:r>
        <w:rPr>
          <w:rFonts w:hint="eastAsia" w:hAnsi="宋体"/>
          <w:sz w:val="52"/>
          <w:szCs w:val="52"/>
        </w:rPr>
        <w:t>课程学习报告</w:t>
      </w:r>
    </w:p>
    <w:p w14:paraId="683CFD17">
      <w:pPr>
        <w:widowControl/>
        <w:jc w:val="center"/>
        <w:rPr>
          <w:rFonts w:hAnsi="宋体"/>
          <w:b/>
          <w:bCs/>
          <w:sz w:val="32"/>
          <w:szCs w:val="32"/>
        </w:rPr>
      </w:pPr>
    </w:p>
    <w:p w14:paraId="14387849">
      <w:pPr>
        <w:widowControl/>
        <w:jc w:val="center"/>
        <w:rPr>
          <w:rFonts w:hAnsi="宋体"/>
          <w:b/>
          <w:bCs/>
          <w:sz w:val="32"/>
          <w:szCs w:val="32"/>
        </w:rPr>
      </w:pPr>
    </w:p>
    <w:p w14:paraId="0F523D14">
      <w:pPr>
        <w:widowControl/>
        <w:jc w:val="center"/>
        <w:rPr>
          <w:rFonts w:hAnsi="宋体"/>
          <w:b/>
          <w:bCs/>
          <w:sz w:val="32"/>
          <w:szCs w:val="32"/>
        </w:rPr>
      </w:pPr>
    </w:p>
    <w:p w14:paraId="43D47532">
      <w:pPr>
        <w:keepNext w:val="0"/>
        <w:keepLines w:val="0"/>
        <w:pageBreakBefore w:val="0"/>
        <w:widowControl/>
        <w:kinsoku/>
        <w:wordWrap/>
        <w:overflowPunct/>
        <w:topLinePunct w:val="0"/>
        <w:autoSpaceDE/>
        <w:autoSpaceDN/>
        <w:bidi w:val="0"/>
        <w:adjustRightInd/>
        <w:snapToGrid/>
        <w:ind w:firstLine="2570" w:firstLineChars="800"/>
        <w:jc w:val="both"/>
        <w:textAlignment w:val="auto"/>
        <w:rPr>
          <w:rFonts w:hint="eastAsia" w:hAnsi="宋体"/>
          <w:b/>
          <w:bCs/>
          <w:sz w:val="32"/>
          <w:szCs w:val="32"/>
        </w:rPr>
      </w:pPr>
      <w:r>
        <w:rPr>
          <w:rFonts w:hint="eastAsia" w:hAnsi="宋体"/>
          <w:b/>
          <w:bCs/>
          <w:sz w:val="32"/>
          <w:szCs w:val="32"/>
          <w:lang w:val="en-US" w:eastAsia="zh-CN"/>
        </w:rPr>
        <w:t>学院：</w:t>
      </w:r>
      <w:r>
        <w:rPr>
          <w:rFonts w:hint="eastAsia" w:hAnsi="宋体"/>
          <w:b/>
          <w:bCs/>
          <w:sz w:val="32"/>
          <w:szCs w:val="32"/>
        </w:rPr>
        <w:t>信息工程学院</w:t>
      </w:r>
    </w:p>
    <w:p w14:paraId="54F310CA">
      <w:pPr>
        <w:keepNext w:val="0"/>
        <w:keepLines w:val="0"/>
        <w:pageBreakBefore w:val="0"/>
        <w:widowControl/>
        <w:kinsoku/>
        <w:wordWrap/>
        <w:overflowPunct/>
        <w:topLinePunct w:val="0"/>
        <w:autoSpaceDE/>
        <w:autoSpaceDN/>
        <w:bidi w:val="0"/>
        <w:adjustRightInd/>
        <w:snapToGrid/>
        <w:ind w:firstLine="2570" w:firstLineChars="800"/>
        <w:jc w:val="both"/>
        <w:textAlignment w:val="auto"/>
        <w:rPr>
          <w:rFonts w:hint="eastAsia" w:hAnsi="宋体"/>
          <w:b/>
          <w:bCs/>
          <w:sz w:val="32"/>
          <w:szCs w:val="32"/>
          <w:lang w:val="en-US" w:eastAsia="zh-CN"/>
        </w:rPr>
      </w:pPr>
      <w:r>
        <w:rPr>
          <w:rFonts w:hint="eastAsia" w:hAnsi="宋体"/>
          <w:b/>
          <w:bCs/>
          <w:sz w:val="32"/>
          <w:szCs w:val="32"/>
          <w:lang w:val="en-US" w:eastAsia="zh-CN"/>
        </w:rPr>
        <w:t>班级：电信241</w:t>
      </w:r>
    </w:p>
    <w:p w14:paraId="669E32F9">
      <w:pPr>
        <w:keepNext w:val="0"/>
        <w:keepLines w:val="0"/>
        <w:pageBreakBefore w:val="0"/>
        <w:widowControl/>
        <w:kinsoku/>
        <w:wordWrap/>
        <w:overflowPunct/>
        <w:topLinePunct w:val="0"/>
        <w:autoSpaceDE/>
        <w:autoSpaceDN/>
        <w:bidi w:val="0"/>
        <w:adjustRightInd/>
        <w:snapToGrid/>
        <w:ind w:firstLine="2570" w:firstLineChars="800"/>
        <w:jc w:val="both"/>
        <w:textAlignment w:val="auto"/>
        <w:rPr>
          <w:rFonts w:hint="eastAsia" w:hAnsi="宋体"/>
          <w:b/>
          <w:bCs/>
          <w:sz w:val="32"/>
          <w:szCs w:val="32"/>
          <w:lang w:val="en-US" w:eastAsia="zh-CN"/>
        </w:rPr>
      </w:pPr>
      <w:r>
        <w:rPr>
          <w:rFonts w:hint="eastAsia" w:hAnsi="宋体"/>
          <w:b/>
          <w:bCs/>
          <w:sz w:val="32"/>
          <w:szCs w:val="32"/>
          <w:lang w:val="en-US" w:eastAsia="zh-CN"/>
        </w:rPr>
        <w:t>姓名：刘欣语</w:t>
      </w:r>
    </w:p>
    <w:p w14:paraId="4187A295">
      <w:pPr>
        <w:keepNext w:val="0"/>
        <w:keepLines w:val="0"/>
        <w:pageBreakBefore w:val="0"/>
        <w:widowControl/>
        <w:kinsoku/>
        <w:wordWrap/>
        <w:overflowPunct/>
        <w:topLinePunct w:val="0"/>
        <w:autoSpaceDE/>
        <w:autoSpaceDN/>
        <w:bidi w:val="0"/>
        <w:adjustRightInd/>
        <w:snapToGrid/>
        <w:ind w:firstLine="2570" w:firstLineChars="800"/>
        <w:jc w:val="both"/>
        <w:textAlignment w:val="auto"/>
        <w:rPr>
          <w:rFonts w:hint="eastAsia" w:hAnsi="宋体"/>
          <w:b/>
          <w:bCs/>
          <w:sz w:val="32"/>
          <w:szCs w:val="32"/>
          <w:lang w:val="en-US" w:eastAsia="zh-CN"/>
        </w:rPr>
      </w:pPr>
      <w:r>
        <w:rPr>
          <w:rFonts w:hint="eastAsia" w:hAnsi="宋体"/>
          <w:b/>
          <w:bCs/>
          <w:sz w:val="32"/>
          <w:szCs w:val="32"/>
          <w:lang w:val="en-US" w:eastAsia="zh-CN"/>
        </w:rPr>
        <w:t>学号：202410321020</w:t>
      </w:r>
    </w:p>
    <w:p w14:paraId="46C5896D">
      <w:pPr>
        <w:keepNext w:val="0"/>
        <w:keepLines w:val="0"/>
        <w:pageBreakBefore w:val="0"/>
        <w:widowControl/>
        <w:kinsoku/>
        <w:wordWrap/>
        <w:overflowPunct/>
        <w:topLinePunct w:val="0"/>
        <w:autoSpaceDE/>
        <w:autoSpaceDN/>
        <w:bidi w:val="0"/>
        <w:adjustRightInd/>
        <w:snapToGrid/>
        <w:ind w:firstLine="2570" w:firstLineChars="800"/>
        <w:jc w:val="both"/>
        <w:textAlignment w:val="auto"/>
        <w:rPr>
          <w:rFonts w:hint="default" w:hAnsi="宋体"/>
          <w:b/>
          <w:bCs/>
          <w:sz w:val="32"/>
          <w:szCs w:val="32"/>
          <w:lang w:val="en-US" w:eastAsia="zh-CN"/>
        </w:rPr>
      </w:pPr>
      <w:r>
        <w:rPr>
          <w:rFonts w:hint="eastAsia" w:hAnsi="宋体"/>
          <w:b/>
          <w:bCs/>
          <w:sz w:val="32"/>
          <w:szCs w:val="32"/>
          <w:lang w:val="en-US" w:eastAsia="zh-CN"/>
        </w:rPr>
        <w:t>完成日期：2025.11.19</w:t>
      </w:r>
    </w:p>
    <w:p w14:paraId="5540FB4D">
      <w:pPr>
        <w:pStyle w:val="2"/>
        <w:keepNext w:val="0"/>
        <w:keepLines w:val="0"/>
        <w:pageBreakBefore w:val="0"/>
        <w:kinsoku/>
        <w:wordWrap/>
        <w:overflowPunct/>
        <w:topLinePunct w:val="0"/>
        <w:autoSpaceDE/>
        <w:autoSpaceDN/>
        <w:bidi w:val="0"/>
        <w:adjustRightInd/>
        <w:snapToGrid/>
        <w:ind w:left="2793" w:firstLine="420"/>
        <w:jc w:val="center"/>
        <w:textAlignment w:val="auto"/>
        <w:rPr>
          <w:rFonts w:hint="eastAsia" w:hAnsi="宋体"/>
          <w:b/>
          <w:bCs/>
          <w:sz w:val="32"/>
          <w:szCs w:val="32"/>
          <w:lang w:val="en-US" w:eastAsia="zh-CN"/>
        </w:rPr>
      </w:pPr>
    </w:p>
    <w:p w14:paraId="6CE733BF">
      <w:pPr>
        <w:jc w:val="center"/>
        <w:rPr>
          <w:rFonts w:hint="eastAsia"/>
          <w:lang w:val="en-US" w:eastAsia="zh-CN"/>
        </w:rPr>
        <w:sectPr>
          <w:endnotePr>
            <w:numFmt w:val="decimal"/>
          </w:endnotePr>
          <w:pgSz w:w="11906" w:h="16838"/>
          <w:pgMar w:top="1531" w:right="1417" w:bottom="1701" w:left="1701" w:header="851" w:footer="992" w:gutter="0"/>
          <w:pgNumType w:fmt="decimal"/>
          <w:cols w:space="0" w:num="1"/>
          <w:rtlGutter w:val="0"/>
          <w:docGrid w:type="lines" w:linePitch="312" w:charSpace="0"/>
        </w:sectPr>
      </w:pPr>
    </w:p>
    <w:p w14:paraId="225D3DBE">
      <w:pPr>
        <w:jc w:val="center"/>
        <w:rPr>
          <w:rFonts w:hint="eastAsia"/>
          <w:lang w:val="en-US" w:eastAsia="zh-CN"/>
        </w:rPr>
      </w:pPr>
    </w:p>
    <w:p w14:paraId="74CEE6C8">
      <w:pPr>
        <w:jc w:val="cente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基于GIS技术多领域应用的文献阅读报告</w:t>
      </w:r>
    </w:p>
    <w:p w14:paraId="2529F6FA">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黑体" w:hAnsi="黑体" w:eastAsia="黑体" w:cs="黑体"/>
          <w:sz w:val="18"/>
          <w:szCs w:val="18"/>
          <w:lang w:val="en-US" w:eastAsia="zh-CN"/>
        </w:rPr>
      </w:pPr>
    </w:p>
    <w:p w14:paraId="3B965E65">
      <w:pPr>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摘要</w:t>
      </w:r>
    </w:p>
    <w:p w14:paraId="560A30B4">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 w:val="18"/>
          <w:szCs w:val="18"/>
          <w:lang w:val="en-US" w:eastAsia="zh-CN"/>
        </w:rPr>
      </w:pPr>
    </w:p>
    <w:p w14:paraId="135BE9DB">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报告选取三篇与GIS相关的文献，聚焦社会问题求解、煤矿地质模型动态更新、湿地生态敏感性评价三大应用场景，通过梳理文献的研究目的、方法与结论等来分析GIS的技术优势及跨学科融合挑战，探讨其从“辅助工具”到“核心分析范式”的转型，并总结GIS跨领域应用潜力与未来方向，为相关研究提供参考。</w:t>
      </w:r>
    </w:p>
    <w:p w14:paraId="27EBC0DB">
      <w:pPr>
        <w:keepNext w:val="0"/>
        <w:keepLines w:val="0"/>
        <w:pageBreakBefore w:val="0"/>
        <w:numPr>
          <w:ilvl w:val="0"/>
          <w:numId w:val="1"/>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引言</w:t>
      </w:r>
    </w:p>
    <w:p w14:paraId="16BDE6F9">
      <w:pPr>
        <w:keepNext w:val="0"/>
        <w:keepLines w:val="0"/>
        <w:pageBreakBefore w:val="0"/>
        <w:widowControl w:val="0"/>
        <w:numPr>
          <w:ilvl w:val="0"/>
          <w:numId w:val="0"/>
        </w:numPr>
        <w:kinsoku/>
        <w:wordWrap/>
        <w:overflowPunct/>
        <w:topLinePunct w:val="0"/>
        <w:autoSpaceDE/>
        <w:autoSpaceDN/>
        <w:bidi w:val="0"/>
        <w:adjustRightInd/>
        <w:snapToGrid/>
        <w:spacing w:line="240" w:lineRule="auto"/>
        <w:jc w:val="left"/>
        <w:textAlignment w:val="auto"/>
        <w:rPr>
          <w:rFonts w:hint="eastAsia" w:ascii="黑体" w:hAnsi="黑体" w:eastAsia="黑体" w:cs="黑体"/>
          <w:sz w:val="18"/>
          <w:szCs w:val="18"/>
          <w:lang w:val="en-US" w:eastAsia="zh-CN"/>
        </w:rPr>
      </w:pPr>
    </w:p>
    <w:p w14:paraId="65A84CF8">
      <w:pPr>
        <w:keepNext w:val="0"/>
        <w:keepLines w:val="0"/>
        <w:pageBreakBefore w:val="0"/>
        <w:numPr>
          <w:ilvl w:val="0"/>
          <w:numId w:val="0"/>
        </w:numPr>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地理信息系统（GIS）是电子信息、地理学、统计学等多学科交叉的技术产物，作为集地理数据采集、存储、分析、展示于一体的技术体系，现已渗透到社会、地质、生态等多个领域。本次选取三篇不同领域的GIS应用文献，旨在通过研究分析，全面理解GIS技术的跨领域适配性与发展潜力，为将GIS应用到专业学习提供多维度参考。</w:t>
      </w:r>
    </w:p>
    <w:p w14:paraId="16DFF7F6">
      <w:pPr>
        <w:keepNext w:val="0"/>
        <w:keepLines w:val="0"/>
        <w:pageBreakBefore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文献阅读报告1：《面向社会问题求解的GIS空间分析：融合路径、挑战与机遇》</w:t>
      </w:r>
    </w:p>
    <w:p w14:paraId="0635704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18"/>
          <w:szCs w:val="18"/>
          <w:lang w:val="en-US" w:eastAsia="zh-CN"/>
        </w:rPr>
      </w:pPr>
    </w:p>
    <w:p w14:paraId="0BCA5008">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（一）研究目的</w:t>
      </w:r>
    </w:p>
    <w:p w14:paraId="285E9EE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231F20"/>
          <w:kern w:val="0"/>
          <w:sz w:val="24"/>
          <w:szCs w:val="24"/>
          <w:lang w:val="en-US" w:eastAsia="zh-CN" w:bidi="ar"/>
        </w:rPr>
      </w:pPr>
      <w:r>
        <w:rPr>
          <w:rFonts w:hint="eastAsia" w:ascii="宋体" w:hAnsi="宋体" w:eastAsia="宋体" w:cs="宋体"/>
          <w:color w:val="231F20"/>
          <w:kern w:val="0"/>
          <w:sz w:val="24"/>
          <w:szCs w:val="24"/>
          <w:lang w:val="en-US" w:eastAsia="zh-CN" w:bidi="ar"/>
        </w:rPr>
        <w:t>本文旨在系统总结GIS空间分析在社会问题求解中的核心优势，回顾其在经济学、政治学与社会学等领域的典型应用，揭示应用过程中的关键挑战，深入探讨融合路径，并前瞻性地展望空间智能时代的技术跃迁方向。</w:t>
      </w:r>
      <w:r>
        <w:rPr>
          <w:rStyle w:val="8"/>
          <w:rFonts w:hint="eastAsia" w:ascii="宋体" w:hAnsi="宋体" w:eastAsia="宋体" w:cs="宋体"/>
          <w:color w:val="231F20"/>
          <w:kern w:val="0"/>
          <w:sz w:val="24"/>
          <w:szCs w:val="24"/>
          <w:lang w:val="en-US" w:eastAsia="zh-CN" w:bidi="ar"/>
        </w:rPr>
        <w:t>[</w:t>
      </w:r>
      <w:r>
        <w:rPr>
          <w:rStyle w:val="8"/>
          <w:rFonts w:hint="eastAsia" w:ascii="宋体" w:hAnsi="宋体" w:eastAsia="宋体" w:cs="宋体"/>
          <w:color w:val="231F20"/>
          <w:kern w:val="0"/>
          <w:sz w:val="24"/>
          <w:szCs w:val="24"/>
          <w:lang w:val="en-US" w:eastAsia="zh-CN" w:bidi="ar"/>
        </w:rPr>
        <w:endnoteReference w:id="0"/>
      </w:r>
      <w:r>
        <w:rPr>
          <w:rStyle w:val="8"/>
          <w:rFonts w:hint="eastAsia" w:ascii="宋体" w:hAnsi="宋体" w:eastAsia="宋体" w:cs="宋体"/>
          <w:color w:val="231F20"/>
          <w:kern w:val="0"/>
          <w:sz w:val="24"/>
          <w:szCs w:val="24"/>
          <w:lang w:val="en-US" w:eastAsia="zh-CN" w:bidi="ar"/>
        </w:rPr>
        <w:t>]</w:t>
      </w:r>
    </w:p>
    <w:p w14:paraId="72BBA0B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both"/>
        <w:textAlignment w:val="auto"/>
        <w:rPr>
          <w:rFonts w:hint="eastAsia" w:ascii="黑体" w:hAnsi="黑体" w:eastAsia="黑体" w:cs="黑体"/>
          <w:color w:val="231F20"/>
          <w:kern w:val="0"/>
          <w:sz w:val="24"/>
          <w:szCs w:val="24"/>
          <w:lang w:val="en-US" w:eastAsia="zh-CN" w:bidi="ar"/>
        </w:rPr>
      </w:pPr>
      <w:r>
        <w:rPr>
          <w:rFonts w:hint="eastAsia" w:ascii="黑体" w:hAnsi="黑体" w:eastAsia="黑体" w:cs="黑体"/>
          <w:color w:val="231F20"/>
          <w:kern w:val="0"/>
          <w:sz w:val="24"/>
          <w:szCs w:val="24"/>
          <w:lang w:val="en-US" w:eastAsia="zh-CN" w:bidi="ar"/>
        </w:rPr>
        <w:t>（二）研究方法</w:t>
      </w:r>
    </w:p>
    <w:p w14:paraId="643B5F1D">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231F20"/>
          <w:kern w:val="0"/>
          <w:sz w:val="24"/>
          <w:szCs w:val="24"/>
          <w:lang w:val="en-US" w:eastAsia="zh-CN" w:bidi="ar"/>
        </w:rPr>
      </w:pPr>
      <w:r>
        <w:rPr>
          <w:rFonts w:hint="eastAsia" w:ascii="宋体" w:hAnsi="宋体" w:eastAsia="宋体" w:cs="宋体"/>
          <w:color w:val="231F20"/>
          <w:kern w:val="0"/>
          <w:sz w:val="24"/>
          <w:szCs w:val="24"/>
          <w:lang w:val="en-US" w:eastAsia="zh-CN" w:bidi="ar"/>
        </w:rPr>
        <w:t>系统分类典型GIS数据</w:t>
      </w:r>
    </w:p>
    <w:p w14:paraId="3E7BDFA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231F20"/>
          <w:kern w:val="0"/>
          <w:sz w:val="24"/>
          <w:szCs w:val="24"/>
          <w:lang w:val="en-US" w:eastAsia="zh-CN" w:bidi="ar"/>
        </w:rPr>
      </w:pPr>
      <w:r>
        <w:rPr>
          <w:rFonts w:hint="eastAsia" w:ascii="宋体" w:hAnsi="宋体" w:eastAsia="宋体" w:cs="宋体"/>
          <w:color w:val="231F20"/>
          <w:kern w:val="0"/>
          <w:sz w:val="24"/>
          <w:szCs w:val="24"/>
          <w:lang w:val="en-US" w:eastAsia="zh-CN" w:bidi="ar"/>
        </w:rPr>
        <w:t>在数据特征层面，采用夜间灯光遥感数据、手机信令数据、交通大数据、社交网络签到数据等 GIS时空数据；在数据尺度层面，应用细粒度的 GIS时空数据；在数据处理层面，使用各类GIS平台整合遥感影像、地图、统计数据和现场观测数据等多源异构数据。</w:t>
      </w:r>
    </w:p>
    <w:p w14:paraId="4ED7BA0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231F20"/>
          <w:sz w:val="24"/>
          <w:szCs w:val="24"/>
          <w:lang w:val="en-US" w:eastAsia="zh-CN" w:bidi="ar"/>
        </w:rPr>
      </w:pPr>
      <w:r>
        <w:rPr>
          <w:rFonts w:hint="eastAsia" w:ascii="宋体" w:hAnsi="宋体" w:eastAsia="宋体" w:cs="宋体"/>
          <w:color w:val="231F20"/>
          <w:kern w:val="0"/>
          <w:sz w:val="24"/>
          <w:szCs w:val="24"/>
          <w:lang w:val="en-US" w:eastAsia="zh-CN" w:bidi="ar"/>
        </w:rPr>
        <w:t>2.可视化</w:t>
      </w:r>
    </w:p>
    <w:p w14:paraId="300438E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firstLine="420" w:firstLineChars="0"/>
        <w:jc w:val="left"/>
        <w:textAlignment w:val="auto"/>
        <w:rPr>
          <w:rFonts w:hint="default" w:ascii="FZShuSong-Z01" w:hAnsi="FZShuSong-Z01" w:eastAsia="FZShuSong-Z01" w:cs="FZShuSong-Z01"/>
          <w:color w:val="231F20"/>
          <w:kern w:val="0"/>
          <w:sz w:val="20"/>
          <w:szCs w:val="20"/>
          <w:lang w:val="en-US" w:eastAsia="zh-CN" w:bidi="ar"/>
        </w:rPr>
      </w:pPr>
      <w:r>
        <w:rPr>
          <w:rFonts w:hint="eastAsia" w:ascii="宋体" w:hAnsi="宋体" w:eastAsia="宋体" w:cs="宋体"/>
          <w:color w:val="231F20"/>
          <w:sz w:val="24"/>
          <w:szCs w:val="24"/>
          <w:lang w:val="en-US" w:eastAsia="zh-CN" w:bidi="ar"/>
        </w:rPr>
        <w:t>有关GIS的可视化典型表现为在线地图与动态地图。在线地图通过 Web 平台实现数据的实时更新与服务共享，构建了公众参与和知识生产的开放空间；动态地图则通过整合时间维度，实现对社会现象演化机制的可视化推演。</w:t>
      </w:r>
    </w:p>
    <w:p w14:paraId="3A30ECC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28"/>
          <w:szCs w:val="28"/>
          <w:lang w:val="en-US"/>
        </w:rPr>
      </w:pPr>
      <w:r>
        <w:rPr>
          <w:rFonts w:hint="eastAsia" w:ascii="黑体" w:hAnsi="黑体" w:eastAsia="黑体" w:cs="黑体"/>
          <w:sz w:val="28"/>
          <w:szCs w:val="28"/>
          <w:lang w:val="en-US" w:eastAsia="zh-CN"/>
        </w:rPr>
        <w:t>（三）</w:t>
      </w:r>
      <w:r>
        <w:rPr>
          <w:rFonts w:hint="eastAsia" w:ascii="黑体" w:hAnsi="黑体" w:eastAsia="黑体" w:cs="黑体"/>
          <w:sz w:val="28"/>
          <w:szCs w:val="28"/>
          <w:lang w:val="en-US"/>
        </w:rPr>
        <w:t>结论</w:t>
      </w:r>
    </w:p>
    <w:p w14:paraId="68CCDEA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rPr>
      </w:pPr>
      <w:r>
        <w:rPr>
          <w:rFonts w:hint="eastAsia" w:ascii="宋体" w:hAnsi="宋体" w:eastAsia="宋体" w:cs="宋体"/>
          <w:sz w:val="24"/>
          <w:szCs w:val="24"/>
          <w:lang w:val="en-US"/>
        </w:rPr>
        <w:t>GIS空间分析在经济学、政治学、社会学等领域</w:t>
      </w:r>
      <w:r>
        <w:rPr>
          <w:rFonts w:hint="eastAsia" w:ascii="宋体" w:hAnsi="宋体" w:eastAsia="宋体" w:cs="宋体"/>
          <w:color w:val="231F20"/>
          <w:sz w:val="24"/>
          <w:szCs w:val="24"/>
          <w:lang w:val="en-US" w:eastAsia="zh-CN" w:bidi="ar"/>
        </w:rPr>
        <w:t>均被广泛应用。然而，GIS的应用也面临着一些难题，如数据与问题的匹配难题、方法与机制的整合困境、地点与尺度的情境错位等。</w:t>
      </w:r>
      <w:r>
        <w:rPr>
          <w:rFonts w:hint="eastAsia" w:ascii="宋体" w:hAnsi="宋体" w:eastAsia="宋体" w:cs="宋体"/>
          <w:sz w:val="24"/>
          <w:szCs w:val="24"/>
          <w:lang w:val="en-US" w:eastAsia="zh-CN"/>
        </w:rPr>
        <w:t>未来需要依托大模型构建协同范式推动空间分析向因果推断透明化发展，通过多源数据融合与“硅基样本”突破数据局限搭建“空间-调查”融合的认知基础设施，实现GIS从辅助工具向理论生成与机制解析核心引擎的跃升。</w:t>
      </w:r>
    </w:p>
    <w:p w14:paraId="B5AE94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lang w:val="en-US"/>
        </w:rPr>
      </w:pPr>
      <w:r>
        <w:rPr>
          <w:rFonts w:hint="eastAsia" w:ascii="黑体" w:hAnsi="黑体" w:eastAsia="黑体" w:cs="黑体"/>
          <w:sz w:val="24"/>
          <w:szCs w:val="24"/>
          <w:lang w:val="en-US" w:eastAsia="zh-CN"/>
        </w:rPr>
        <w:t>（四）分析、评价与感想</w:t>
      </w:r>
    </w:p>
    <w:p w14:paraId="5591D58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章的创新在于打破GIS“技术工具”的传统认知，提出将GIS作为“核心分析范式”来推动社会科学研究从“空间均质假设”向“时空异质性探索”转型。尤其针对当前融合的不足之处，提出了“大模型——空间分析”协同范式，为解决数据匹配、机制解释等难题提供了创新思路。</w:t>
      </w:r>
    </w:p>
    <w:p w14:paraId="24B8C508">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这篇文章最打动我的是其对空间分析“范式革新”的精准定位，它打破了我的固有思维，让我明白GIS不只是一个简单的绘图工具，它还可以深入社会科学研究内核、重塑其分析逻辑的核心框架。过去，我总认为编程语言、算法只是我们需要使用的工具，但是这篇研究让我深刻认识到语言和算法恰恰是我们最后的研究结果的根基，是对技术的更深层次理解与应用。本文用清晰的逻辑阐述，打通了应用工具与社会问题求解的壁垒，让我看到GIS技术是如何以一个崭新的身份为社会科学研究注入新活力。</w:t>
      </w:r>
    </w:p>
    <w:p w14:paraId="3845E64E">
      <w:pPr>
        <w:keepNext w:val="0"/>
        <w:keepLines w:val="0"/>
        <w:pageBreakBefore w:val="0"/>
        <w:numPr>
          <w:ilvl w:val="0"/>
          <w:numId w:val="1"/>
        </w:numPr>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文献阅读报告2：《基于多维云 GIS 的地质模型动态更新技术研究与应用》</w:t>
      </w:r>
    </w:p>
    <w:p w14:paraId="7277A800">
      <w:pPr>
        <w:keepNext w:val="0"/>
        <w:keepLines w:val="0"/>
        <w:pageBreakBefore w:val="0"/>
        <w:widowControl w:val="0"/>
        <w:numPr>
          <w:ilvl w:val="0"/>
          <w:numId w:val="0"/>
        </w:numPr>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sz w:val="18"/>
          <w:szCs w:val="18"/>
          <w:lang w:val="en-US" w:eastAsia="zh-CN"/>
        </w:rPr>
      </w:pPr>
    </w:p>
    <w:p w14:paraId="5E7DF188">
      <w:pPr>
        <w:keepNext w:val="0"/>
        <w:keepLines w:val="0"/>
        <w:pageBreakBefore w:val="0"/>
        <w:numPr>
          <w:ilvl w:val="0"/>
          <w:numId w:val="0"/>
        </w:numPr>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lang w:val="en-US" w:eastAsia="zh-CN"/>
        </w:rPr>
      </w:pPr>
      <w:r>
        <w:rPr>
          <w:rFonts w:hint="eastAsia" w:ascii="黑体" w:hAnsi="黑体" w:eastAsia="黑体" w:cs="黑体"/>
          <w:kern w:val="2"/>
          <w:sz w:val="24"/>
          <w:szCs w:val="24"/>
          <w:lang w:val="en-US" w:eastAsia="zh-CN" w:bidi="ar-SA"/>
        </w:rPr>
        <w:t>（一）</w:t>
      </w:r>
      <w:r>
        <w:rPr>
          <w:rFonts w:hint="eastAsia" w:ascii="黑体" w:hAnsi="黑体" w:eastAsia="黑体" w:cs="黑体"/>
          <w:sz w:val="24"/>
          <w:szCs w:val="24"/>
          <w:lang w:val="en-US" w:eastAsia="zh-CN"/>
        </w:rPr>
        <w:t>研究目的</w:t>
      </w:r>
    </w:p>
    <w:p w14:paraId="32CFA1C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为提升神东矿区地质模型的快速构建、高效存储及动态更新能力，基于多维云 GIS 研究并构建了一个集跨平台、分布式存储、云协同、二三维一体化的三维地质模型动态更新技术体系，统一融合、协同处理神东“矿区-矿井-工作面”三级架构的地质模型数据。</w:t>
      </w:r>
      <w:r>
        <w:rPr>
          <w:rStyle w:val="8"/>
          <w:rFonts w:hint="eastAsia" w:ascii="宋体" w:hAnsi="宋体" w:eastAsia="宋体" w:cs="宋体"/>
          <w:color w:val="000000"/>
          <w:kern w:val="0"/>
          <w:sz w:val="24"/>
          <w:szCs w:val="24"/>
          <w:lang w:val="en-US" w:eastAsia="zh-CN" w:bidi="ar"/>
        </w:rPr>
        <w:t>[</w:t>
      </w:r>
      <w:r>
        <w:rPr>
          <w:rStyle w:val="8"/>
          <w:rFonts w:hint="eastAsia" w:ascii="宋体" w:hAnsi="宋体" w:eastAsia="宋体" w:cs="宋体"/>
          <w:color w:val="000000"/>
          <w:kern w:val="0"/>
          <w:sz w:val="24"/>
          <w:szCs w:val="24"/>
          <w:lang w:val="en-US" w:eastAsia="zh-CN" w:bidi="ar"/>
        </w:rPr>
        <w:endnoteReference w:id="1"/>
      </w:r>
      <w:r>
        <w:rPr>
          <w:rStyle w:val="8"/>
          <w:rFonts w:hint="eastAsia" w:ascii="宋体" w:hAnsi="宋体" w:eastAsia="宋体" w:cs="宋体"/>
          <w:color w:val="000000"/>
          <w:kern w:val="0"/>
          <w:sz w:val="24"/>
          <w:szCs w:val="24"/>
          <w:lang w:val="en-US" w:eastAsia="zh-CN" w:bidi="ar"/>
        </w:rPr>
        <w:t>]</w:t>
      </w:r>
    </w:p>
    <w:p w14:paraId="706CC05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（二）研究方法</w:t>
      </w:r>
    </w:p>
    <w:p w14:paraId="203F616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1.多级约束地质建模体系</w:t>
      </w:r>
    </w:p>
    <w:p w14:paraId="2FB60D1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多级约束地质建模体系中利用大层模型作为约束框架，在约束框架下构建更加精细划分的亚层、小层或者岩性模型，对于不同级别的模型采用不同尺度进行空间网格剖分，通过数据与模型的迭代动态更新，不断提高模型数精度。</w:t>
      </w:r>
    </w:p>
    <w:p w14:paraId="3077C3B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2.地质模型动态更新</w:t>
      </w:r>
    </w:p>
    <w:p w14:paraId="20D4863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随着煤矿的钻孔勘探、物探、巷道掘进、回采剖面写实等生产活动获取的最新地质时空数据，调用多维云 GIS 平台分布式计算 GIS 服务，通过决多种数据类型导入、拓扑关系分析、平剖对应、场景位置分析、膨胀搜索、空间插值、平滑过渡等一系列专业算法的分析与处理，实现多源数据的融合与地质模型的局部动态更新。</w:t>
      </w:r>
    </w:p>
    <w:p w14:paraId="0C0A8A4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000000"/>
          <w:kern w:val="0"/>
          <w:sz w:val="24"/>
          <w:szCs w:val="24"/>
          <w:lang w:val="en-US" w:eastAsia="zh-CN" w:bidi="ar"/>
        </w:rPr>
      </w:pPr>
      <w:r>
        <w:rPr>
          <w:rFonts w:hint="eastAsia" w:ascii="黑体" w:hAnsi="黑体" w:eastAsia="黑体" w:cs="黑体"/>
          <w:color w:val="000000"/>
          <w:kern w:val="0"/>
          <w:sz w:val="24"/>
          <w:szCs w:val="24"/>
          <w:lang w:val="en-US" w:eastAsia="zh-CN" w:bidi="ar"/>
        </w:rPr>
        <w:t>（三）结论</w:t>
      </w:r>
    </w:p>
    <w:p w14:paraId="5AA2BA9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本文构建基于多维云GIS的地质模型动态更新技术体系，解决煤矿地质数据存储难、融合差、更新慢等问题，创新多级约束建模、复杂构造TIN生成、半边结构膨胀搜索等关键技术，提升模型构建精度与更新效率。应用于神东矿区后，各级模型更新高效响应，实现二三维同步更新与可视化共享，为煤矿透明地质保障及智能化采掘提供核心技术支撑。</w:t>
      </w:r>
    </w:p>
    <w:p w14:paraId="413B1A37">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lang w:val="en-US"/>
        </w:rPr>
      </w:pPr>
      <w:r>
        <w:rPr>
          <w:rFonts w:hint="eastAsia" w:ascii="黑体" w:hAnsi="黑体" w:eastAsia="黑体" w:cs="黑体"/>
          <w:sz w:val="24"/>
          <w:szCs w:val="24"/>
          <w:lang w:val="en-US" w:eastAsia="zh-CN"/>
        </w:rPr>
        <w:t>（四）分析、评价与感想</w:t>
      </w:r>
    </w:p>
    <w:p w14:paraId="1379AC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文章根据煤矿智能化建设核心需求，为解决地质模型数据孤岛、更新低效等难题，构建多维云GIS技术体系精准适配“矿区-矿井-工作面”三级应用场景。此技术体系既填补了复杂地质构造下动态建模的技术空白，又为透明地质保障系统建设提供了解决方案，具有理论创新性与工程实践价值，对推动煤矿地质建模技术智能化升级有着重大意义。</w:t>
      </w:r>
    </w:p>
    <w:p w14:paraId="3674F5D8">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文中令我感触最深的是技术创新对传统行业升级的颠覆性力量。如图1、2，研究结合神东矿区的地质资料及生产环境制作了相关模型来对地质状态进行实时更新与动态分析。过去煤矿地质建模受限于数据割裂、更新滞后，难以支撑智能化采掘需求，而本文构建的多维云GIS技术体系，通过云存储、协同处理等技术，让海量地质数据“活起来”，让地质模型“动起来”，改变了传统地质建模的静态模式。</w:t>
      </w:r>
    </w:p>
    <w:p w14:paraId="4C04E70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128010" cy="1511935"/>
            <wp:effectExtent l="0" t="0" r="11430" b="1206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9"/>
                    <a:stretch>
                      <a:fillRect/>
                    </a:stretch>
                  </pic:blipFill>
                  <pic:spPr>
                    <a:xfrm>
                      <a:off x="0" y="0"/>
                      <a:ext cx="3128010" cy="1511935"/>
                    </a:xfrm>
                    <a:prstGeom prst="rect">
                      <a:avLst/>
                    </a:prstGeom>
                    <a:noFill/>
                    <a:ln>
                      <a:noFill/>
                    </a:ln>
                  </pic:spPr>
                </pic:pic>
              </a:graphicData>
            </a:graphic>
          </wp:inline>
        </w:drawing>
      </w:r>
    </w:p>
    <w:p w14:paraId="174F6D1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图1 矿区高精度地质模型示意图</w:t>
      </w:r>
    </w:p>
    <w:p w14:paraId="49F7B70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drawing>
          <wp:inline distT="0" distB="0" distL="114300" distR="114300">
            <wp:extent cx="3079115" cy="1551305"/>
            <wp:effectExtent l="0" t="0" r="14605" b="317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0"/>
                    <a:stretch>
                      <a:fillRect/>
                    </a:stretch>
                  </pic:blipFill>
                  <pic:spPr>
                    <a:xfrm>
                      <a:off x="0" y="0"/>
                      <a:ext cx="3079115" cy="1551305"/>
                    </a:xfrm>
                    <a:prstGeom prst="rect">
                      <a:avLst/>
                    </a:prstGeom>
                    <a:noFill/>
                    <a:ln>
                      <a:noFill/>
                    </a:ln>
                  </pic:spPr>
                </pic:pic>
              </a:graphicData>
            </a:graphic>
          </wp:inline>
        </w:drawing>
      </w:r>
    </w:p>
    <w:p w14:paraId="17B906E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图2矿区含水层几何模型示意图</w:t>
      </w:r>
    </w:p>
    <w:p w14:paraId="2E2E487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（图片来源：</w:t>
      </w:r>
      <w:r>
        <w:rPr>
          <w:rFonts w:hint="eastAsia" w:ascii="宋体" w:hAnsi="宋体" w:eastAsia="宋体" w:cs="宋体"/>
          <w:sz w:val="24"/>
          <w:szCs w:val="24"/>
          <w:lang w:val="en-US" w:eastAsia="zh-CN"/>
        </w:rPr>
        <w:t>孟永兵.基于多维云 GIS 的地质模型动态更新技术研究与应用</w:t>
      </w:r>
      <w:r>
        <w:rPr>
          <w:rFonts w:hint="eastAsia" w:ascii="宋体" w:hAnsi="宋体" w:eastAsia="宋体" w:cs="宋体"/>
          <w:color w:val="000000"/>
          <w:kern w:val="0"/>
          <w:sz w:val="24"/>
          <w:szCs w:val="24"/>
          <w:lang w:val="en-US" w:eastAsia="zh-CN" w:bidi="ar"/>
        </w:rPr>
        <w:t>）</w:t>
      </w:r>
    </w:p>
    <w:p w14:paraId="4599319A">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黑体" w:hAnsi="黑体" w:eastAsia="黑体" w:cs="黑体"/>
          <w:color w:val="000000"/>
          <w:sz w:val="32"/>
          <w:szCs w:val="32"/>
          <w:lang w:val="en-US" w:eastAsia="zh-CN" w:bidi="ar"/>
        </w:rPr>
      </w:pPr>
      <w:r>
        <w:rPr>
          <w:rFonts w:hint="eastAsia" w:ascii="黑体" w:hAnsi="黑体" w:eastAsia="黑体" w:cs="黑体"/>
          <w:color w:val="000000"/>
          <w:sz w:val="32"/>
          <w:szCs w:val="32"/>
          <w:lang w:val="en-US" w:eastAsia="zh-CN" w:bidi="ar"/>
        </w:rPr>
        <w:t>文献阅读报告3：《基于 GIS 的龙凤湿地省级自然保护区生态敏感性评价》</w:t>
      </w:r>
    </w:p>
    <w:p w14:paraId="439F1624">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both"/>
        <w:textAlignment w:val="auto"/>
        <w:rPr>
          <w:rFonts w:hint="eastAsia" w:ascii="黑体" w:hAnsi="黑体" w:eastAsia="黑体" w:cs="黑体"/>
          <w:color w:val="000000"/>
          <w:sz w:val="18"/>
          <w:szCs w:val="18"/>
          <w:lang w:val="en-US" w:eastAsia="zh-CN" w:bidi="ar"/>
        </w:rPr>
      </w:pPr>
    </w:p>
    <w:p w14:paraId="9892225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color w:val="000000"/>
          <w:sz w:val="24"/>
          <w:szCs w:val="24"/>
          <w:lang w:val="en-US" w:eastAsia="zh-CN" w:bidi="ar"/>
        </w:rPr>
      </w:pPr>
      <w:r>
        <w:rPr>
          <w:rFonts w:hint="eastAsia" w:ascii="黑体" w:hAnsi="黑体" w:eastAsia="黑体" w:cs="黑体"/>
          <w:color w:val="000000"/>
          <w:sz w:val="24"/>
          <w:szCs w:val="24"/>
          <w:lang w:val="en-US" w:eastAsia="zh-CN" w:bidi="ar"/>
        </w:rPr>
        <w:t>（一）研究目的</w:t>
      </w:r>
    </w:p>
    <w:p w14:paraId="117BB2D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本研究结合层次分析法和 GIS 空间分析法，以可持续发展理论为基础，构建龙凤湿地自然保护区的生态敏感性评价体系，丰富对湿地景观方面的保护与研究，拓宽湿地生态系统的研究视角，为湿地保护区的相关研究提供参考，对解决湿地自然保护区内潜在的问题并进行合理规划具有重要的意义。</w:t>
      </w:r>
      <w:r>
        <w:rPr>
          <w:rStyle w:val="8"/>
          <w:rFonts w:hint="eastAsia" w:ascii="宋体" w:hAnsi="宋体" w:eastAsia="宋体" w:cs="宋体"/>
          <w:color w:val="000000"/>
          <w:sz w:val="24"/>
          <w:szCs w:val="24"/>
        </w:rPr>
        <w:t>[</w:t>
      </w:r>
      <w:r>
        <w:rPr>
          <w:rStyle w:val="8"/>
          <w:rFonts w:hint="eastAsia" w:ascii="宋体" w:hAnsi="宋体" w:eastAsia="宋体" w:cs="宋体"/>
          <w:color w:val="000000"/>
          <w:sz w:val="24"/>
          <w:szCs w:val="24"/>
        </w:rPr>
        <w:endnoteReference w:id="2"/>
      </w:r>
      <w:r>
        <w:rPr>
          <w:rStyle w:val="8"/>
          <w:rFonts w:hint="eastAsia" w:ascii="宋体" w:hAnsi="宋体" w:eastAsia="宋体" w:cs="宋体"/>
          <w:color w:val="000000"/>
          <w:sz w:val="24"/>
          <w:szCs w:val="24"/>
        </w:rPr>
        <w:t>]</w:t>
      </w:r>
    </w:p>
    <w:p w14:paraId="CEB5F2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rPr>
      </w:pPr>
      <w:r>
        <w:rPr>
          <w:rFonts w:hint="eastAsia" w:ascii="黑体" w:hAnsi="黑体" w:eastAsia="黑体" w:cs="黑体"/>
          <w:color w:val="000000"/>
          <w:sz w:val="24"/>
          <w:szCs w:val="24"/>
        </w:rPr>
        <w:t>（二）研究方法</w:t>
      </w:r>
    </w:p>
    <w:p w14:paraId="F777E88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1.数据处理</w:t>
      </w:r>
    </w:p>
    <w:p w14:paraId="045E7D4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将研究区DE</w:t>
      </w:r>
      <w:r>
        <w:rPr>
          <w:rFonts w:hint="eastAsia" w:ascii="宋体" w:hAnsi="宋体" w:eastAsia="宋体" w:cs="宋体"/>
          <w:color w:val="000000"/>
          <w:sz w:val="24"/>
          <w:szCs w:val="24"/>
          <w:lang w:val="en-US" w:eastAsia="zh-CN"/>
        </w:rPr>
        <w:t>M</w:t>
      </w:r>
      <w:r>
        <w:rPr>
          <w:rFonts w:hint="eastAsia" w:ascii="宋体" w:hAnsi="宋体" w:eastAsia="宋体" w:cs="宋体"/>
          <w:color w:val="000000"/>
          <w:sz w:val="24"/>
          <w:szCs w:val="24"/>
        </w:rPr>
        <w:t>数据和土地覆盖数据在ArcGIS10.8软件中按投影转换、裁剪、重分类等步骤，生成空间分析的矢量结果和统计分析的数量结果。</w:t>
      </w:r>
    </w:p>
    <w:p w14:paraId="689FBEC3">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2.生态敏感性评价体系</w:t>
      </w:r>
    </w:p>
    <w:p w14:paraId="BC2B2024">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color w:val="000000"/>
          <w:sz w:val="24"/>
          <w:szCs w:val="24"/>
        </w:rPr>
        <w:t>该研究采用“指标构建-权重确定-数据处理-综合评价”的简化流程构建生态敏感性评价体系：先结合龙凤湿地特征，选取地理、环境、人为三大类共8项评价指标；再通过层次分析法（AHP）确定各指标权重并检验合理性；</w:t>
      </w:r>
      <w:r>
        <w:rPr>
          <w:rFonts w:hint="eastAsia" w:ascii="宋体" w:hAnsi="宋体" w:eastAsia="宋体" w:cs="宋体"/>
          <w:color w:val="000000"/>
          <w:sz w:val="24"/>
          <w:szCs w:val="24"/>
          <w:lang w:val="en-US" w:eastAsia="zh-CN"/>
        </w:rPr>
        <w:t>接着</w:t>
      </w:r>
      <w:r>
        <w:rPr>
          <w:rFonts w:hint="eastAsia" w:ascii="宋体" w:hAnsi="宋体" w:eastAsia="宋体" w:cs="宋体"/>
          <w:color w:val="000000"/>
          <w:sz w:val="24"/>
          <w:szCs w:val="24"/>
        </w:rPr>
        <w:t>收集相关数据，经预处理与标准化分级后，借助GIS空间分析技术将各指标按权重算术叠加，最终完成综合生态敏感性评价与敏感区域划分。</w:t>
      </w:r>
    </w:p>
    <w:p w14:paraId="3FA158B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黑体" w:hAnsi="黑体" w:eastAsia="黑体" w:cs="黑体"/>
          <w:sz w:val="24"/>
          <w:szCs w:val="24"/>
        </w:rPr>
      </w:pPr>
      <w:r>
        <w:rPr>
          <w:rFonts w:hint="eastAsia" w:ascii="黑体" w:hAnsi="黑体" w:eastAsia="黑体" w:cs="黑体"/>
          <w:color w:val="000000"/>
          <w:sz w:val="24"/>
          <w:szCs w:val="24"/>
        </w:rPr>
        <w:t>（三）结论</w:t>
      </w:r>
    </w:p>
    <w:p w14:paraId="0D398EF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color w:val="000000"/>
          <w:sz w:val="24"/>
          <w:szCs w:val="24"/>
        </w:rPr>
      </w:pPr>
      <w:r>
        <w:rPr>
          <w:rFonts w:hint="eastAsia" w:ascii="宋体" w:hAnsi="宋体" w:eastAsia="宋体" w:cs="宋体"/>
          <w:color w:val="000000"/>
          <w:kern w:val="0"/>
          <w:sz w:val="24"/>
          <w:szCs w:val="24"/>
          <w:lang w:val="en-US" w:eastAsia="zh-CN" w:bidi="ar"/>
        </w:rPr>
        <w:t>研究表明，龙凤湿地省级自然保护区生态极高敏感区面积占比为14.1%，主要分布在研究区中部的湿地与水体；比较敏感区域面积占比为46.4%，主要分布在湿地水体四周区域；不敏感区域面积占比为39.5%，主要分布在保护区边缘。</w:t>
      </w:r>
    </w:p>
    <w:p w14:paraId="2EC38953">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000000"/>
          <w:sz w:val="24"/>
          <w:szCs w:val="24"/>
        </w:rPr>
      </w:pPr>
      <w:r>
        <w:rPr>
          <w:rFonts w:hint="eastAsia" w:ascii="黑体" w:hAnsi="黑体" w:eastAsia="黑体" w:cs="黑体"/>
          <w:color w:val="000000"/>
          <w:sz w:val="24"/>
          <w:szCs w:val="24"/>
          <w:lang w:eastAsia="zh-CN"/>
        </w:rPr>
        <w:t>（</w:t>
      </w:r>
      <w:r>
        <w:rPr>
          <w:rFonts w:hint="eastAsia" w:ascii="黑体" w:hAnsi="黑体" w:eastAsia="黑体" w:cs="黑体"/>
          <w:color w:val="000000"/>
          <w:sz w:val="24"/>
          <w:szCs w:val="24"/>
          <w:lang w:val="en-US" w:eastAsia="zh-CN"/>
        </w:rPr>
        <w:t>四</w:t>
      </w:r>
      <w:r>
        <w:rPr>
          <w:rFonts w:hint="eastAsia" w:ascii="黑体" w:hAnsi="黑体" w:eastAsia="黑体" w:cs="黑体"/>
          <w:color w:val="000000"/>
          <w:sz w:val="24"/>
          <w:szCs w:val="24"/>
          <w:lang w:eastAsia="zh-CN"/>
        </w:rPr>
        <w:t>）</w:t>
      </w:r>
      <w:r>
        <w:rPr>
          <w:rFonts w:hint="eastAsia" w:ascii="黑体" w:hAnsi="黑体" w:eastAsia="黑体" w:cs="黑体"/>
          <w:color w:val="000000"/>
          <w:sz w:val="24"/>
          <w:szCs w:val="24"/>
        </w:rPr>
        <w:t>分析评价与感想</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rPr>
        <w:t>该研究聚焦湿地生态保护与规划核心需求，构建了地理、环境、人为三大类8项指标的评价体系，通过层次分析法</w:t>
      </w:r>
      <w:r>
        <w:rPr>
          <w:rFonts w:hint="eastAsia" w:ascii="宋体" w:hAnsi="宋体" w:eastAsia="宋体" w:cs="宋体"/>
          <w:color w:val="000000"/>
          <w:sz w:val="24"/>
          <w:szCs w:val="24"/>
          <w:lang w:val="en-US" w:eastAsia="zh-CN"/>
        </w:rPr>
        <w:t>来</w:t>
      </w:r>
      <w:r>
        <w:rPr>
          <w:rFonts w:hint="eastAsia" w:ascii="宋体" w:hAnsi="宋体" w:eastAsia="宋体" w:cs="宋体"/>
          <w:color w:val="000000"/>
          <w:sz w:val="24"/>
          <w:szCs w:val="24"/>
        </w:rPr>
        <w:t>确定指标权重</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结合GIS空间分析实现</w:t>
      </w:r>
      <w:r>
        <w:rPr>
          <w:rFonts w:hint="eastAsia" w:ascii="宋体" w:hAnsi="宋体" w:eastAsia="宋体" w:cs="宋体"/>
          <w:color w:val="000000"/>
          <w:sz w:val="24"/>
          <w:szCs w:val="24"/>
          <w:lang w:val="en-US" w:eastAsia="zh-CN"/>
        </w:rPr>
        <w:t>了</w:t>
      </w:r>
      <w:r>
        <w:rPr>
          <w:rFonts w:hint="eastAsia" w:ascii="宋体" w:hAnsi="宋体" w:eastAsia="宋体" w:cs="宋体"/>
          <w:color w:val="000000"/>
          <w:sz w:val="24"/>
          <w:szCs w:val="24"/>
        </w:rPr>
        <w:t>敏感区可视化划分，解决了传统评价空间规律难呈现的问题。研究明确了龙凤湿地敏感区</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分布特征与核心影响因子，为保护区功能分区、生态保育提供了数据支撑。</w:t>
      </w:r>
      <w:r>
        <w:rPr>
          <w:rFonts w:hint="eastAsia" w:ascii="宋体" w:hAnsi="宋体" w:eastAsia="宋体" w:cs="宋体"/>
          <w:color w:val="000000"/>
          <w:sz w:val="24"/>
          <w:szCs w:val="24"/>
        </w:rPr>
        <w:br w:type="textWrapping"/>
      </w:r>
      <w:r>
        <w:rPr>
          <w:rFonts w:hint="eastAsia" w:ascii="宋体" w:hAnsi="宋体" w:eastAsia="宋体" w:cs="宋体"/>
          <w:color w:val="000000"/>
          <w:sz w:val="24"/>
          <w:szCs w:val="24"/>
          <w:lang w:val="en-US" w:eastAsia="zh-CN"/>
        </w:rPr>
        <w:tab/>
      </w:r>
      <w:r>
        <w:rPr>
          <w:rFonts w:hint="eastAsia" w:ascii="宋体" w:hAnsi="宋体" w:eastAsia="宋体" w:cs="宋体"/>
          <w:color w:val="000000"/>
          <w:sz w:val="24"/>
          <w:szCs w:val="24"/>
        </w:rPr>
        <w:t>通</w:t>
      </w:r>
      <w:r>
        <w:rPr>
          <w:rFonts w:hint="eastAsia" w:ascii="宋体" w:hAnsi="宋体" w:eastAsia="宋体" w:cs="宋体"/>
          <w:color w:val="000000"/>
          <w:sz w:val="24"/>
          <w:szCs w:val="24"/>
          <w:lang w:val="en-US" w:eastAsia="zh-CN"/>
        </w:rPr>
        <w:t>过阅读本文，</w:t>
      </w:r>
      <w:r>
        <w:rPr>
          <w:rFonts w:hint="eastAsia" w:ascii="宋体" w:hAnsi="宋体" w:eastAsia="宋体" w:cs="宋体"/>
          <w:color w:val="000000"/>
          <w:sz w:val="24"/>
          <w:szCs w:val="24"/>
        </w:rPr>
        <w:t>我真切</w:t>
      </w:r>
      <w:r>
        <w:rPr>
          <w:rFonts w:hint="eastAsia" w:ascii="宋体" w:hAnsi="宋体" w:eastAsia="宋体" w:cs="宋体"/>
          <w:color w:val="000000"/>
          <w:sz w:val="24"/>
          <w:szCs w:val="24"/>
          <w:lang w:val="en-US" w:eastAsia="zh-CN"/>
        </w:rPr>
        <w:t>地</w:t>
      </w:r>
      <w:r>
        <w:rPr>
          <w:rFonts w:hint="eastAsia" w:ascii="宋体" w:hAnsi="宋体" w:eastAsia="宋体" w:cs="宋体"/>
          <w:color w:val="000000"/>
          <w:sz w:val="24"/>
          <w:szCs w:val="24"/>
        </w:rPr>
        <w:t>感受到</w:t>
      </w:r>
      <w:r>
        <w:rPr>
          <w:rFonts w:hint="eastAsia" w:ascii="宋体" w:hAnsi="宋体" w:eastAsia="宋体" w:cs="宋体"/>
          <w:color w:val="000000"/>
          <w:sz w:val="24"/>
          <w:szCs w:val="24"/>
          <w:lang w:val="en-US" w:eastAsia="zh-CN"/>
        </w:rPr>
        <w:t>了</w:t>
      </w:r>
      <w:r>
        <w:rPr>
          <w:rFonts w:hint="eastAsia" w:ascii="宋体" w:hAnsi="宋体" w:eastAsia="宋体" w:cs="宋体"/>
          <w:color w:val="000000"/>
          <w:sz w:val="24"/>
          <w:szCs w:val="24"/>
        </w:rPr>
        <w:t>GIS技术在生态保护中的实用价值</w:t>
      </w:r>
      <w:r>
        <w:rPr>
          <w:rFonts w:hint="eastAsia" w:ascii="宋体" w:hAnsi="宋体" w:eastAsia="宋体" w:cs="宋体"/>
          <w:color w:val="000000"/>
          <w:sz w:val="24"/>
          <w:szCs w:val="24"/>
          <w:lang w:val="en-US" w:eastAsia="zh-CN"/>
        </w:rPr>
        <w:t>与巨大作用</w:t>
      </w:r>
      <w:r>
        <w:rPr>
          <w:rFonts w:hint="eastAsia" w:ascii="宋体" w:hAnsi="宋体" w:eastAsia="宋体" w:cs="宋体"/>
          <w:color w:val="000000"/>
          <w:sz w:val="24"/>
          <w:szCs w:val="24"/>
        </w:rPr>
        <w:t>。以往</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rPr>
        <w:t>湿地保护</w:t>
      </w:r>
      <w:r>
        <w:rPr>
          <w:rFonts w:hint="eastAsia" w:ascii="宋体" w:hAnsi="宋体" w:eastAsia="宋体" w:cs="宋体"/>
          <w:color w:val="000000"/>
          <w:sz w:val="24"/>
          <w:szCs w:val="24"/>
          <w:lang w:val="en-US" w:eastAsia="zh-CN"/>
        </w:rPr>
        <w:t>大多描述笼统，缺乏准确性</w:t>
      </w:r>
      <w:r>
        <w:rPr>
          <w:rFonts w:hint="eastAsia" w:ascii="宋体" w:hAnsi="宋体" w:eastAsia="宋体" w:cs="宋体"/>
          <w:color w:val="000000"/>
          <w:sz w:val="24"/>
          <w:szCs w:val="24"/>
        </w:rPr>
        <w:t>，而该研究通过多源数据融合、空间叠加分析</w:t>
      </w:r>
      <w:r>
        <w:rPr>
          <w:rFonts w:hint="eastAsia" w:ascii="宋体" w:hAnsi="宋体" w:eastAsia="宋体" w:cs="宋体"/>
          <w:color w:val="000000"/>
          <w:sz w:val="24"/>
          <w:szCs w:val="24"/>
          <w:lang w:val="en-US" w:eastAsia="zh-CN"/>
        </w:rPr>
        <w:t>等手段</w:t>
      </w:r>
      <w:r>
        <w:rPr>
          <w:rFonts w:hint="eastAsia" w:ascii="宋体" w:hAnsi="宋体" w:eastAsia="宋体" w:cs="宋体"/>
          <w:color w:val="000000"/>
          <w:sz w:val="24"/>
          <w:szCs w:val="24"/>
        </w:rPr>
        <w:t>将抽象的生态敏感性转化为直观的区域分布图谱</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如图3</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w:t>
      </w:r>
      <w:r>
        <w:rPr>
          <w:rFonts w:hint="eastAsia" w:ascii="宋体" w:hAnsi="宋体" w:eastAsia="宋体" w:cs="宋体"/>
          <w:color w:val="000000"/>
          <w:sz w:val="24"/>
          <w:szCs w:val="24"/>
          <w:lang w:val="en-US" w:eastAsia="zh-CN"/>
        </w:rPr>
        <w:t>并将</w:t>
      </w:r>
      <w:r>
        <w:rPr>
          <w:rFonts w:hint="eastAsia" w:ascii="宋体" w:hAnsi="宋体" w:eastAsia="宋体" w:cs="宋体"/>
          <w:color w:val="000000"/>
          <w:kern w:val="0"/>
          <w:sz w:val="24"/>
          <w:szCs w:val="24"/>
          <w:lang w:val="en-US" w:eastAsia="zh-CN" w:bidi="ar"/>
        </w:rPr>
        <w:t>龙凤湿地省级自然保护区单因子生态敏感性面积占比整理成表格（如表1），</w:t>
      </w:r>
      <w:r>
        <w:rPr>
          <w:rFonts w:hint="eastAsia" w:ascii="宋体" w:hAnsi="宋体" w:eastAsia="宋体" w:cs="宋体"/>
          <w:color w:val="000000"/>
          <w:sz w:val="24"/>
          <w:szCs w:val="24"/>
        </w:rPr>
        <w:t>让保护重点与开发边界清晰可辨。同时，我</w:t>
      </w:r>
      <w:r>
        <w:rPr>
          <w:rFonts w:hint="eastAsia" w:ascii="宋体" w:hAnsi="宋体" w:eastAsia="宋体" w:cs="宋体"/>
          <w:color w:val="000000"/>
          <w:sz w:val="24"/>
          <w:szCs w:val="24"/>
          <w:lang w:val="en-US" w:eastAsia="zh-CN"/>
        </w:rPr>
        <w:t>也</w:t>
      </w:r>
      <w:r>
        <w:rPr>
          <w:rFonts w:hint="eastAsia" w:ascii="宋体" w:hAnsi="宋体" w:eastAsia="宋体" w:cs="宋体"/>
          <w:color w:val="000000"/>
          <w:sz w:val="24"/>
          <w:szCs w:val="24"/>
        </w:rPr>
        <w:t>明白</w:t>
      </w:r>
      <w:r>
        <w:rPr>
          <w:rFonts w:hint="eastAsia" w:ascii="宋体" w:hAnsi="宋体" w:eastAsia="宋体" w:cs="宋体"/>
          <w:color w:val="000000"/>
          <w:sz w:val="24"/>
          <w:szCs w:val="24"/>
          <w:lang w:val="en-US" w:eastAsia="zh-CN"/>
        </w:rPr>
        <w:t>了</w:t>
      </w:r>
      <w:r>
        <w:rPr>
          <w:rFonts w:hint="eastAsia" w:ascii="宋体" w:hAnsi="宋体" w:eastAsia="宋体" w:cs="宋体"/>
          <w:color w:val="000000"/>
          <w:sz w:val="24"/>
          <w:szCs w:val="24"/>
        </w:rPr>
        <w:t>生态研究需兼顾科学与实用</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既要贴合研究区实际选指标，又要通过技术让成果转化为可操作的建议，这</w:t>
      </w:r>
      <w:r>
        <w:rPr>
          <w:rFonts w:hint="eastAsia" w:ascii="宋体" w:hAnsi="宋体" w:eastAsia="宋体" w:cs="宋体"/>
          <w:color w:val="000000"/>
          <w:sz w:val="24"/>
          <w:szCs w:val="24"/>
          <w:lang w:val="en-US" w:eastAsia="zh-CN"/>
        </w:rPr>
        <w:t>对我今后的学习和研究有很大的启发</w:t>
      </w:r>
      <w:r>
        <w:rPr>
          <w:rFonts w:hint="eastAsia" w:ascii="宋体" w:hAnsi="宋体" w:eastAsia="宋体" w:cs="宋体"/>
          <w:color w:val="000000"/>
          <w:sz w:val="24"/>
          <w:szCs w:val="24"/>
        </w:rPr>
        <w:t>。</w:t>
      </w:r>
    </w:p>
    <w:p w14:paraId="05D6D46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715260" cy="1843405"/>
            <wp:effectExtent l="0" t="0" r="12700" b="63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1"/>
                    <a:stretch>
                      <a:fillRect/>
                    </a:stretch>
                  </pic:blipFill>
                  <pic:spPr>
                    <a:xfrm>
                      <a:off x="0" y="0"/>
                      <a:ext cx="2715260" cy="1843405"/>
                    </a:xfrm>
                    <a:prstGeom prst="rect">
                      <a:avLst/>
                    </a:prstGeom>
                    <a:noFill/>
                    <a:ln>
                      <a:noFill/>
                    </a:ln>
                  </pic:spPr>
                </pic:pic>
              </a:graphicData>
            </a:graphic>
          </wp:inline>
        </w:drawing>
      </w:r>
    </w:p>
    <w:p w14:paraId="33F379C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sz w:val="24"/>
          <w:szCs w:val="24"/>
          <w:lang w:val="en-US" w:eastAsia="zh-CN"/>
        </w:rPr>
        <w:t xml:space="preserve">图3 </w:t>
      </w:r>
      <w:r>
        <w:rPr>
          <w:rFonts w:hint="eastAsia" w:ascii="宋体" w:hAnsi="宋体" w:eastAsia="宋体" w:cs="宋体"/>
          <w:color w:val="000000"/>
          <w:kern w:val="0"/>
          <w:sz w:val="24"/>
          <w:szCs w:val="24"/>
          <w:lang w:val="en-US" w:eastAsia="zh-CN" w:bidi="ar"/>
        </w:rPr>
        <w:t>龙凤湿地省级自然保护区综合生态敏感性分析</w:t>
      </w:r>
    </w:p>
    <w:p w14:paraId="4894C10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（图片、表格来源：</w:t>
      </w:r>
      <w:r>
        <w:rPr>
          <w:rFonts w:hint="eastAsia" w:ascii="宋体" w:hAnsi="宋体" w:eastAsia="宋体" w:cs="宋体"/>
          <w:sz w:val="24"/>
          <w:szCs w:val="24"/>
          <w:lang w:val="en-US" w:eastAsia="zh-CN"/>
        </w:rPr>
        <w:t>朱冕轩,张廷,胡海辉.基于GIS的龙凤湿地省级自然保护区生态敏感性评价</w:t>
      </w:r>
      <w:r>
        <w:rPr>
          <w:rFonts w:hint="eastAsia" w:ascii="宋体" w:hAnsi="宋体" w:eastAsia="宋体" w:cs="宋体"/>
          <w:color w:val="000000"/>
          <w:kern w:val="0"/>
          <w:sz w:val="24"/>
          <w:szCs w:val="24"/>
          <w:lang w:val="en-US" w:eastAsia="zh-CN" w:bidi="ar"/>
        </w:rPr>
        <w:t>）</w:t>
      </w:r>
    </w:p>
    <w:p w14:paraId="46404C3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表1龙凤湿地省级自然保护区单因子生态敏感性面积占比</w:t>
      </w:r>
    </w:p>
    <w:p w14:paraId="166D32F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auto"/>
        <w:ind w:leftChars="0" w:firstLine="480" w:firstLineChars="20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rPr>
        <w:drawing>
          <wp:inline distT="0" distB="0" distL="114300" distR="114300">
            <wp:extent cx="5271135" cy="1517015"/>
            <wp:effectExtent l="0" t="0" r="1905" b="698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2"/>
                    <a:stretch>
                      <a:fillRect/>
                    </a:stretch>
                  </pic:blipFill>
                  <pic:spPr>
                    <a:xfrm>
                      <a:off x="0" y="0"/>
                      <a:ext cx="5271135" cy="1517015"/>
                    </a:xfrm>
                    <a:prstGeom prst="rect">
                      <a:avLst/>
                    </a:prstGeom>
                    <a:noFill/>
                    <a:ln>
                      <a:noFill/>
                    </a:ln>
                  </pic:spPr>
                </pic:pic>
              </a:graphicData>
            </a:graphic>
          </wp:inline>
        </w:drawing>
      </w:r>
    </w:p>
    <w:p w14:paraId="3D782D7D">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黑体" w:hAnsi="黑体" w:eastAsia="黑体" w:cs="黑体"/>
          <w:color w:val="000000"/>
          <w:sz w:val="32"/>
          <w:szCs w:val="32"/>
          <w:lang w:val="en-US" w:eastAsia="zh-CN" w:bidi="ar"/>
        </w:rPr>
      </w:pPr>
      <w:r>
        <w:rPr>
          <w:rFonts w:hint="eastAsia" w:ascii="黑体" w:hAnsi="黑体" w:eastAsia="黑体" w:cs="黑体"/>
          <w:color w:val="000000"/>
          <w:sz w:val="32"/>
          <w:szCs w:val="32"/>
          <w:lang w:val="en-US" w:eastAsia="zh-CN" w:bidi="ar"/>
        </w:rPr>
        <w:t>总结</w:t>
      </w:r>
      <w:bookmarkStart w:id="0" w:name="_GoBack"/>
      <w:bookmarkEnd w:id="0"/>
    </w:p>
    <w:p w14:paraId="63EC18D3">
      <w:pPr>
        <w:keepNext w:val="0"/>
        <w:keepLines w:val="0"/>
        <w:pageBreakBefore w:val="0"/>
        <w:widowControl/>
        <w:numPr>
          <w:ilvl w:val="0"/>
          <w:numId w:val="0"/>
        </w:numPr>
        <w:suppressLineNumbers w:val="0"/>
        <w:kinsoku/>
        <w:wordWrap/>
        <w:overflowPunct/>
        <w:topLinePunct w:val="0"/>
        <w:autoSpaceDE/>
        <w:autoSpaceDN/>
        <w:bidi w:val="0"/>
        <w:adjustRightInd/>
        <w:snapToGrid/>
        <w:spacing w:line="240" w:lineRule="auto"/>
        <w:ind w:leftChars="0"/>
        <w:jc w:val="left"/>
        <w:textAlignment w:val="auto"/>
        <w:rPr>
          <w:rFonts w:hint="eastAsia" w:ascii="黑体" w:hAnsi="黑体" w:eastAsia="黑体" w:cs="黑体"/>
          <w:color w:val="000000"/>
          <w:sz w:val="18"/>
          <w:szCs w:val="18"/>
          <w:lang w:val="en-US" w:eastAsia="zh-CN" w:bidi="ar"/>
        </w:rPr>
      </w:pPr>
    </w:p>
    <w:p w14:paraId="71683E3D">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篇文献围绕GIS技术的跨领域应用展开，从社会问题求解、煤矿地质建模到湿地生态评价，全面展现了GIS空间分析在多场景下的核心价值。文献说明了GIS在数据融合、空间可视化、动态更新等方面的技术优势，并提出了跨学科融合中的方法适配、尺度匹配等共性挑战以及大模型协同、多级约束建模等创新路径，为技术升级指明了方向。这些研究不仅为各领域的实际问题提供了科学解决方案，更加印证了GIS技术从“辅助工具”向“核心分析范式”的转型趋势。未来，随着GIS与人工智能、大数据等技术的深度融合，GIS在复杂系统治理、精准决策支持中的应用将会越来越广泛，为跨学科研究与产业智能化升级持续赋能。</w:t>
      </w:r>
    </w:p>
    <w:p w14:paraId="52AAA2A3">
      <w:pPr>
        <w:keepNext w:val="0"/>
        <w:keepLines w:val="0"/>
        <w:pageBreakBefore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lang w:val="en-US" w:eastAsia="zh-CN"/>
        </w:rPr>
      </w:pPr>
    </w:p>
    <w:p w14:paraId="3C53B04B">
      <w:pPr>
        <w:jc w:val="left"/>
        <w:rPr>
          <w:rFonts w:hint="default"/>
          <w:lang w:val="en-US" w:eastAsia="zh-CN"/>
        </w:rPr>
      </w:pPr>
    </w:p>
    <w:p w14:paraId="027563BA">
      <w:pPr>
        <w:jc w:val="left"/>
        <w:rPr>
          <w:rFonts w:hint="default"/>
          <w:lang w:val="en-US" w:eastAsia="zh-CN"/>
        </w:rPr>
      </w:pPr>
    </w:p>
    <w:p w14:paraId="7330660F">
      <w:pPr>
        <w:jc w:val="left"/>
        <w:rPr>
          <w:rFonts w:hint="default"/>
          <w:lang w:val="en-US" w:eastAsia="zh-CN"/>
        </w:rPr>
      </w:pPr>
    </w:p>
    <w:p w14:paraId="32F7165B">
      <w:pPr>
        <w:jc w:val="left"/>
        <w:rPr>
          <w:rFonts w:hint="default"/>
          <w:lang w:val="en-US" w:eastAsia="zh-CN"/>
        </w:rPr>
      </w:pPr>
    </w:p>
    <w:p w14:paraId="0F89A390">
      <w:pPr>
        <w:jc w:val="left"/>
        <w:rPr>
          <w:rFonts w:hint="default"/>
          <w:lang w:val="en-US" w:eastAsia="zh-CN"/>
        </w:rPr>
      </w:pPr>
    </w:p>
    <w:p w14:paraId="05E0A834">
      <w:pPr>
        <w:jc w:val="left"/>
        <w:rPr>
          <w:rFonts w:hint="default"/>
          <w:lang w:val="en-US" w:eastAsia="zh-CN"/>
        </w:rPr>
      </w:pPr>
    </w:p>
    <w:p w14:paraId="50EFFF48">
      <w:pPr>
        <w:jc w:val="left"/>
        <w:rPr>
          <w:rFonts w:hint="default"/>
          <w:lang w:val="en-US" w:eastAsia="zh-CN"/>
        </w:rPr>
      </w:pPr>
    </w:p>
    <w:p w14:paraId="67BF3100">
      <w:pPr>
        <w:jc w:val="left"/>
        <w:rPr>
          <w:rFonts w:hint="default"/>
          <w:lang w:val="en-US" w:eastAsia="zh-CN"/>
        </w:rPr>
      </w:pPr>
    </w:p>
    <w:p w14:paraId="782BEC40">
      <w:pPr>
        <w:jc w:val="left"/>
        <w:rPr>
          <w:rFonts w:hint="default"/>
          <w:lang w:val="en-US" w:eastAsia="zh-CN"/>
        </w:rPr>
      </w:pPr>
    </w:p>
    <w:p w14:paraId="19571314">
      <w:pPr>
        <w:jc w:val="left"/>
        <w:rPr>
          <w:rFonts w:hint="default"/>
          <w:lang w:val="en-US" w:eastAsia="zh-CN"/>
        </w:rPr>
      </w:pPr>
    </w:p>
    <w:p w14:paraId="0D47E867">
      <w:pPr>
        <w:jc w:val="left"/>
        <w:rPr>
          <w:rFonts w:hint="default"/>
          <w:lang w:val="en-US" w:eastAsia="zh-CN"/>
        </w:rPr>
      </w:pPr>
    </w:p>
    <w:p w14:paraId="335C76B5">
      <w:pPr>
        <w:jc w:val="left"/>
        <w:rPr>
          <w:rFonts w:hint="default"/>
          <w:lang w:val="en-US" w:eastAsia="zh-CN"/>
        </w:rPr>
      </w:pPr>
    </w:p>
    <w:p w14:paraId="66205A96">
      <w:pPr>
        <w:jc w:val="left"/>
        <w:rPr>
          <w:rFonts w:hint="default"/>
          <w:lang w:val="en-US" w:eastAsia="zh-CN"/>
        </w:rPr>
      </w:pPr>
    </w:p>
    <w:p w14:paraId="2913D0CA">
      <w:pPr>
        <w:jc w:val="left"/>
        <w:rPr>
          <w:rFonts w:hint="default"/>
          <w:lang w:val="en-US" w:eastAsia="zh-CN"/>
        </w:rPr>
      </w:pPr>
    </w:p>
    <w:p w14:paraId="459CE1B2">
      <w:pPr>
        <w:jc w:val="left"/>
        <w:rPr>
          <w:rFonts w:hint="default"/>
          <w:lang w:val="en-US" w:eastAsia="zh-CN"/>
        </w:rPr>
      </w:pPr>
    </w:p>
    <w:p w14:paraId="3717C617">
      <w:pPr>
        <w:jc w:val="left"/>
        <w:rPr>
          <w:rFonts w:hint="default"/>
          <w:lang w:val="en-US" w:eastAsia="zh-CN"/>
        </w:rPr>
      </w:pPr>
    </w:p>
    <w:p w14:paraId="1E4815AC">
      <w:pPr>
        <w:jc w:val="left"/>
        <w:rPr>
          <w:rFonts w:hint="default"/>
          <w:lang w:val="en-US" w:eastAsia="zh-CN"/>
        </w:rPr>
      </w:pPr>
    </w:p>
    <w:p w14:paraId="55CBABFC">
      <w:pPr>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参考文献</w:t>
      </w:r>
    </w:p>
    <w:p w14:paraId="5953DFAB">
      <w:pPr>
        <w:keepNext w:val="0"/>
        <w:keepLines w:val="0"/>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18"/>
          <w:szCs w:val="18"/>
          <w:lang w:val="en-US" w:eastAsia="zh-CN"/>
        </w:rPr>
      </w:pPr>
    </w:p>
    <w:sectPr>
      <w:footerReference r:id="rId5" w:type="default"/>
      <w:endnotePr>
        <w:numFmt w:val="decimal"/>
      </w:endnotePr>
      <w:pgSz w:w="11906" w:h="16838"/>
      <w:pgMar w:top="1531" w:right="1417" w:bottom="1701" w:left="1701" w:header="851" w:footer="992" w:gutter="0"/>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6">
    <w:p/>
  </w:endnote>
  <w:endnote w:type="continuationSeparator" w:id="7">
    <w:p/>
  </w:endnote>
  <w:endnote w:id="0">
    <w:p w14:paraId="5A88FAF9">
      <w:pPr>
        <w:pStyle w:val="3"/>
        <w:keepNext w:val="0"/>
        <w:keepLines w:val="0"/>
        <w:pageBreakBefore w:val="0"/>
        <w:widowControl w:val="0"/>
        <w:kinsoku/>
        <w:wordWrap/>
        <w:overflowPunct/>
        <w:topLinePunct w:val="0"/>
        <w:bidi w:val="0"/>
        <w:adjustRightInd/>
        <w:snapToGrid w:val="0"/>
        <w:spacing w:line="360" w:lineRule="auto"/>
        <w:textAlignment w:val="auto"/>
        <w:rPr>
          <w:rFonts w:hint="eastAsia" w:ascii="宋体" w:hAnsi="宋体" w:eastAsia="宋体" w:cs="宋体"/>
          <w:sz w:val="24"/>
          <w:szCs w:val="24"/>
        </w:rPr>
      </w:pPr>
      <w:r>
        <w:rPr>
          <w:rStyle w:val="8"/>
          <w:rFonts w:hint="eastAsia" w:ascii="宋体" w:hAnsi="宋体" w:eastAsia="宋体" w:cs="宋体"/>
          <w:sz w:val="24"/>
          <w:szCs w:val="24"/>
        </w:rPr>
        <w:t>[</w:t>
      </w:r>
      <w:r>
        <w:rPr>
          <w:rStyle w:val="8"/>
          <w:rFonts w:hint="eastAsia" w:ascii="宋体" w:hAnsi="宋体" w:eastAsia="宋体" w:cs="宋体"/>
          <w:sz w:val="24"/>
          <w:szCs w:val="24"/>
        </w:rPr>
        <w:endnoteRef/>
      </w:r>
      <w:r>
        <w:rPr>
          <w:rStyle w:val="8"/>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贺力,王融.面向社会问题求解的GIS空间分析：融合路径、挑战与机遇[J].地球信息科学学报,2025,27(09):2151-2164.</w:t>
      </w:r>
    </w:p>
  </w:endnote>
  <w:endnote w:id="1">
    <w:p w14:paraId="08E11D2D">
      <w:pPr>
        <w:keepNext w:val="0"/>
        <w:keepLines w:val="0"/>
        <w:pageBreakBefore w:val="0"/>
        <w:widowControl w:val="0"/>
        <w:kinsoku/>
        <w:wordWrap/>
        <w:overflowPunct/>
        <w:topLinePunct w:val="0"/>
        <w:bidi w:val="0"/>
        <w:adjustRightInd/>
        <w:spacing w:line="360" w:lineRule="auto"/>
        <w:jc w:val="left"/>
        <w:textAlignment w:val="auto"/>
        <w:rPr>
          <w:rFonts w:hint="eastAsia" w:ascii="宋体" w:hAnsi="宋体" w:eastAsia="宋体" w:cs="宋体"/>
          <w:sz w:val="24"/>
          <w:szCs w:val="24"/>
        </w:rPr>
      </w:pPr>
      <w:r>
        <w:rPr>
          <w:rStyle w:val="8"/>
          <w:rFonts w:hint="eastAsia" w:ascii="宋体" w:hAnsi="宋体" w:eastAsia="宋体" w:cs="宋体"/>
          <w:sz w:val="24"/>
          <w:szCs w:val="24"/>
        </w:rPr>
        <w:t>[</w:t>
      </w:r>
      <w:r>
        <w:rPr>
          <w:rStyle w:val="8"/>
          <w:rFonts w:hint="eastAsia" w:ascii="宋体" w:hAnsi="宋体" w:eastAsia="宋体" w:cs="宋体"/>
          <w:sz w:val="24"/>
          <w:szCs w:val="24"/>
        </w:rPr>
        <w:endnoteRef/>
      </w:r>
      <w:r>
        <w:rPr>
          <w:rStyle w:val="8"/>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孟永兵.基于多维云GIS的地质模型动态更新技术研究与应用[J/OL].煤炭科学技术,1-13[2025-11-16].https://link.cnki.net/urlid/11.2402.TD.20251017.1754.010.</w:t>
      </w:r>
    </w:p>
  </w:endnote>
  <w:endnote w:id="2">
    <w:p w14:paraId="6D8F1FB3">
      <w:pPr>
        <w:keepNext w:val="0"/>
        <w:keepLines w:val="0"/>
        <w:pageBreakBefore w:val="0"/>
        <w:widowControl w:val="0"/>
        <w:kinsoku/>
        <w:wordWrap/>
        <w:overflowPunct/>
        <w:topLinePunct w:val="0"/>
        <w:bidi w:val="0"/>
        <w:adjustRightInd/>
        <w:spacing w:line="360" w:lineRule="auto"/>
        <w:jc w:val="left"/>
        <w:textAlignment w:val="auto"/>
        <w:rPr>
          <w:rFonts w:hint="eastAsia" w:ascii="宋体" w:hAnsi="宋体" w:eastAsia="宋体" w:cs="宋体"/>
          <w:sz w:val="24"/>
          <w:szCs w:val="24"/>
          <w:lang w:val="en-US" w:eastAsia="zh-CN"/>
        </w:rPr>
      </w:pPr>
      <w:r>
        <w:rPr>
          <w:rStyle w:val="8"/>
          <w:rFonts w:hint="eastAsia" w:ascii="宋体" w:hAnsi="宋体" w:eastAsia="宋体" w:cs="宋体"/>
          <w:sz w:val="24"/>
          <w:szCs w:val="24"/>
        </w:rPr>
        <w:t>[</w:t>
      </w:r>
      <w:r>
        <w:rPr>
          <w:rStyle w:val="8"/>
          <w:rFonts w:hint="eastAsia" w:ascii="宋体" w:hAnsi="宋体" w:eastAsia="宋体" w:cs="宋体"/>
          <w:sz w:val="24"/>
          <w:szCs w:val="24"/>
        </w:rPr>
        <w:endnoteRef/>
      </w:r>
      <w:r>
        <w:rPr>
          <w:rStyle w:val="8"/>
          <w:rFonts w:hint="eastAsia" w:ascii="宋体" w:hAnsi="宋体" w:eastAsia="宋体" w:cs="宋体"/>
          <w:sz w:val="24"/>
          <w:szCs w:val="24"/>
        </w:rPr>
        <w:t>]</w:t>
      </w:r>
      <w:r>
        <w:rPr>
          <w:rFonts w:hint="eastAsia" w:ascii="宋体" w:hAnsi="宋体" w:eastAsia="宋体" w:cs="宋体"/>
          <w:sz w:val="24"/>
          <w:szCs w:val="24"/>
        </w:rPr>
        <w:t xml:space="preserve"> </w:t>
      </w:r>
      <w:r>
        <w:rPr>
          <w:rFonts w:hint="eastAsia" w:ascii="宋体" w:hAnsi="宋体" w:eastAsia="宋体" w:cs="宋体"/>
          <w:sz w:val="24"/>
          <w:szCs w:val="24"/>
          <w:lang w:val="en-US" w:eastAsia="zh-CN"/>
        </w:rPr>
        <w:t>朱冕轩,张廷,胡海辉.基于GIS的龙凤湿地省级自然保护区生态敏感性评价[J].湿地科学,2025,23(05):878-887.DOI:10.13248/j.cnki.wetlandsci.20240181.</w:t>
      </w:r>
    </w:p>
    <w:p w14:paraId="0FE1D693">
      <w:pPr>
        <w:pStyle w:val="3"/>
        <w:snapToGrid w:val="0"/>
        <w:rPr>
          <w:rFonts w:hint="eastAsia"/>
          <w:lang w:val="en-US" w:eastAsia="zh-CN"/>
        </w:rPr>
      </w:pPr>
    </w:p>
    <w:p w14:paraId="78D77D86">
      <w:pPr>
        <w:pStyle w:val="3"/>
        <w:snapToGrid w:val="0"/>
        <w:rPr>
          <w:rFonts w:hint="eastAsia"/>
          <w:lang w:val="en-US" w:eastAsia="zh-CN"/>
        </w:rPr>
      </w:pPr>
    </w:p>
    <w:p w14:paraId="64A42041">
      <w:pPr>
        <w:pStyle w:val="3"/>
        <w:snapToGrid w:val="0"/>
        <w:rPr>
          <w:rFonts w:hint="eastAsia"/>
          <w:lang w:val="en-US" w:eastAsia="zh-CN"/>
        </w:rPr>
      </w:pPr>
    </w:p>
    <w:p w14:paraId="660A7428">
      <w:pPr>
        <w:pStyle w:val="3"/>
        <w:snapToGrid w:val="0"/>
        <w:rPr>
          <w:rFonts w:hint="eastAsia"/>
          <w:lang w:val="en-US" w:eastAsia="zh-CN"/>
        </w:rPr>
      </w:pPr>
    </w:p>
    <w:p w14:paraId="79128505">
      <w:pPr>
        <w:pStyle w:val="3"/>
        <w:snapToGrid w:val="0"/>
        <w:rPr>
          <w:rFonts w:hint="eastAsia"/>
          <w:lang w:val="en-US" w:eastAsia="zh-CN"/>
        </w:rPr>
      </w:pPr>
    </w:p>
    <w:p w14:paraId="12BFAAE1">
      <w:pPr>
        <w:pStyle w:val="3"/>
        <w:snapToGrid w:val="0"/>
        <w:rPr>
          <w:rFonts w:hint="eastAsia"/>
          <w:lang w:val="en-US" w:eastAsia="zh-CN"/>
        </w:rPr>
      </w:pPr>
    </w:p>
    <w:p w14:paraId="55402424">
      <w:pPr>
        <w:pStyle w:val="3"/>
        <w:snapToGrid w:val="0"/>
        <w:rPr>
          <w:rFonts w:hint="eastAsia"/>
          <w:lang w:val="en-US" w:eastAsia="zh-CN"/>
        </w:rPr>
      </w:pPr>
    </w:p>
    <w:p w14:paraId="0B6721F0">
      <w:pPr>
        <w:pStyle w:val="3"/>
        <w:snapToGrid w:val="0"/>
        <w:rPr>
          <w:rFonts w:hint="eastAsia"/>
          <w:lang w:val="en-US" w:eastAsia="zh-CN"/>
        </w:rPr>
      </w:pPr>
    </w:p>
    <w:p w14:paraId="17A1A5E9">
      <w:pPr>
        <w:pStyle w:val="3"/>
        <w:snapToGrid w:val="0"/>
        <w:rPr>
          <w:rFonts w:hint="eastAsia"/>
          <w:lang w:val="en-US" w:eastAsia="zh-CN"/>
        </w:rPr>
      </w:pPr>
    </w:p>
    <w:p w14:paraId="22C905DE">
      <w:pPr>
        <w:pStyle w:val="3"/>
        <w:snapToGrid w:val="0"/>
        <w:rPr>
          <w:rFonts w:hint="eastAsia"/>
          <w:lang w:val="en-US" w:eastAsia="zh-CN"/>
        </w:rPr>
      </w:pPr>
    </w:p>
    <w:p w14:paraId="3F8D6C76">
      <w:pPr>
        <w:pStyle w:val="3"/>
        <w:snapToGrid w:val="0"/>
        <w:rPr>
          <w:rFonts w:hint="eastAsia"/>
          <w:lang w:val="en-US" w:eastAsia="zh-CN"/>
        </w:rPr>
      </w:pPr>
    </w:p>
    <w:p w14:paraId="2DCB9B4F">
      <w:pPr>
        <w:pStyle w:val="3"/>
        <w:snapToGrid w:val="0"/>
        <w:rPr>
          <w:rFonts w:hint="eastAsia"/>
          <w:lang w:val="en-US" w:eastAsia="zh-CN"/>
        </w:rPr>
      </w:pPr>
    </w:p>
    <w:p w14:paraId="57236977">
      <w:pPr>
        <w:pStyle w:val="3"/>
        <w:snapToGrid w:val="0"/>
        <w:rPr>
          <w:rFonts w:hint="eastAsia"/>
          <w:lang w:val="en-US" w:eastAsia="zh-CN"/>
        </w:rPr>
      </w:pPr>
    </w:p>
    <w:p w14:paraId="757431C8">
      <w:pPr>
        <w:pStyle w:val="3"/>
        <w:snapToGrid w:val="0"/>
        <w:rPr>
          <w:rFonts w:hint="eastAsia"/>
          <w:lang w:val="en-US" w:eastAsia="zh-CN"/>
        </w:rPr>
      </w:pPr>
    </w:p>
    <w:p w14:paraId="5B79DB57">
      <w:pPr>
        <w:pStyle w:val="3"/>
        <w:snapToGrid w:val="0"/>
        <w:rPr>
          <w:rFonts w:hint="eastAsia"/>
          <w:lang w:val="en-US" w:eastAsia="zh-CN"/>
        </w:rPr>
      </w:pPr>
    </w:p>
    <w:p w14:paraId="010656C9">
      <w:pPr>
        <w:pStyle w:val="3"/>
        <w:snapToGrid w:val="0"/>
        <w:rPr>
          <w:rFonts w:hint="eastAsia"/>
          <w:lang w:val="en-US" w:eastAsia="zh-CN"/>
        </w:rPr>
      </w:pPr>
    </w:p>
    <w:p w14:paraId="069F3B1F">
      <w:pPr>
        <w:pStyle w:val="3"/>
        <w:snapToGrid w:val="0"/>
        <w:rPr>
          <w:rFonts w:hint="eastAsia"/>
          <w:lang w:val="en-US" w:eastAsia="zh-CN"/>
        </w:rPr>
      </w:pPr>
    </w:p>
    <w:p w14:paraId="76153B90">
      <w:pPr>
        <w:pStyle w:val="3"/>
        <w:snapToGrid w:val="0"/>
        <w:rPr>
          <w:rFonts w:hint="eastAsia"/>
          <w:lang w:val="en-US" w:eastAsia="zh-CN"/>
        </w:rPr>
      </w:pPr>
    </w:p>
    <w:p w14:paraId="6B9A9742">
      <w:pPr>
        <w:pStyle w:val="3"/>
        <w:snapToGrid w:val="0"/>
        <w:rPr>
          <w:rFonts w:hint="eastAsia"/>
          <w:lang w:val="en-US" w:eastAsia="zh-CN"/>
        </w:rPr>
      </w:pPr>
    </w:p>
    <w:p w14:paraId="67786E5A">
      <w:pPr>
        <w:pStyle w:val="3"/>
        <w:snapToGrid w:val="0"/>
        <w:rPr>
          <w:rFonts w:hint="eastAsia"/>
          <w:lang w:val="en-US" w:eastAsia="zh-CN"/>
        </w:rPr>
      </w:pPr>
    </w:p>
    <w:p w14:paraId="389846C6">
      <w:pPr>
        <w:pStyle w:val="3"/>
        <w:snapToGrid w:val="0"/>
        <w:rPr>
          <w:rFonts w:hint="eastAsia"/>
          <w:lang w:val="en-US" w:eastAsia="zh-CN"/>
        </w:rPr>
      </w:pPr>
    </w:p>
    <w:p w14:paraId="07F51DD1">
      <w:pPr>
        <w:pStyle w:val="3"/>
        <w:snapToGrid w:val="0"/>
        <w:rPr>
          <w:rFonts w:hint="eastAsia"/>
          <w:lang w:val="en-US" w:eastAsia="zh-CN"/>
        </w:rPr>
      </w:pPr>
    </w:p>
    <w:p w14:paraId="15666777">
      <w:pPr>
        <w:pStyle w:val="3"/>
        <w:snapToGrid w:val="0"/>
        <w:rPr>
          <w:rFonts w:hint="eastAsia"/>
          <w:lang w:val="en-US" w:eastAsia="zh-CN"/>
        </w:rPr>
      </w:pPr>
    </w:p>
    <w:p w14:paraId="30709FA4">
      <w:pPr>
        <w:pStyle w:val="3"/>
        <w:snapToGrid w:val="0"/>
        <w:rPr>
          <w:rFonts w:hint="eastAsia"/>
          <w:lang w:val="en-US" w:eastAsia="zh-CN"/>
        </w:rPr>
      </w:pPr>
    </w:p>
    <w:p w14:paraId="015E718E">
      <w:pPr>
        <w:pStyle w:val="3"/>
        <w:snapToGrid w:val="0"/>
        <w:rPr>
          <w:rFonts w:hint="eastAsia"/>
          <w:lang w:val="en-US" w:eastAsia="zh-CN"/>
        </w:rPr>
      </w:pPr>
    </w:p>
    <w:p w14:paraId="0E8EF60B">
      <w:pPr>
        <w:pStyle w:val="3"/>
        <w:snapToGrid w:val="0"/>
        <w:rPr>
          <w:rFonts w:hint="eastAsia"/>
          <w:lang w:val="en-US" w:eastAsia="zh-CN"/>
        </w:rPr>
      </w:pPr>
    </w:p>
    <w:p w14:paraId="49E38477">
      <w:pPr>
        <w:pStyle w:val="3"/>
        <w:snapToGrid w:val="0"/>
        <w:rPr>
          <w:rFonts w:hint="eastAsia"/>
          <w:lang w:val="en-US" w:eastAsia="zh-CN"/>
        </w:rPr>
      </w:pPr>
    </w:p>
    <w:p w14:paraId="19E24D06">
      <w:pPr>
        <w:pStyle w:val="3"/>
        <w:snapToGrid w:val="0"/>
        <w:rPr>
          <w:rFonts w:hint="eastAsia"/>
          <w:lang w:val="en-US" w:eastAsia="zh-CN"/>
        </w:rPr>
      </w:pPr>
    </w:p>
    <w:p w14:paraId="6F924618">
      <w:pPr>
        <w:pStyle w:val="3"/>
        <w:snapToGrid w:val="0"/>
        <w:rPr>
          <w:rFonts w:hint="eastAsia"/>
          <w:lang w:val="en-US" w:eastAsia="zh-CN"/>
        </w:rPr>
      </w:pPr>
    </w:p>
    <w:p w14:paraId="7825FC1B">
      <w:pPr>
        <w:pStyle w:val="3"/>
        <w:snapToGrid w:val="0"/>
        <w:rPr>
          <w:rFonts w:hint="eastAsia"/>
          <w:lang w:val="en-US" w:eastAsia="zh-CN"/>
        </w:rPr>
      </w:pPr>
    </w:p>
    <w:p w14:paraId="6AC0A5F5">
      <w:pPr>
        <w:pStyle w:val="3"/>
        <w:snapToGrid w:val="0"/>
        <w:rPr>
          <w:rFonts w:hint="eastAsia"/>
          <w:lang w:val="en-US" w:eastAsia="zh-CN"/>
        </w:rPr>
      </w:pPr>
    </w:p>
    <w:p w14:paraId="1C837BFB">
      <w:pPr>
        <w:pStyle w:val="3"/>
        <w:snapToGrid w:val="0"/>
        <w:rPr>
          <w:rFonts w:hint="eastAsia"/>
          <w:lang w:val="en-US" w:eastAsia="zh-CN"/>
        </w:rPr>
      </w:pPr>
    </w:p>
    <w:p w14:paraId="6ACBA741">
      <w:pPr>
        <w:pStyle w:val="3"/>
        <w:snapToGrid w:val="0"/>
        <w:rPr>
          <w:rFonts w:hint="eastAsia"/>
          <w:lang w:val="en-US" w:eastAsia="zh-CN"/>
        </w:rPr>
      </w:pPr>
    </w:p>
    <w:p w14:paraId="63ECB16E">
      <w:pPr>
        <w:pStyle w:val="3"/>
        <w:snapToGrid w:val="0"/>
        <w:rPr>
          <w:rFonts w:hint="eastAsia"/>
          <w:lang w:val="en-US" w:eastAsia="zh-CN"/>
        </w:rPr>
      </w:pPr>
    </w:p>
    <w:p w14:paraId="7AE5D0E2">
      <w:pPr>
        <w:pStyle w:val="3"/>
        <w:snapToGrid w:val="0"/>
        <w:rPr>
          <w:rFonts w:hint="eastAsia"/>
          <w:lang w:val="en-US" w:eastAsia="zh-CN"/>
        </w:rPr>
      </w:pPr>
    </w:p>
    <w:p w14:paraId="1A931CF7">
      <w:pPr>
        <w:pStyle w:val="3"/>
        <w:snapToGrid w:val="0"/>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附录</w:t>
      </w:r>
    </w:p>
    <w:p w14:paraId="49667200">
      <w:pPr>
        <w:pStyle w:val="3"/>
        <w:keepNext w:val="0"/>
        <w:keepLines w:val="0"/>
        <w:pageBreakBefore w:val="0"/>
        <w:widowControl w:val="0"/>
        <w:kinsoku/>
        <w:wordWrap/>
        <w:overflowPunct/>
        <w:topLinePunct w:val="0"/>
        <w:bidi w:val="0"/>
        <w:adjustRightInd/>
        <w:snapToGrid w:val="0"/>
        <w:textAlignment w:val="auto"/>
        <w:rPr>
          <w:rFonts w:hint="eastAsia" w:ascii="黑体" w:hAnsi="黑体" w:eastAsia="黑体" w:cs="黑体"/>
          <w:sz w:val="18"/>
          <w:szCs w:val="18"/>
          <w:lang w:val="en-US" w:eastAsia="zh-CN"/>
        </w:rPr>
      </w:pPr>
    </w:p>
    <w:p w14:paraId="79A13839">
      <w:pPr>
        <w:pStyle w:val="3"/>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三篇文献的思维导图如下：</w:t>
      </w:r>
    </w:p>
    <w:p w14:paraId="00C52A0D">
      <w:pPr>
        <w:pStyle w:val="3"/>
        <w:snapToGrid w:val="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object>
          <v:shape id="_x0000_i1025" o:spt="75" type="#_x0000_t75" style="height:65.4pt;width:72.6pt;" o:ole="t" filled="f" o:preferrelative="t" stroked="f" coordsize="21600,21600">
            <v:path/>
            <v:fill on="f" focussize="0,0"/>
            <v:stroke on="f"/>
            <v:imagedata r:id="rId2" o:title=""/>
            <o:lock v:ext="edit" aspectratio="t"/>
            <w10:wrap type="none"/>
            <w10:anchorlock/>
          </v:shape>
          <o:OLEObject Type="Embed" ProgID="Word.Document.12" ShapeID="_x0000_i1025" DrawAspect="Icon" ObjectID="_1468075725" r:id="rId1">
            <o:LockedField>false</o:LockedField>
          </o:OLEObject>
        </w:object>
      </w:r>
    </w:p>
    <w:p w14:paraId="55F7CF73">
      <w:pPr>
        <w:pStyle w:val="3"/>
        <w:snapToGrid w:val="0"/>
        <w:rPr>
          <w:rFonts w:hint="eastAsia"/>
          <w:lang w:val="en-US" w:eastAsia="zh-CN"/>
        </w:rPr>
      </w:pPr>
    </w:p>
    <w:p w14:paraId="6EF96BC8">
      <w:pPr>
        <w:pStyle w:val="3"/>
        <w:snapToGrid w:val="0"/>
        <w:rPr>
          <w:rFonts w:hint="eastAsia"/>
          <w:lang w:val="en-US" w:eastAsia="zh-CN"/>
        </w:rPr>
      </w:pPr>
    </w:p>
    <w:p w14:paraId="510F1617">
      <w:pPr>
        <w:pStyle w:val="3"/>
        <w:snapToGrid w:val="0"/>
        <w:rPr>
          <w:rFonts w:hint="eastAsia"/>
          <w:lang w:val="en-US" w:eastAsia="zh-CN"/>
        </w:rPr>
      </w:pPr>
    </w:p>
    <w:p w14:paraId="0CB25180">
      <w:pPr>
        <w:pStyle w:val="3"/>
        <w:snapToGrid w:val="0"/>
        <w:rPr>
          <w:rFonts w:hint="eastAsia"/>
          <w:lang w:val="en-US" w:eastAsia="zh-CN"/>
        </w:rPr>
      </w:pPr>
    </w:p>
    <w:p w14:paraId="38507D0B">
      <w:pPr>
        <w:pStyle w:val="3"/>
        <w:snapToGrid w:val="0"/>
        <w:rPr>
          <w:rFonts w:hint="eastAsia"/>
          <w:lang w:val="en-US" w:eastAsia="zh-CN"/>
        </w:rPr>
      </w:pPr>
    </w:p>
    <w:p w14:paraId="6AB6EA96">
      <w:pPr>
        <w:pStyle w:val="3"/>
        <w:snapToGrid w:val="0"/>
        <w:rPr>
          <w:rFonts w:hint="eastAsia"/>
          <w:lang w:val="en-US" w:eastAsia="zh-CN"/>
        </w:rPr>
      </w:pPr>
    </w:p>
    <w:p w14:paraId="62020C91">
      <w:pPr>
        <w:pStyle w:val="3"/>
        <w:snapToGrid w:val="0"/>
        <w:rPr>
          <w:rFonts w:hint="eastAsia"/>
          <w:lang w:val="en-US" w:eastAsia="zh-CN"/>
        </w:rPr>
      </w:pPr>
    </w:p>
    <w:p w14:paraId="436C6D29">
      <w:pPr>
        <w:pStyle w:val="3"/>
        <w:snapToGrid w:val="0"/>
        <w:rPr>
          <w:rFonts w:hint="eastAsia"/>
          <w:lang w:val="en-US" w:eastAsia="zh-CN"/>
        </w:rPr>
      </w:pPr>
    </w:p>
    <w:p w14:paraId="1ED4BB83">
      <w:pPr>
        <w:pStyle w:val="3"/>
        <w:snapToGrid w:val="0"/>
        <w:rPr>
          <w:rFonts w:hint="eastAsia"/>
          <w:lang w:val="en-US" w:eastAsia="zh-CN"/>
        </w:rPr>
      </w:pPr>
    </w:p>
    <w:p w14:paraId="7CDC543F">
      <w:pPr>
        <w:pStyle w:val="3"/>
        <w:snapToGrid w:val="0"/>
        <w:rPr>
          <w:rFonts w:hint="eastAsia"/>
          <w:lang w:val="en-US" w:eastAsia="zh-CN"/>
        </w:rPr>
      </w:pPr>
    </w:p>
    <w:p w14:paraId="665FB051">
      <w:pPr>
        <w:pStyle w:val="3"/>
        <w:snapToGrid w:val="0"/>
        <w:rPr>
          <w:rFonts w:hint="eastAsia"/>
          <w:lang w:val="en-US" w:eastAsia="zh-CN"/>
        </w:rPr>
      </w:pPr>
    </w:p>
    <w:p w14:paraId="7A2A8394">
      <w:pPr>
        <w:pStyle w:val="3"/>
        <w:snapToGrid w:val="0"/>
        <w:rPr>
          <w:rFonts w:hint="eastAsia"/>
          <w:lang w:val="en-US" w:eastAsia="zh-CN"/>
        </w:rPr>
      </w:pPr>
    </w:p>
    <w:p w14:paraId="1B7D5983">
      <w:pPr>
        <w:pStyle w:val="3"/>
        <w:snapToGrid w:val="0"/>
        <w:rPr>
          <w:rFonts w:hint="eastAsia"/>
          <w:lang w:val="en-US" w:eastAsia="zh-CN"/>
        </w:rPr>
      </w:pPr>
    </w:p>
    <w:p w14:paraId="07892471">
      <w:pPr>
        <w:pStyle w:val="3"/>
        <w:snapToGrid w:val="0"/>
        <w:rPr>
          <w:rFonts w:hint="eastAsia"/>
          <w:lang w:val="en-US" w:eastAsia="zh-CN"/>
        </w:rPr>
      </w:pPr>
    </w:p>
    <w:p w14:paraId="20FE1CB9">
      <w:pPr>
        <w:pStyle w:val="3"/>
        <w:snapToGrid w:val="0"/>
        <w:rPr>
          <w:rFonts w:hint="eastAsia"/>
          <w:lang w:val="en-US" w:eastAsia="zh-CN"/>
        </w:rPr>
      </w:pPr>
    </w:p>
    <w:p w14:paraId="14386BE2">
      <w:pPr>
        <w:pStyle w:val="3"/>
        <w:snapToGrid w:val="0"/>
        <w:rPr>
          <w:rFonts w:hint="eastAsia"/>
          <w:lang w:val="en-US" w:eastAsia="zh-CN"/>
        </w:rPr>
      </w:pPr>
    </w:p>
    <w:p w14:paraId="19B53573">
      <w:pPr>
        <w:pStyle w:val="3"/>
        <w:snapToGrid w:val="0"/>
        <w:rPr>
          <w:rFonts w:hint="eastAsia"/>
          <w:lang w:val="en-US" w:eastAsia="zh-CN"/>
        </w:rPr>
      </w:pPr>
    </w:p>
    <w:p w14:paraId="249BE6E7">
      <w:pPr>
        <w:pStyle w:val="3"/>
        <w:snapToGrid w:val="0"/>
        <w:rPr>
          <w:rFonts w:hint="eastAsia"/>
          <w:lang w:val="en-US" w:eastAsia="zh-CN"/>
        </w:rPr>
      </w:pPr>
    </w:p>
    <w:p w14:paraId="6449ED7C">
      <w:pPr>
        <w:pStyle w:val="3"/>
        <w:snapToGrid w:val="0"/>
        <w:rPr>
          <w:rFonts w:hint="eastAsia"/>
          <w:lang w:val="en-US" w:eastAsia="zh-CN"/>
        </w:rPr>
      </w:pPr>
    </w:p>
    <w:p w14:paraId="2B86BD77">
      <w:pPr>
        <w:pStyle w:val="3"/>
        <w:snapToGrid w:val="0"/>
        <w:rPr>
          <w:rFonts w:hint="eastAsia"/>
          <w:lang w:val="en-US" w:eastAsia="zh-CN"/>
        </w:rPr>
      </w:pPr>
    </w:p>
    <w:p w14:paraId="766C283F">
      <w:pPr>
        <w:pStyle w:val="3"/>
        <w:snapToGrid w:val="0"/>
        <w:rPr>
          <w:rFonts w:hint="eastAsia"/>
          <w:lang w:val="en-US" w:eastAsia="zh-CN"/>
        </w:rPr>
      </w:pPr>
    </w:p>
    <w:p w14:paraId="1FD155CE">
      <w:pPr>
        <w:pStyle w:val="3"/>
        <w:snapToGrid w:val="0"/>
        <w:rPr>
          <w:rFonts w:hint="eastAsia"/>
          <w:lang w:val="en-US" w:eastAsia="zh-CN"/>
        </w:rPr>
      </w:pPr>
    </w:p>
    <w:p w14:paraId="5D5DB0D5">
      <w:pPr>
        <w:pStyle w:val="3"/>
        <w:snapToGrid w:val="0"/>
        <w:rPr>
          <w:rFonts w:hint="eastAsia"/>
          <w:lang w:val="en-US" w:eastAsia="zh-CN"/>
        </w:rPr>
      </w:pPr>
    </w:p>
    <w:p w14:paraId="3457BE70">
      <w:pPr>
        <w:pStyle w:val="3"/>
        <w:snapToGrid w:val="0"/>
        <w:rPr>
          <w:rFonts w:hint="eastAsia"/>
          <w:lang w:val="en-US" w:eastAsia="zh-CN"/>
        </w:rPr>
      </w:pPr>
    </w:p>
    <w:p w14:paraId="0A81989E">
      <w:pPr>
        <w:pStyle w:val="3"/>
        <w:snapToGrid w:val="0"/>
        <w:rPr>
          <w:rFonts w:hint="eastAsia"/>
          <w:lang w:val="en-US" w:eastAsia="zh-CN"/>
        </w:rPr>
      </w:pPr>
    </w:p>
    <w:p w14:paraId="2EC4C98E">
      <w:pPr>
        <w:pStyle w:val="3"/>
        <w:snapToGrid w:val="0"/>
        <w:rPr>
          <w:rFonts w:hint="eastAsia"/>
          <w:lang w:val="en-US" w:eastAsia="zh-CN"/>
        </w:rPr>
      </w:pPr>
    </w:p>
    <w:p w14:paraId="298F44AC">
      <w:pPr>
        <w:pStyle w:val="3"/>
        <w:snapToGrid w:val="0"/>
        <w:rPr>
          <w:rFonts w:hint="eastAsia"/>
          <w:lang w:val="en-US" w:eastAsia="zh-CN"/>
        </w:rPr>
      </w:pPr>
    </w:p>
    <w:p w14:paraId="001CB9EE">
      <w:pPr>
        <w:pStyle w:val="3"/>
        <w:snapToGrid w:val="0"/>
        <w:rPr>
          <w:rFonts w:hint="eastAsia"/>
          <w:lang w:val="en-US" w:eastAsia="zh-CN"/>
        </w:rPr>
      </w:pPr>
    </w:p>
    <w:p w14:paraId="42EDEF63">
      <w:pPr>
        <w:pStyle w:val="3"/>
        <w:snapToGrid w:val="0"/>
        <w:rPr>
          <w:rFonts w:hint="eastAsia"/>
          <w:lang w:val="en-US" w:eastAsia="zh-CN"/>
        </w:rPr>
      </w:pPr>
    </w:p>
    <w:p w14:paraId="0D214C81">
      <w:pPr>
        <w:pStyle w:val="3"/>
        <w:snapToGrid w:val="0"/>
        <w:rPr>
          <w:rFonts w:hint="eastAsia"/>
          <w:lang w:val="en-US" w:eastAsia="zh-CN"/>
        </w:rPr>
      </w:pPr>
    </w:p>
    <w:p w14:paraId="15909412">
      <w:pPr>
        <w:pStyle w:val="3"/>
        <w:snapToGrid w:val="0"/>
        <w:rPr>
          <w:rFonts w:hint="eastAsia"/>
          <w:lang w:val="en-US" w:eastAsia="zh-CN"/>
        </w:rPr>
      </w:pPr>
    </w:p>
    <w:p w14:paraId="0ECBEBA8">
      <w:pPr>
        <w:pStyle w:val="3"/>
        <w:snapToGrid w:val="0"/>
        <w:rPr>
          <w:rFonts w:hint="eastAsia"/>
          <w:lang w:val="en-US" w:eastAsia="zh-CN"/>
        </w:rPr>
      </w:pPr>
    </w:p>
    <w:p w14:paraId="0FA088E3">
      <w:pPr>
        <w:pStyle w:val="3"/>
        <w:snapToGrid w:val="0"/>
        <w:rPr>
          <w:rFonts w:hint="eastAsia"/>
          <w:lang w:val="en-US" w:eastAsia="zh-CN"/>
        </w:rPr>
      </w:pPr>
    </w:p>
    <w:p w14:paraId="51F82A44">
      <w:pPr>
        <w:pStyle w:val="3"/>
        <w:snapToGrid w:val="0"/>
        <w:rPr>
          <w:rFonts w:hint="eastAsia"/>
          <w:lang w:val="en-US" w:eastAsia="zh-CN"/>
        </w:rPr>
      </w:pPr>
    </w:p>
    <w:p w14:paraId="690FA5FD">
      <w:pPr>
        <w:pStyle w:val="3"/>
        <w:snapToGrid w:val="0"/>
        <w:rPr>
          <w:rFonts w:hint="eastAsia"/>
          <w:lang w:val="en-US" w:eastAsia="zh-CN"/>
        </w:rPr>
      </w:pPr>
    </w:p>
    <w:p w14:paraId="4E65676D">
      <w:pPr>
        <w:pStyle w:val="3"/>
        <w:snapToGrid w:val="0"/>
        <w:rPr>
          <w:rFonts w:hint="eastAsia"/>
          <w:lang w:val="en-US" w:eastAsia="zh-CN"/>
        </w:rPr>
      </w:pPr>
    </w:p>
    <w:p w14:paraId="323C6259">
      <w:pPr>
        <w:pStyle w:val="3"/>
        <w:snapToGrid w:val="0"/>
        <w:rPr>
          <w:rFonts w:hint="eastAsia"/>
          <w:lang w:val="en-US" w:eastAsia="zh-CN"/>
        </w:rPr>
      </w:pPr>
    </w:p>
    <w:p w14:paraId="7F324B79">
      <w:pPr>
        <w:pStyle w:val="3"/>
        <w:snapToGrid w:val="0"/>
        <w:rPr>
          <w:rFonts w:hint="eastAsia"/>
          <w:lang w:val="en-US" w:eastAsia="zh-CN"/>
        </w:rPr>
      </w:pPr>
    </w:p>
    <w:p w14:paraId="775C1607">
      <w:pPr>
        <w:pStyle w:val="3"/>
        <w:snapToGrid w:val="0"/>
        <w:rPr>
          <w:rFonts w:hint="eastAsia"/>
          <w:lang w:val="en-US" w:eastAsia="zh-CN"/>
        </w:rPr>
      </w:pPr>
    </w:p>
    <w:p w14:paraId="1EF92B62">
      <w:pPr>
        <w:pStyle w:val="3"/>
        <w:snapToGrid w:val="0"/>
        <w:rPr>
          <w:rFonts w:hint="eastAsia"/>
          <w:lang w:val="en-US" w:eastAsia="zh-CN"/>
        </w:rPr>
      </w:pPr>
    </w:p>
    <w:p w14:paraId="745BD58F">
      <w:pPr>
        <w:pStyle w:val="3"/>
        <w:snapToGrid w:val="0"/>
        <w:rPr>
          <w:rFonts w:hint="eastAsia"/>
          <w:lang w:val="en-US" w:eastAsia="zh-CN"/>
        </w:rPr>
      </w:pPr>
    </w:p>
    <w:p w14:paraId="5157E405">
      <w:pPr>
        <w:pStyle w:val="3"/>
        <w:snapToGrid w:val="0"/>
        <w:rPr>
          <w:rFonts w:hint="eastAsia"/>
          <w:lang w:val="en-US" w:eastAsia="zh-CN"/>
        </w:rPr>
      </w:pPr>
    </w:p>
    <w:p w14:paraId="3D9F997B">
      <w:pPr>
        <w:pStyle w:val="3"/>
        <w:snapToGrid w:val="0"/>
        <w:rPr>
          <w:rFonts w:hint="eastAsia"/>
          <w:lang w:val="en-US" w:eastAsia="zh-CN"/>
        </w:rPr>
      </w:pPr>
    </w:p>
    <w:p w14:paraId="18ADB079">
      <w:pPr>
        <w:ind w:left="840" w:firstLine="420"/>
        <w:rPr>
          <w:b/>
          <w:i/>
          <w:sz w:val="52"/>
        </w:rPr>
      </w:pPr>
      <w:r>
        <w:rPr>
          <w:b/>
          <w:i/>
          <w:sz w:val="52"/>
        </w:rPr>
        <w:t>Shanghai Maritime University</w:t>
      </w:r>
    </w:p>
    <w:p w14:paraId="4ADA234B">
      <w:pPr>
        <w:rPr>
          <w:sz w:val="36"/>
        </w:rPr>
      </w:pPr>
    </w:p>
    <w:p w14:paraId="2C02991B">
      <w:pPr>
        <w:rPr>
          <w:sz w:val="36"/>
        </w:rPr>
      </w:pPr>
    </w:p>
    <w:p w14:paraId="3468161B">
      <w:pPr>
        <w:rPr>
          <w:sz w:val="36"/>
        </w:rPr>
      </w:pPr>
    </w:p>
    <w:p w14:paraId="61622BDC">
      <w:pPr>
        <w:rPr>
          <w:sz w:val="36"/>
        </w:rPr>
      </w:pPr>
    </w:p>
    <w:p w14:paraId="264C10A1">
      <w:pPr>
        <w:rPr>
          <w:sz w:val="36"/>
        </w:rPr>
      </w:pPr>
    </w:p>
    <w:p w14:paraId="3892A0F9">
      <w:pPr>
        <w:rPr>
          <w:sz w:val="36"/>
        </w:rPr>
      </w:pPr>
    </w:p>
    <w:p w14:paraId="36EA2EC8">
      <w:pPr>
        <w:rPr>
          <w:sz w:val="36"/>
        </w:rPr>
      </w:pPr>
    </w:p>
    <w:p w14:paraId="75D77D02">
      <w:pPr>
        <w:rPr>
          <w:sz w:val="36"/>
        </w:rPr>
      </w:pPr>
    </w:p>
    <w:p w14:paraId="79A5711C">
      <w:pPr>
        <w:rPr>
          <w:sz w:val="36"/>
        </w:rPr>
      </w:pPr>
    </w:p>
    <w:p w14:paraId="792F721C">
      <w:pPr>
        <w:rPr>
          <w:sz w:val="36"/>
        </w:rPr>
      </w:pPr>
    </w:p>
    <w:p w14:paraId="7D01D01A">
      <w:pPr>
        <w:rPr>
          <w:sz w:val="36"/>
        </w:rPr>
      </w:pPr>
    </w:p>
    <w:p w14:paraId="799A1C88">
      <w:pPr>
        <w:rPr>
          <w:sz w:val="36"/>
        </w:rPr>
      </w:pPr>
    </w:p>
    <w:p w14:paraId="5B223132">
      <w:pPr>
        <w:rPr>
          <w:rFonts w:hint="eastAsia"/>
          <w:sz w:val="36"/>
        </w:rPr>
      </w:pPr>
    </w:p>
    <w:p w14:paraId="31E5CED3">
      <w:pPr>
        <w:rPr>
          <w:rFonts w:hint="eastAsia"/>
          <w:sz w:val="36"/>
        </w:rPr>
      </w:pPr>
    </w:p>
    <w:p w14:paraId="31D99E9F">
      <w:pPr>
        <w:rPr>
          <w:rFonts w:hint="eastAsia"/>
          <w:sz w:val="36"/>
        </w:rPr>
      </w:pPr>
    </w:p>
    <w:p w14:paraId="64BC45E2">
      <w:pPr>
        <w:rPr>
          <w:i/>
          <w:sz w:val="52"/>
        </w:rPr>
      </w:pPr>
      <w:r>
        <w:rPr>
          <w:rFonts w:hint="eastAsia" w:eastAsia="方正舒体"/>
          <w:i/>
          <w:sz w:val="52"/>
          <w:u w:val="single"/>
        </w:rPr>
        <w:tab/>
      </w:r>
      <w:r>
        <w:rPr>
          <w:rFonts w:hint="eastAsia" w:ascii="方正舒体" w:hAnsi="方正舒体" w:eastAsia="方正舒体" w:cs="方正舒体"/>
          <w:b/>
          <w:bCs/>
          <w:iCs/>
          <w:sz w:val="84"/>
          <w:szCs w:val="84"/>
          <w:u w:val="single"/>
        </w:rPr>
        <w:t>上海海事大学</w:t>
      </w:r>
      <w:r>
        <w:rPr>
          <w:rFonts w:hint="eastAsia" w:ascii="方正舒体" w:hAnsi="方正舒体" w:eastAsia="方正舒体" w:cs="方正舒体"/>
          <w:b/>
          <w:bCs/>
          <w:i/>
          <w:sz w:val="84"/>
          <w:szCs w:val="84"/>
          <w:u w:val="single"/>
        </w:rPr>
        <w:t xml:space="preserve">   </w:t>
      </w:r>
      <w:r>
        <w:rPr>
          <w:i/>
          <w:sz w:val="52"/>
          <w:u w:val="single"/>
        </w:rPr>
        <w:t xml:space="preserve">                                                       </w:t>
      </w:r>
    </w:p>
    <w:p w14:paraId="506735FB">
      <w:pPr>
        <w:rPr>
          <w:sz w:val="24"/>
        </w:rPr>
      </w:pPr>
      <w:r>
        <w:rPr>
          <w:rFonts w:hint="eastAsia"/>
          <w:sz w:val="24"/>
        </w:rPr>
        <w:t>地  址：中国上海海港大道155</w:t>
      </w:r>
      <w:r>
        <w:rPr>
          <w:rFonts w:hint="eastAsia"/>
          <w:sz w:val="24"/>
          <w:lang w:val="en-US" w:eastAsia="zh-CN"/>
        </w:rPr>
        <w:t>0</w:t>
      </w:r>
      <w:r>
        <w:rPr>
          <w:rFonts w:hint="eastAsia"/>
          <w:sz w:val="24"/>
        </w:rPr>
        <w:t>号                     1550</w:t>
      </w:r>
      <w:r>
        <w:rPr>
          <w:sz w:val="24"/>
        </w:rPr>
        <w:t xml:space="preserve"> </w:t>
      </w:r>
      <w:r>
        <w:rPr>
          <w:rFonts w:hint="eastAsia"/>
          <w:sz w:val="24"/>
        </w:rPr>
        <w:t>Haigang Avenue</w:t>
      </w:r>
    </w:p>
    <w:p w14:paraId="11882870">
      <w:pPr>
        <w:rPr>
          <w:sz w:val="24"/>
        </w:rPr>
      </w:pPr>
      <w:r>
        <w:rPr>
          <w:rFonts w:hint="eastAsia"/>
          <w:sz w:val="24"/>
        </w:rPr>
        <w:t>邮  编</w:t>
      </w:r>
      <w:r>
        <w:rPr>
          <w:rFonts w:hint="eastAsia"/>
          <w:sz w:val="24"/>
          <w:lang w:eastAsia="zh-CN"/>
        </w:rPr>
        <w:t>：</w:t>
      </w:r>
      <w:r>
        <w:rPr>
          <w:rFonts w:hint="eastAsia"/>
          <w:sz w:val="24"/>
        </w:rPr>
        <w:t>201306</w:t>
      </w:r>
      <w:r>
        <w:rPr>
          <w:sz w:val="24"/>
        </w:rPr>
        <w:t xml:space="preserve">                                      </w:t>
      </w:r>
      <w:r>
        <w:rPr>
          <w:rFonts w:hint="eastAsia"/>
          <w:sz w:val="24"/>
        </w:rPr>
        <w:tab/>
      </w:r>
      <w:r>
        <w:rPr>
          <w:sz w:val="24"/>
        </w:rPr>
        <w:t>Shanghai, 20</w:t>
      </w:r>
      <w:r>
        <w:rPr>
          <w:rFonts w:hint="eastAsia"/>
          <w:sz w:val="24"/>
        </w:rPr>
        <w:t>1306</w:t>
      </w:r>
    </w:p>
    <w:p w14:paraId="2D401039">
      <w:pPr>
        <w:rPr>
          <w:rFonts w:hint="eastAsia"/>
          <w:sz w:val="24"/>
        </w:rPr>
      </w:pPr>
      <w:r>
        <w:rPr>
          <w:rFonts w:hint="eastAsia"/>
          <w:sz w:val="24"/>
        </w:rPr>
        <w:t>电  话：</w:t>
      </w:r>
      <w:r>
        <w:rPr>
          <w:sz w:val="24"/>
        </w:rPr>
        <w:t>(021)</w:t>
      </w:r>
      <w:r>
        <w:rPr>
          <w:rFonts w:hint="eastAsia"/>
          <w:sz w:val="24"/>
        </w:rPr>
        <w:t>3828</w:t>
      </w:r>
      <w:r>
        <w:rPr>
          <w:sz w:val="24"/>
        </w:rPr>
        <w:t>2</w:t>
      </w:r>
      <w:r>
        <w:rPr>
          <w:rFonts w:hint="eastAsia"/>
          <w:sz w:val="24"/>
        </w:rPr>
        <w:t>0</w:t>
      </w:r>
      <w:r>
        <w:rPr>
          <w:sz w:val="24"/>
        </w:rPr>
        <w:t xml:space="preserve">00                                </w:t>
      </w:r>
      <w:r>
        <w:rPr>
          <w:rFonts w:hint="eastAsia"/>
          <w:sz w:val="24"/>
        </w:rPr>
        <w:tab/>
      </w:r>
      <w:r>
        <w:rPr>
          <w:rFonts w:hint="eastAsia"/>
          <w:sz w:val="24"/>
        </w:rPr>
        <w:tab/>
      </w:r>
      <w:r>
        <w:rPr>
          <w:rFonts w:hint="eastAsia"/>
          <w:sz w:val="24"/>
        </w:rPr>
        <w:t xml:space="preserve">   P.R. China</w:t>
      </w:r>
    </w:p>
    <w:p w14:paraId="5134B165">
      <w:pPr>
        <w:keepNext w:val="0"/>
        <w:keepLines w:val="0"/>
        <w:pageBreakBefore w:val="0"/>
        <w:widowControl w:val="0"/>
        <w:kinsoku/>
        <w:wordWrap/>
        <w:overflowPunct/>
        <w:topLinePunct w:val="0"/>
        <w:bidi w:val="0"/>
        <w:adjustRightInd/>
        <w:snapToGrid/>
        <w:textAlignment w:val="auto"/>
        <w:rPr>
          <w:rFonts w:hint="eastAsia"/>
          <w:sz w:val="24"/>
        </w:rPr>
      </w:pPr>
      <w:r>
        <w:rPr>
          <w:rFonts w:hint="eastAsia"/>
          <w:sz w:val="24"/>
          <w:lang w:val="en-US" w:eastAsia="zh-CN"/>
        </w:rPr>
        <w:t>网址:</w:t>
      </w:r>
      <w:r>
        <w:rPr>
          <w:rFonts w:hint="eastAsia"/>
          <w:sz w:val="24"/>
        </w:rPr>
        <w:t xml:space="preserve">http://www.shmtu.edu.cn                   </w:t>
      </w:r>
      <w:r>
        <w:rPr>
          <w:rFonts w:hint="eastAsia"/>
          <w:sz w:val="24"/>
        </w:rPr>
        <w:tab/>
      </w:r>
      <w:r>
        <w:rPr>
          <w:rFonts w:hint="eastAsia"/>
          <w:sz w:val="24"/>
        </w:rPr>
        <w:t>http://www.shmtu.edu.cn</w:t>
      </w:r>
    </w:p>
    <w:p w14:paraId="6329529F">
      <w:pPr>
        <w:pStyle w:val="3"/>
        <w:snapToGrid w:val="0"/>
        <w:rPr>
          <w:rFonts w:hint="default"/>
          <w:lang w:val="en-US" w:eastAsia="zh-CN"/>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FZShuSong-Z01">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舒体">
    <w:panose1 w:val="02010601030101010101"/>
    <w:charset w:val="86"/>
    <w:family w:val="auto"/>
    <w:pitch w:val="default"/>
    <w:sig w:usb0="00000003"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A8EF5D">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39511C9">
                          <w:pPr>
                            <w:pStyle w:val="4"/>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039511C9">
                    <w:pPr>
                      <w:pStyle w:val="4"/>
                      <w:rPr>
                        <w:rFonts w:ascii="宋体" w:hAnsi="宋体" w:eastAsia="宋体"/>
                        <w:sz w:val="28"/>
                      </w:rPr>
                    </w:pPr>
                    <w:r>
                      <w:rPr>
                        <w:rFonts w:ascii="宋体" w:hAnsi="宋体" w:eastAsia="宋体"/>
                        <w:sz w:val="28"/>
                      </w:rPr>
                      <w:fldChar w:fldCharType="begin"/>
                    </w:r>
                    <w:r>
                      <w:rPr>
                        <w:rFonts w:ascii="宋体" w:hAnsi="宋体" w:eastAsia="宋体"/>
                        <w:sz w:val="28"/>
                      </w:rPr>
                      <w:instrText xml:space="preserve"> PAGE  \* MERGEFORMAT </w:instrText>
                    </w:r>
                    <w:r>
                      <w:rPr>
                        <w:rFonts w:ascii="宋体" w:hAnsi="宋体" w:eastAsia="宋体"/>
                        <w:sz w:val="28"/>
                      </w:rPr>
                      <w:fldChar w:fldCharType="separate"/>
                    </w:r>
                    <w:r>
                      <w:rPr>
                        <w:rFonts w:ascii="宋体" w:hAnsi="宋体" w:eastAsia="宋体"/>
                        <w:sz w:val="28"/>
                      </w:rPr>
                      <w:t>1</w:t>
                    </w:r>
                    <w:r>
                      <w:rPr>
                        <w:rFonts w:ascii="宋体" w:hAnsi="宋体" w:eastAsia="宋体"/>
                        <w:sz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19019D9"/>
    <w:multiLevelType w:val="singleLevel"/>
    <w:tmpl w:val="C19019D9"/>
    <w:lvl w:ilvl="0" w:tentative="0">
      <w:start w:val="1"/>
      <w:numFmt w:val="chineseCounting"/>
      <w:suff w:val="nothing"/>
      <w:lvlText w:val="%1、"/>
      <w:lvlJc w:val="left"/>
      <w:rPr>
        <w:rFonts w:hint="eastAsia"/>
      </w:rPr>
    </w:lvl>
  </w:abstractNum>
  <w:abstractNum w:abstractNumId="1">
    <w:nsid w:val="F3091815"/>
    <w:multiLevelType w:val="singleLevel"/>
    <w:tmpl w:val="F3091815"/>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6"/>
    <w:endnote w:id="7"/>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272996"/>
    <w:rsid w:val="043A7135"/>
    <w:rsid w:val="0499485D"/>
    <w:rsid w:val="0A4D7496"/>
    <w:rsid w:val="0ABA4C8A"/>
    <w:rsid w:val="0B9E444D"/>
    <w:rsid w:val="0E8654CE"/>
    <w:rsid w:val="10973B61"/>
    <w:rsid w:val="17650515"/>
    <w:rsid w:val="1D1F5920"/>
    <w:rsid w:val="20AE1E9E"/>
    <w:rsid w:val="41D36F19"/>
    <w:rsid w:val="452E6344"/>
    <w:rsid w:val="47145AC9"/>
    <w:rsid w:val="487A71F5"/>
    <w:rsid w:val="4ECF59F3"/>
    <w:rsid w:val="50BF0595"/>
    <w:rsid w:val="5CFE232B"/>
    <w:rsid w:val="5D323FC2"/>
    <w:rsid w:val="611B5B8C"/>
    <w:rsid w:val="62A6743E"/>
    <w:rsid w:val="6DAA54AF"/>
    <w:rsid w:val="6FD131C7"/>
    <w:rsid w:val="74E12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99" w:semiHidden="0" w:name="toc 8"/>
    <w:lsdException w:unhideWhenUsed="0" w:uiPriority="9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iPriority="0" w:semiHidden="0" w:name="header"/>
    <w:lsdException w:uiPriority="99" w:semiHidden="0" w:name="footer"/>
    <w:lsdException w:unhideWhenUsed="0" w:uiPriority="99" w:semiHidden="0" w:name="index heading"/>
    <w:lsdException w:uiPriority="99"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qFormat="1"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unhideWhenUsed="0" w:uiPriority="99" w:semiHidden="0" w:name="Title"/>
    <w:lsdException w:unhideWhenUsed="0" w:uiPriority="99" w:semiHidden="0" w:name="Closing"/>
    <w:lsdException w:unhideWhenUsed="0" w:uiPriority="99" w:semiHidden="0" w:name="Signature"/>
    <w:lsdException w:unhideWhenUsed="0" w:uiPriority="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unhideWhenUsed="0" w:uiPriority="99"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unhideWhenUsed="0" w:uiPriority="99" w:semiHidden="0" w:name="Strong"/>
    <w:lsdException w:unhideWhenUsed="0" w:uiPriority="99" w:semiHidden="0" w:name="Emphasis"/>
    <w:lsdException w:unhideWhenUsed="0" w:uiPriority="99" w:semiHidden="0" w:name="Document Map"/>
    <w:lsdException w:qFormat="1" w:unhideWhenUsed="0" w:uiPriority="0" w:semiHidden="0" w:name="Plain Text"/>
    <w:lsdException w:unhideWhenUsed="0" w:uiPriority="99" w:semiHidden="0" w:name="E-mail Signature"/>
    <w:lsdException w:unhideWhenUsed="0" w:uiPriority="99"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unhideWhenUsed="0" w:uiPriority="0"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unhideWhenUsed="0" w:uiPriority="9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Plain Text"/>
    <w:basedOn w:val="1"/>
    <w:qFormat/>
    <w:uiPriority w:val="0"/>
    <w:rPr>
      <w:rFonts w:ascii="宋体" w:hAnsi="Courier New" w:cs="Courier New"/>
      <w:szCs w:val="21"/>
    </w:rPr>
  </w:style>
  <w:style w:type="paragraph" w:styleId="3">
    <w:name w:val="endnote text"/>
    <w:basedOn w:val="1"/>
    <w:uiPriority w:val="99"/>
    <w:pPr>
      <w:snapToGrid w:val="0"/>
      <w:jc w:val="left"/>
    </w:pPr>
  </w:style>
  <w:style w:type="paragraph" w:styleId="4">
    <w:name w:val="footer"/>
    <w:basedOn w:val="1"/>
    <w:unhideWhenUsed/>
    <w:uiPriority w:val="99"/>
    <w:pPr>
      <w:tabs>
        <w:tab w:val="center" w:pos="4153"/>
        <w:tab w:val="right" w:pos="8306"/>
      </w:tabs>
      <w:snapToGrid w:val="0"/>
      <w:jc w:val="left"/>
    </w:pPr>
    <w:rPr>
      <w:sz w:val="18"/>
      <w:szCs w:val="18"/>
    </w:rPr>
  </w:style>
  <w:style w:type="paragraph" w:styleId="5">
    <w:name w:val="header"/>
    <w:basedOn w:val="1"/>
    <w:unhideWhenUsed/>
    <w:qFormat/>
    <w:uiPriority w:val="0"/>
    <w:pPr>
      <w:pBdr>
        <w:bottom w:val="single" w:color="auto" w:sz="6" w:space="1"/>
      </w:pBdr>
      <w:tabs>
        <w:tab w:val="center" w:pos="4153"/>
        <w:tab w:val="right" w:pos="8306"/>
      </w:tabs>
      <w:snapToGrid w:val="0"/>
      <w:jc w:val="center"/>
    </w:pPr>
    <w:rPr>
      <w:sz w:val="18"/>
      <w:szCs w:val="18"/>
    </w:rPr>
  </w:style>
  <w:style w:type="character" w:styleId="8">
    <w:name w:val="endnote reference"/>
    <w:basedOn w:val="7"/>
    <w:qFormat/>
    <w:uiPriority w:val="99"/>
    <w:rPr>
      <w:vertAlign w:val="superscript"/>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endnotes.xml.rels><?xml version="1.0" encoding="UTF-8" standalone="yes"?>
<Relationships xmlns="http://schemas.openxmlformats.org/package/2006/relationships"><Relationship Id="rId2" Type="http://schemas.openxmlformats.org/officeDocument/2006/relationships/image" Target="media/image1.emf"/><Relationship Id="rId1" Type="http://schemas.openxmlformats.org/officeDocument/2006/relationships/oleObject" Target="embeddings/oleObject1.bin"/></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rotWithShape="0">
          <a:gsLst>
            <a:gs pos="0">
              <a:schemeClr val="phClr">
                <a:lumOff val="17500"/>
              </a:schemeClr>
            </a:gs>
            <a:gs pos="100000">
              <a:schemeClr val="phClr"/>
            </a:gs>
          </a:gsLst>
          <a:lin ang="2700000" scaled="0"/>
        </a:gradFill>
        <a:gradFill rotWithShape="0">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3489</Words>
  <Characters>3629</Characters>
  <Lines>0</Lines>
  <Paragraphs>0</Paragraphs>
  <TotalTime>32</TotalTime>
  <ScaleCrop>false</ScaleCrop>
  <LinksUpToDate>false</LinksUpToDate>
  <CharactersWithSpaces>3655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2025-11-16T08:20:00Z</dcterms:created>
  <dc:creator>Liu</dc:creator>
  <cp:lastModifiedBy>刘欣语</cp:lastModifiedBy>
  <dcterms:modified xsi:type="dcterms:W3CDTF">2025-11-20T13:38:04Z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eyJoZGlkIjoiOTJjOTg4NDQzYzUyNjY2ZDRlOWEzNmUxZTViNWQ4NzMiLCJ1c2VySWQiOiIxNjQ1MTg5NDQzIn0=</vt:lpwstr>
  </property>
  <property fmtid="{D5CDD505-2E9C-101B-9397-08002B2CF9AE}" pid="4" name="ICV">
    <vt:lpwstr>9661B450B0824C83820EE4C729F4DCD3_12</vt:lpwstr>
  </property>
</Properties>
</file>