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CEE6C8">
      <w:pPr>
        <w:jc w:val="center"/>
        <w:rPr>
          <w:rFonts w:hint="eastAsia"/>
          <w:lang w:val="en-US" w:eastAsia="zh-CN"/>
        </w:rPr>
      </w:pPr>
      <w:r>
        <w:rPr>
          <w:rFonts w:hint="eastAsia"/>
          <w:lang w:val="en-US" w:eastAsia="zh-CN"/>
        </w:rPr>
        <w:t>基于GIS技术多领域应用的文献阅读报告</w:t>
      </w:r>
    </w:p>
    <w:p w14:paraId="19DDB286">
      <w:pPr>
        <w:rPr>
          <w:rFonts w:hint="eastAsia"/>
        </w:rPr>
      </w:pPr>
    </w:p>
    <w:p w14:paraId="56F41C07">
      <w:pPr>
        <w:rPr>
          <w:rFonts w:hint="eastAsia"/>
        </w:rPr>
      </w:pPr>
      <w:r>
        <w:rPr>
          <w:rFonts w:hint="eastAsia"/>
        </w:rPr>
        <w:t>摘要</w:t>
      </w:r>
    </w:p>
    <w:p w14:paraId="74467040">
      <w:pPr>
        <w:rPr>
          <w:rFonts w:hint="eastAsia"/>
        </w:rPr>
      </w:pPr>
      <w:r>
        <w:rPr>
          <w:rFonts w:hint="eastAsia"/>
        </w:rPr>
        <w:t xml:space="preserve"> </w:t>
      </w:r>
    </w:p>
    <w:p w14:paraId="208A01F3">
      <w:pPr>
        <w:rPr>
          <w:rFonts w:hint="eastAsia"/>
        </w:rPr>
      </w:pPr>
      <w:r>
        <w:rPr>
          <w:rFonts w:hint="eastAsia"/>
          <w:lang w:val="en-US" w:eastAsia="zh-CN"/>
        </w:rPr>
        <w:t>此</w:t>
      </w:r>
      <w:r>
        <w:rPr>
          <w:rFonts w:hint="eastAsia"/>
        </w:rPr>
        <w:t>报告挑选了三篇GIS相关文献，分别聚焦社会问题求解、煤矿地质模型动态更新、湿地生态敏感性评价三个核心应用场景。通过梳理每篇文献的研究目标、采用的方法以及最终结论，深入分析了GIS技术的独特优势，也探讨了它在跨学科融合过程中遇到的挑战，更清晰地看到GIS从“辅助工具”向“核心分析范式”转变的轨迹。最后总结了GIS跨领域应用的巨大潜力与未来发展方向，希望能为相关研究提供一点参考。</w:t>
      </w:r>
    </w:p>
    <w:p w14:paraId="2D43A61D">
      <w:pPr>
        <w:rPr>
          <w:rFonts w:hint="eastAsia"/>
        </w:rPr>
      </w:pPr>
      <w:r>
        <w:rPr>
          <w:rFonts w:hint="eastAsia"/>
        </w:rPr>
        <w:t xml:space="preserve"> </w:t>
      </w:r>
    </w:p>
    <w:p w14:paraId="031CA1EF">
      <w:pPr>
        <w:rPr>
          <w:rFonts w:hint="eastAsia"/>
        </w:rPr>
      </w:pPr>
      <w:r>
        <w:rPr>
          <w:rFonts w:hint="eastAsia"/>
        </w:rPr>
        <w:t>一、引言</w:t>
      </w:r>
    </w:p>
    <w:p w14:paraId="225B6197">
      <w:pPr>
        <w:rPr>
          <w:rFonts w:hint="eastAsia"/>
        </w:rPr>
      </w:pPr>
      <w:r>
        <w:rPr>
          <w:rFonts w:hint="eastAsia"/>
        </w:rPr>
        <w:t xml:space="preserve"> </w:t>
      </w:r>
    </w:p>
    <w:p w14:paraId="2A865DFB">
      <w:pPr>
        <w:rPr>
          <w:rFonts w:hint="eastAsia"/>
        </w:rPr>
      </w:pPr>
      <w:r>
        <w:rPr>
          <w:rFonts w:hint="eastAsia"/>
        </w:rPr>
        <w:t>地理信息系统（GIS）是电子信息、地理学、统计学等多学科交叉碰撞出的技术成果，它集地理数据的采集、存储、分析、展示于一体，如今早已悄悄渗透到社会、地质、生态等多个领域。这次我选</w:t>
      </w:r>
      <w:r>
        <w:rPr>
          <w:rFonts w:hint="eastAsia"/>
          <w:lang w:val="en-US" w:eastAsia="zh-CN"/>
        </w:rPr>
        <w:t>择</w:t>
      </w:r>
      <w:r>
        <w:rPr>
          <w:rFonts w:hint="eastAsia"/>
        </w:rPr>
        <w:t>了三篇不同领域的GIS应用文献，</w:t>
      </w:r>
      <w:r>
        <w:rPr>
          <w:rFonts w:hint="eastAsia"/>
          <w:lang w:val="en-US" w:eastAsia="zh-CN"/>
        </w:rPr>
        <w:t>希望</w:t>
      </w:r>
      <w:r>
        <w:rPr>
          <w:rFonts w:hint="eastAsia"/>
        </w:rPr>
        <w:t>通过细致的研究分析，全面摸清GIS技术在不同领域的适配性和发展潜力，为之后把GIS用到专业学习里</w:t>
      </w:r>
      <w:r>
        <w:rPr>
          <w:rFonts w:hint="eastAsia"/>
          <w:lang w:val="en-US" w:eastAsia="zh-CN"/>
        </w:rPr>
        <w:t>积累</w:t>
      </w:r>
      <w:r>
        <w:rPr>
          <w:rFonts w:hint="eastAsia"/>
        </w:rPr>
        <w:t>多维度的参考经验。</w:t>
      </w:r>
    </w:p>
    <w:p w14:paraId="00826570">
      <w:pPr>
        <w:rPr>
          <w:rFonts w:hint="eastAsia"/>
        </w:rPr>
      </w:pPr>
      <w:r>
        <w:rPr>
          <w:rFonts w:hint="eastAsia"/>
        </w:rPr>
        <w:t xml:space="preserve"> </w:t>
      </w:r>
    </w:p>
    <w:p w14:paraId="259F5B7F">
      <w:pPr>
        <w:rPr>
          <w:rFonts w:hint="eastAsia"/>
        </w:rPr>
      </w:pPr>
      <w:r>
        <w:rPr>
          <w:rFonts w:hint="eastAsia"/>
        </w:rPr>
        <w:t>二、文献阅读报告1：《面向社会问题求解的GIS空间分析：融合路径、挑战与机遇》</w:t>
      </w:r>
    </w:p>
    <w:p w14:paraId="1E17E976">
      <w:pPr>
        <w:rPr>
          <w:rFonts w:hint="eastAsia"/>
        </w:rPr>
      </w:pPr>
      <w:r>
        <w:rPr>
          <w:rFonts w:hint="eastAsia"/>
        </w:rPr>
        <w:t xml:space="preserve"> </w:t>
      </w:r>
    </w:p>
    <w:p w14:paraId="645C23BC">
      <w:pPr>
        <w:rPr>
          <w:rFonts w:hint="eastAsia"/>
        </w:rPr>
      </w:pPr>
      <w:r>
        <w:rPr>
          <w:rFonts w:hint="eastAsia"/>
        </w:rPr>
        <w:t>（一）研究目的</w:t>
      </w:r>
    </w:p>
    <w:p w14:paraId="6408C307">
      <w:pPr>
        <w:rPr>
          <w:rFonts w:hint="eastAsia"/>
        </w:rPr>
      </w:pPr>
      <w:r>
        <w:rPr>
          <w:rFonts w:hint="eastAsia"/>
        </w:rPr>
        <w:t xml:space="preserve"> </w:t>
      </w:r>
    </w:p>
    <w:p w14:paraId="285E9EEF">
      <w:pPr>
        <w:keepNext w:val="0"/>
        <w:keepLines w:val="0"/>
        <w:widowControl/>
        <w:suppressLineNumbers w:val="0"/>
        <w:ind w:firstLine="420" w:firstLineChars="0"/>
        <w:jc w:val="left"/>
        <w:rPr>
          <w:rFonts w:hint="default" w:ascii="FZShuSong-Z01" w:hAnsi="FZShuSong-Z01" w:eastAsia="FZShuSong-Z01" w:cs="FZShuSong-Z01"/>
          <w:color w:val="231F20"/>
          <w:kern w:val="0"/>
          <w:sz w:val="20"/>
          <w:szCs w:val="20"/>
          <w:lang w:val="en-US" w:eastAsia="zh-CN" w:bidi="ar"/>
        </w:rPr>
      </w:pPr>
      <w:r>
        <w:rPr>
          <w:rFonts w:ascii="FZShuSong-Z01" w:hAnsi="FZShuSong-Z01" w:eastAsia="FZShuSong-Z01" w:cs="FZShuSong-Z01"/>
          <w:color w:val="231F20"/>
          <w:kern w:val="0"/>
          <w:sz w:val="20"/>
          <w:szCs w:val="20"/>
          <w:lang w:val="en-US" w:eastAsia="zh-CN" w:bidi="ar"/>
        </w:rPr>
        <w:t>本文旨在系统总</w:t>
      </w:r>
      <w:r>
        <w:rPr>
          <w:rFonts w:hint="eastAsia" w:ascii="FZShuSong-Z01" w:hAnsi="FZShuSong-Z01" w:eastAsia="FZShuSong-Z01" w:cs="FZShuSong-Z01"/>
          <w:color w:val="231F20"/>
          <w:kern w:val="0"/>
          <w:sz w:val="20"/>
          <w:szCs w:val="20"/>
          <w:lang w:val="en-US" w:eastAsia="zh-CN" w:bidi="ar"/>
        </w:rPr>
        <w:t>结</w:t>
      </w:r>
      <w:r>
        <w:rPr>
          <w:rFonts w:hint="default" w:ascii="Times New Roman" w:hAnsi="Times New Roman" w:eastAsia="宋体" w:cs="Times New Roman"/>
          <w:color w:val="231F20"/>
          <w:kern w:val="0"/>
          <w:sz w:val="20"/>
          <w:szCs w:val="20"/>
          <w:lang w:val="en-US" w:eastAsia="zh-CN" w:bidi="ar"/>
        </w:rPr>
        <w:t>GIS</w:t>
      </w:r>
      <w:r>
        <w:rPr>
          <w:rFonts w:hint="default" w:ascii="FZShuSong-Z01" w:hAnsi="FZShuSong-Z01" w:eastAsia="FZShuSong-Z01" w:cs="FZShuSong-Z01"/>
          <w:color w:val="231F20"/>
          <w:kern w:val="0"/>
          <w:sz w:val="20"/>
          <w:szCs w:val="20"/>
          <w:lang w:val="en-US" w:eastAsia="zh-CN" w:bidi="ar"/>
        </w:rPr>
        <w:t>空间分析在社会问题求解中的核心优势，回顾其在经济学、政治学与社会学等领域的典型应用，揭示应用过程中的关键挑战，深入探讨融合路径</w:t>
      </w:r>
      <w:r>
        <w:rPr>
          <w:rFonts w:hint="eastAsia" w:ascii="FZShuSong-Z01" w:hAnsi="FZShuSong-Z01" w:eastAsia="FZShuSong-Z01" w:cs="FZShuSong-Z01"/>
          <w:color w:val="231F20"/>
          <w:kern w:val="0"/>
          <w:sz w:val="20"/>
          <w:szCs w:val="20"/>
          <w:lang w:val="en-US" w:eastAsia="zh-CN" w:bidi="ar"/>
        </w:rPr>
        <w:t>，</w:t>
      </w:r>
      <w:r>
        <w:rPr>
          <w:rFonts w:hint="default" w:ascii="FZShuSong-Z01" w:hAnsi="FZShuSong-Z01" w:eastAsia="FZShuSong-Z01" w:cs="FZShuSong-Z01"/>
          <w:color w:val="231F20"/>
          <w:kern w:val="0"/>
          <w:sz w:val="20"/>
          <w:szCs w:val="20"/>
          <w:lang w:val="en-US" w:eastAsia="zh-CN" w:bidi="ar"/>
        </w:rPr>
        <w:t>并前瞻性地展望空间智能时代的技术跃迁方向。</w:t>
      </w:r>
      <w:r>
        <w:rPr>
          <w:rStyle w:val="5"/>
          <w:rFonts w:hint="eastAsia" w:ascii="宋体" w:hAnsi="宋体" w:eastAsia="宋体" w:cs="宋体"/>
          <w:color w:val="231F20"/>
          <w:kern w:val="0"/>
          <w:sz w:val="20"/>
          <w:szCs w:val="20"/>
          <w:lang w:val="en-US" w:eastAsia="zh-CN" w:bidi="ar"/>
        </w:rPr>
        <w:t>[</w:t>
      </w:r>
      <w:r>
        <w:rPr>
          <w:rStyle w:val="5"/>
          <w:rFonts w:hint="eastAsia" w:ascii="宋体" w:hAnsi="宋体" w:eastAsia="宋体" w:cs="宋体"/>
          <w:color w:val="231F20"/>
          <w:kern w:val="0"/>
          <w:sz w:val="20"/>
          <w:szCs w:val="20"/>
          <w:lang w:val="en-US" w:eastAsia="zh-CN" w:bidi="ar"/>
        </w:rPr>
        <w:endnoteReference w:id="0"/>
      </w:r>
      <w:r>
        <w:rPr>
          <w:rStyle w:val="5"/>
          <w:rFonts w:hint="eastAsia" w:ascii="宋体" w:hAnsi="宋体" w:eastAsia="宋体" w:cs="宋体"/>
          <w:color w:val="231F20"/>
          <w:kern w:val="0"/>
          <w:sz w:val="20"/>
          <w:szCs w:val="20"/>
          <w:lang w:val="en-US" w:eastAsia="zh-CN" w:bidi="ar"/>
        </w:rPr>
        <w:t>]</w:t>
      </w:r>
    </w:p>
    <w:p w14:paraId="5990DF5A">
      <w:pPr>
        <w:rPr>
          <w:rFonts w:hint="eastAsia"/>
        </w:rPr>
      </w:pPr>
      <w:r>
        <w:rPr>
          <w:rFonts w:hint="eastAsia"/>
        </w:rPr>
        <w:t xml:space="preserve"> </w:t>
      </w:r>
    </w:p>
    <w:p w14:paraId="016D4A40">
      <w:pPr>
        <w:rPr>
          <w:rFonts w:hint="eastAsia"/>
        </w:rPr>
      </w:pPr>
      <w:r>
        <w:rPr>
          <w:rFonts w:hint="eastAsia"/>
        </w:rPr>
        <w:t>（二）研究方法</w:t>
      </w:r>
    </w:p>
    <w:p w14:paraId="0C029944">
      <w:pPr>
        <w:rPr>
          <w:rFonts w:hint="eastAsia"/>
        </w:rPr>
      </w:pPr>
      <w:r>
        <w:rPr>
          <w:rFonts w:hint="eastAsia"/>
        </w:rPr>
        <w:t xml:space="preserve"> </w:t>
      </w:r>
    </w:p>
    <w:p w14:paraId="56A8F04F">
      <w:pPr>
        <w:rPr>
          <w:rFonts w:hint="eastAsia"/>
        </w:rPr>
      </w:pPr>
      <w:r>
        <w:rPr>
          <w:rFonts w:hint="eastAsia"/>
        </w:rPr>
        <w:t>1. 系统分类典型GIS数据：</w:t>
      </w:r>
      <w:r>
        <w:rPr>
          <w:rFonts w:hint="eastAsia" w:ascii="宋体" w:hAnsi="宋体" w:eastAsia="宋体" w:cs="宋体"/>
          <w:color w:val="231F20"/>
          <w:kern w:val="0"/>
          <w:sz w:val="20"/>
          <w:szCs w:val="20"/>
          <w:lang w:val="en-US" w:eastAsia="zh-CN" w:bidi="ar"/>
        </w:rPr>
        <w:t>在数据特征层面，</w:t>
      </w:r>
      <w:r>
        <w:rPr>
          <w:rFonts w:hint="eastAsia"/>
        </w:rPr>
        <w:t>既用到了夜间灯光遥感、手机信令、交通大数据、社交网络签到这类时空数据，又特意选用了细粒度的数据提升分析精度；</w:t>
      </w:r>
      <w:r>
        <w:rPr>
          <w:rFonts w:hint="eastAsia"/>
          <w:lang w:val="en-US" w:eastAsia="zh-CN"/>
        </w:rPr>
        <w:t>在</w:t>
      </w:r>
      <w:r>
        <w:rPr>
          <w:rFonts w:hint="eastAsia"/>
        </w:rPr>
        <w:t>数据处理环节，则通过各类GIS平台，把遥感影像、地图、统计数据和现场观测数据等不同来源、不同类型的数据整合到一起。</w:t>
      </w:r>
    </w:p>
    <w:p w14:paraId="687A435B">
      <w:pPr>
        <w:rPr>
          <w:rFonts w:hint="eastAsia"/>
        </w:rPr>
      </w:pPr>
      <w:r>
        <w:rPr>
          <w:rFonts w:hint="eastAsia"/>
        </w:rPr>
        <w:t>2. 可视化手段：GIS的可视化在这里主要体现为在线地图和动态地图。在线地图借助Web平台实现数据实时更新和服务共享，给公众参与和知识生产搭起了一个开放的空间；动态地图则加入了时间维度，能直观呈现社会现象的演变过程和内在机制。</w:t>
      </w:r>
    </w:p>
    <w:p w14:paraId="6CEEC6DA">
      <w:pPr>
        <w:rPr>
          <w:rFonts w:hint="eastAsia"/>
        </w:rPr>
      </w:pPr>
      <w:r>
        <w:rPr>
          <w:rFonts w:hint="eastAsia"/>
        </w:rPr>
        <w:t xml:space="preserve"> </w:t>
      </w:r>
    </w:p>
    <w:p w14:paraId="3A30ECCA">
      <w:pPr>
        <w:keepNext w:val="0"/>
        <w:keepLines w:val="0"/>
        <w:widowControl/>
        <w:suppressLineNumbers w:val="0"/>
        <w:jc w:val="left"/>
        <w:rPr>
          <w:rFonts w:hint="default"/>
          <w:lang w:val="en-US"/>
        </w:rPr>
      </w:pPr>
      <w:r>
        <w:rPr>
          <w:rFonts w:hint="default"/>
          <w:lang w:val="en-US"/>
        </w:rPr>
        <w:t>（三）结论</w:t>
      </w:r>
    </w:p>
    <w:p w14:paraId="68CCDEA4">
      <w:pPr>
        <w:keepNext w:val="0"/>
        <w:keepLines w:val="0"/>
        <w:widowControl/>
        <w:suppressLineNumbers w:val="0"/>
        <w:jc w:val="left"/>
        <w:rPr>
          <w:rFonts w:hint="default"/>
          <w:lang w:val="en-US"/>
        </w:rPr>
      </w:pPr>
      <w:r>
        <w:rPr>
          <w:rFonts w:hint="default"/>
          <w:lang w:val="en-US"/>
        </w:rPr>
        <w:t>GIS空间分析在经济学、政治学、社会学等领域</w:t>
      </w:r>
      <w:r>
        <w:rPr>
          <w:rFonts w:hint="default" w:ascii="宋体" w:hAnsi="宋体" w:eastAsia="宋体" w:cs="宋体"/>
          <w:color w:val="231F20"/>
          <w:sz w:val="20"/>
          <w:lang w:val="en-US" w:eastAsia="zh-CN" w:bidi="ar"/>
        </w:rPr>
        <w:t>均被广泛应用。然而，GIS</w:t>
      </w:r>
      <w:r>
        <w:rPr>
          <w:rFonts w:hint="eastAsia" w:ascii="宋体" w:hAnsi="宋体" w:eastAsia="宋体" w:cs="宋体"/>
          <w:color w:val="231F20"/>
          <w:sz w:val="20"/>
          <w:lang w:val="en-US" w:eastAsia="zh-CN" w:bidi="ar"/>
        </w:rPr>
        <w:t>的应用</w:t>
      </w:r>
      <w:r>
        <w:rPr>
          <w:rFonts w:hint="default" w:ascii="宋体" w:hAnsi="宋体" w:eastAsia="宋体" w:cs="宋体"/>
          <w:color w:val="231F20"/>
          <w:sz w:val="20"/>
          <w:lang w:val="en-US" w:eastAsia="zh-CN" w:bidi="ar"/>
        </w:rPr>
        <w:t>也面临着一些难题</w:t>
      </w:r>
      <w:r>
        <w:rPr>
          <w:rFonts w:hint="eastAsia" w:ascii="宋体" w:hAnsi="宋体" w:eastAsia="宋体" w:cs="宋体"/>
          <w:color w:val="231F20"/>
          <w:sz w:val="20"/>
          <w:lang w:val="en-US" w:eastAsia="zh-CN" w:bidi="ar"/>
        </w:rPr>
        <w:t>，如</w:t>
      </w:r>
      <w:r>
        <w:rPr>
          <w:rFonts w:hint="default" w:ascii="宋体" w:hAnsi="宋体" w:eastAsia="宋体" w:cs="宋体"/>
          <w:color w:val="231F20"/>
          <w:sz w:val="20"/>
          <w:lang w:val="en-US" w:eastAsia="zh-CN" w:bidi="ar"/>
        </w:rPr>
        <w:t>数据与问题的匹配难题、方法与机制的整合困境、地点与尺度的情境错位等。</w:t>
      </w:r>
      <w:r>
        <w:rPr>
          <w:rFonts w:hint="eastAsia"/>
          <w:lang w:val="en-US" w:eastAsia="zh-CN"/>
        </w:rPr>
        <w:t>未来需要依托大模型构建协同范式推动空间分析向因果推断透明化发展，通过多源数据融合与“硅基样本”突破数据局限搭建“空间-调查”融合的认知基础设施，实现GIS从辅助工具向理论生成与机制解析核心引擎的跃升。</w:t>
      </w:r>
    </w:p>
    <w:p w14:paraId="B5AE9437">
      <w:pPr>
        <w:keepNext w:val="0"/>
        <w:keepLines w:val="0"/>
        <w:widowControl/>
        <w:suppressLineNumbers w:val="0"/>
        <w:jc w:val="left"/>
        <w:rPr>
          <w:rFonts w:hint="default"/>
          <w:lang w:val="en-US"/>
        </w:rPr>
      </w:pPr>
      <w:r>
        <w:rPr>
          <w:rFonts w:hint="eastAsia"/>
          <w:lang w:val="en-US" w:eastAsia="zh-CN"/>
        </w:rPr>
        <w:t>（四）分析、评价与感想</w:t>
      </w:r>
    </w:p>
    <w:p w14:paraId="5591D583">
      <w:pPr>
        <w:jc w:val="left"/>
        <w:rPr>
          <w:rFonts w:hint="eastAsia"/>
          <w:lang w:val="en-US" w:eastAsia="zh-CN"/>
        </w:rPr>
      </w:pPr>
      <w:r>
        <w:rPr>
          <w:rFonts w:hint="eastAsia"/>
          <w:lang w:val="en-US" w:eastAsia="zh-CN"/>
        </w:rPr>
        <w:t>文章的创新点在于打破GIS“技术工具”的传统认知，提出将GIS作为“核心分析范式”来推动社会科学研究从“空间均质假设”向“时空异质性探索”转型。尤其针对当前融合的不足之处，提出了“大模型——空间分析”协同范式，为解决数据匹配、机制解释等难题提供了创新思路。</w:t>
      </w:r>
    </w:p>
    <w:p w14:paraId="24B8C508">
      <w:pPr>
        <w:jc w:val="left"/>
        <w:rPr>
          <w:rFonts w:hint="eastAsia"/>
          <w:lang w:val="en-US" w:eastAsia="zh-CN"/>
        </w:rPr>
      </w:pPr>
      <w:r>
        <w:rPr>
          <w:rFonts w:hint="eastAsia"/>
          <w:lang w:val="en-US" w:eastAsia="zh-CN"/>
        </w:rPr>
        <w:t>这篇文章最打动我的是其对空间分析“范式革新”的精准定位，它打破了我的固有思维，让我明白GIS不只是一个简单的绘图工具，它还可以深入社会科学研究内核、重塑其分析逻辑的核心框架。过去，我总认为编程语言、算法只是我们需要使用的工具，但是这篇研究让我深刻认识到语言和算法恰恰是我们最后的研究结果的根基，是对技术的更深层次理解与应用。本文用清晰的逻辑阐述，打通了应用工具与社会问题求解的壁垒，让我看到GIS技术是如何以一个崭新的身份为社会科学研究注入新活力。</w:t>
      </w:r>
    </w:p>
    <w:p w14:paraId="3845E64E">
      <w:pPr>
        <w:numPr>
          <w:ilvl w:val="0"/>
          <w:numId w:val="1"/>
        </w:numPr>
        <w:ind w:left="0" w:leftChars="0" w:firstLine="0" w:firstLineChars="0"/>
        <w:jc w:val="left"/>
        <w:rPr>
          <w:rFonts w:hint="eastAsia"/>
          <w:lang w:val="en-US" w:eastAsia="zh-CN"/>
        </w:rPr>
      </w:pPr>
      <w:r>
        <w:rPr>
          <w:rFonts w:hint="eastAsia"/>
          <w:lang w:val="en-US" w:eastAsia="zh-CN"/>
        </w:rPr>
        <w:t>文献阅读报告2：《基于多维云 GIS 的地质模型动态更新技术研究与应用》</w:t>
      </w:r>
    </w:p>
    <w:p w14:paraId="5E7DF188">
      <w:pPr>
        <w:numPr>
          <w:ilvl w:val="0"/>
          <w:numId w:val="2"/>
        </w:numPr>
        <w:ind w:leftChars="0"/>
        <w:jc w:val="left"/>
        <w:rPr>
          <w:rFonts w:hint="eastAsia"/>
          <w:lang w:val="en-US" w:eastAsia="zh-CN"/>
        </w:rPr>
      </w:pPr>
      <w:r>
        <w:rPr>
          <w:rFonts w:hint="eastAsia"/>
          <w:lang w:val="en-US" w:eastAsia="zh-CN"/>
        </w:rPr>
        <w:t>研究目的</w:t>
      </w:r>
    </w:p>
    <w:p w14:paraId="1B92476B">
      <w:pPr>
        <w:keepNext w:val="0"/>
        <w:keepLines w:val="0"/>
        <w:widowControl/>
        <w:suppressLineNumbers w:val="0"/>
        <w:jc w:val="left"/>
        <w:rPr>
          <w:rFonts w:hint="eastAsia" w:ascii="楷体" w:hAnsi="楷体" w:eastAsia="楷体" w:cs="楷体"/>
          <w:color w:val="000000"/>
          <w:kern w:val="0"/>
          <w:sz w:val="21"/>
          <w:szCs w:val="21"/>
          <w:lang w:val="en-US" w:eastAsia="zh-CN" w:bidi="ar"/>
        </w:rPr>
      </w:pPr>
      <w:r>
        <w:rPr>
          <w:rFonts w:ascii="楷体" w:hAnsi="楷体" w:eastAsia="楷体" w:cs="楷体"/>
          <w:color w:val="000000"/>
          <w:kern w:val="0"/>
          <w:sz w:val="21"/>
          <w:szCs w:val="21"/>
          <w:lang w:val="en-US" w:eastAsia="zh-CN" w:bidi="ar"/>
        </w:rPr>
        <w:t>为提升神东矿区地质模型的快速构建、高效存储及动态更新能力，</w:t>
      </w:r>
      <w:r>
        <w:rPr>
          <w:rFonts w:hint="eastAsia" w:ascii="楷体" w:hAnsi="楷体" w:eastAsia="楷体" w:cs="楷体"/>
          <w:color w:val="000000"/>
          <w:kern w:val="0"/>
          <w:sz w:val="21"/>
          <w:szCs w:val="21"/>
          <w:lang w:val="en-US" w:eastAsia="zh-CN" w:bidi="ar"/>
        </w:rPr>
        <w:t xml:space="preserve">基于多维云 </w:t>
      </w:r>
      <w:r>
        <w:rPr>
          <w:rFonts w:hint="default" w:ascii="Times New Roman" w:hAnsi="Times New Roman" w:eastAsia="宋体" w:cs="Times New Roman"/>
          <w:color w:val="000000"/>
          <w:kern w:val="0"/>
          <w:sz w:val="21"/>
          <w:szCs w:val="21"/>
          <w:lang w:val="en-US" w:eastAsia="zh-CN" w:bidi="ar"/>
        </w:rPr>
        <w:t xml:space="preserve">GIS </w:t>
      </w:r>
      <w:r>
        <w:rPr>
          <w:rFonts w:hint="eastAsia" w:ascii="楷体" w:hAnsi="楷体" w:eastAsia="楷体" w:cs="楷体"/>
          <w:color w:val="000000"/>
          <w:kern w:val="0"/>
          <w:sz w:val="21"/>
          <w:szCs w:val="21"/>
          <w:lang w:val="en-US" w:eastAsia="zh-CN" w:bidi="ar"/>
        </w:rPr>
        <w:t>研究并构建了一个集跨平台、分布式存储、云协同、二三维一体化的三维地质模型动态更新技术体系，统一融合、协同处理神东“矿区</w:t>
      </w:r>
      <w:r>
        <w:rPr>
          <w:rFonts w:hint="default" w:ascii="Times New Roman" w:hAnsi="Times New Roman" w:eastAsia="宋体" w:cs="Times New Roman"/>
          <w:color w:val="000000"/>
          <w:kern w:val="0"/>
          <w:sz w:val="21"/>
          <w:szCs w:val="21"/>
          <w:lang w:val="en-US" w:eastAsia="zh-CN" w:bidi="ar"/>
        </w:rPr>
        <w:t>-</w:t>
      </w:r>
      <w:r>
        <w:rPr>
          <w:rFonts w:hint="eastAsia" w:ascii="楷体" w:hAnsi="楷体" w:eastAsia="楷体" w:cs="楷体"/>
          <w:color w:val="000000"/>
          <w:kern w:val="0"/>
          <w:sz w:val="21"/>
          <w:szCs w:val="21"/>
          <w:lang w:val="en-US" w:eastAsia="zh-CN" w:bidi="ar"/>
        </w:rPr>
        <w:t>矿井</w:t>
      </w:r>
      <w:r>
        <w:rPr>
          <w:rFonts w:hint="default" w:ascii="Times New Roman" w:hAnsi="Times New Roman" w:eastAsia="宋体" w:cs="Times New Roman"/>
          <w:color w:val="000000"/>
          <w:kern w:val="0"/>
          <w:sz w:val="21"/>
          <w:szCs w:val="21"/>
          <w:lang w:val="en-US" w:eastAsia="zh-CN" w:bidi="ar"/>
        </w:rPr>
        <w:t>-</w:t>
      </w:r>
      <w:r>
        <w:rPr>
          <w:rFonts w:hint="eastAsia" w:ascii="楷体" w:hAnsi="楷体" w:eastAsia="楷体" w:cs="楷体"/>
          <w:color w:val="000000"/>
          <w:kern w:val="0"/>
          <w:sz w:val="21"/>
          <w:szCs w:val="21"/>
          <w:lang w:val="en-US" w:eastAsia="zh-CN" w:bidi="ar"/>
        </w:rPr>
        <w:t>工作面”三级架构的地质模型数据。</w:t>
      </w:r>
      <w:r>
        <w:rPr>
          <w:rStyle w:val="5"/>
          <w:rFonts w:hint="eastAsia" w:ascii="楷体" w:hAnsi="楷体" w:eastAsia="楷体" w:cs="楷体"/>
          <w:color w:val="000000"/>
          <w:kern w:val="0"/>
          <w:sz w:val="21"/>
          <w:szCs w:val="21"/>
          <w:lang w:val="en-US" w:eastAsia="zh-CN" w:bidi="ar"/>
        </w:rPr>
        <w:t>[</w:t>
      </w:r>
      <w:r>
        <w:rPr>
          <w:rStyle w:val="5"/>
          <w:rFonts w:hint="eastAsia" w:ascii="楷体" w:hAnsi="楷体" w:eastAsia="楷体" w:cs="楷体"/>
          <w:color w:val="000000"/>
          <w:kern w:val="0"/>
          <w:sz w:val="21"/>
          <w:szCs w:val="21"/>
          <w:lang w:val="en-US" w:eastAsia="zh-CN" w:bidi="ar"/>
        </w:rPr>
        <w:endnoteReference w:id="1"/>
      </w:r>
      <w:r>
        <w:rPr>
          <w:rStyle w:val="5"/>
          <w:rFonts w:hint="eastAsia" w:ascii="楷体" w:hAnsi="楷体" w:eastAsia="楷体" w:cs="楷体"/>
          <w:color w:val="000000"/>
          <w:kern w:val="0"/>
          <w:sz w:val="21"/>
          <w:szCs w:val="21"/>
          <w:lang w:val="en-US" w:eastAsia="zh-CN" w:bidi="ar"/>
        </w:rPr>
        <w:t>]</w:t>
      </w:r>
    </w:p>
    <w:p w14:paraId="706CC058">
      <w:pPr>
        <w:keepNext w:val="0"/>
        <w:keepLines w:val="0"/>
        <w:widowControl/>
        <w:numPr>
          <w:ilvl w:val="0"/>
          <w:numId w:val="2"/>
        </w:numPr>
        <w:suppressLineNumbers w:val="0"/>
        <w:ind w:left="0" w:leftChars="0" w:firstLine="0" w:firstLineChars="0"/>
        <w:jc w:val="left"/>
        <w:rPr>
          <w:rFonts w:hint="eastAsia" w:ascii="楷体" w:hAnsi="楷体" w:eastAsia="楷体" w:cs="楷体"/>
          <w:color w:val="000000"/>
          <w:kern w:val="0"/>
          <w:sz w:val="21"/>
          <w:szCs w:val="21"/>
          <w:lang w:val="en-US" w:eastAsia="zh-CN" w:bidi="ar"/>
        </w:rPr>
      </w:pPr>
      <w:r>
        <w:rPr>
          <w:rFonts w:hint="eastAsia" w:ascii="楷体" w:hAnsi="楷体" w:eastAsia="楷体" w:cs="楷体"/>
          <w:color w:val="000000"/>
          <w:kern w:val="0"/>
          <w:sz w:val="21"/>
          <w:szCs w:val="21"/>
          <w:lang w:val="en-US" w:eastAsia="zh-CN" w:bidi="ar"/>
        </w:rPr>
        <w:t>研究方法</w:t>
      </w:r>
    </w:p>
    <w:p w14:paraId="203F616A">
      <w:pPr>
        <w:keepNext w:val="0"/>
        <w:keepLines w:val="0"/>
        <w:widowControl/>
        <w:suppressLineNumbers w:val="0"/>
        <w:jc w:val="left"/>
      </w:pPr>
      <w:r>
        <w:rPr>
          <w:rFonts w:hint="eastAsia" w:ascii="楷体" w:hAnsi="楷体" w:eastAsia="楷体" w:cs="楷体"/>
          <w:color w:val="000000"/>
          <w:kern w:val="0"/>
          <w:sz w:val="21"/>
          <w:szCs w:val="21"/>
          <w:lang w:val="en-US" w:eastAsia="zh-CN" w:bidi="ar"/>
        </w:rPr>
        <w:t>1.</w:t>
      </w:r>
      <w:r>
        <w:rPr>
          <w:rFonts w:ascii="黑体" w:hAnsi="宋体" w:eastAsia="黑体" w:cs="黑体"/>
          <w:color w:val="000000"/>
          <w:kern w:val="0"/>
          <w:sz w:val="24"/>
          <w:szCs w:val="24"/>
          <w:lang w:val="en-US" w:eastAsia="zh-CN" w:bidi="ar"/>
        </w:rPr>
        <w:t>多级约束地质建模体系</w:t>
      </w:r>
    </w:p>
    <w:p w14:paraId="2FB60D19">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多级约束地质建模体系中利用大层模型作为约束框架，在约束框架下构建更加精细划分的亚层、小层或者岩性模型，对于不同级别的模型采用不同尺度进行空间网格剖分，通过数据与模型的迭代动态更新，不断提高模型数精度。</w:t>
      </w:r>
    </w:p>
    <w:p w14:paraId="3077C3B6">
      <w:pPr>
        <w:keepNext w:val="0"/>
        <w:keepLines w:val="0"/>
        <w:widowControl/>
        <w:suppressLineNumbers w:val="0"/>
        <w:jc w:val="left"/>
      </w:pPr>
      <w:r>
        <w:rPr>
          <w:rFonts w:hint="eastAsia" w:ascii="宋体" w:hAnsi="宋体" w:eastAsia="宋体" w:cs="宋体"/>
          <w:color w:val="000000"/>
          <w:kern w:val="0"/>
          <w:sz w:val="21"/>
          <w:szCs w:val="21"/>
          <w:lang w:val="en-US" w:eastAsia="zh-CN" w:bidi="ar"/>
        </w:rPr>
        <w:t>2.</w:t>
      </w:r>
      <w:r>
        <w:rPr>
          <w:rFonts w:ascii="黑体" w:hAnsi="宋体" w:eastAsia="黑体" w:cs="黑体"/>
          <w:color w:val="000000"/>
          <w:kern w:val="0"/>
          <w:sz w:val="24"/>
          <w:szCs w:val="24"/>
          <w:lang w:val="en-US" w:eastAsia="zh-CN" w:bidi="ar"/>
        </w:rPr>
        <w:t>地质模型动态更新</w:t>
      </w:r>
    </w:p>
    <w:p w14:paraId="216750FB">
      <w:pP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随着煤矿的钻孔勘探、物探、巷道掘进、回采剖面写实等生产活动获取的最新地质时空数据，调用多维云 </w:t>
      </w:r>
      <w:r>
        <w:rPr>
          <w:rFonts w:hint="default" w:ascii="Times New Roman" w:hAnsi="Times New Roman" w:eastAsia="宋体" w:cs="Times New Roman"/>
          <w:color w:val="000000"/>
          <w:kern w:val="0"/>
          <w:sz w:val="21"/>
          <w:szCs w:val="21"/>
          <w:lang w:val="en-US" w:eastAsia="zh-CN" w:bidi="ar"/>
        </w:rPr>
        <w:t xml:space="preserve">GIS </w:t>
      </w:r>
      <w:r>
        <w:rPr>
          <w:rFonts w:hint="eastAsia" w:ascii="宋体" w:hAnsi="宋体" w:eastAsia="宋体" w:cs="宋体"/>
          <w:color w:val="000000"/>
          <w:kern w:val="0"/>
          <w:sz w:val="21"/>
          <w:szCs w:val="21"/>
          <w:lang w:val="en-US" w:eastAsia="zh-CN" w:bidi="ar"/>
        </w:rPr>
        <w:t xml:space="preserve">平台分布式计算 </w:t>
      </w:r>
      <w:r>
        <w:rPr>
          <w:rFonts w:hint="default" w:ascii="Times New Roman" w:hAnsi="Times New Roman" w:eastAsia="宋体" w:cs="Times New Roman"/>
          <w:color w:val="000000"/>
          <w:kern w:val="0"/>
          <w:sz w:val="21"/>
          <w:szCs w:val="21"/>
          <w:lang w:val="en-US" w:eastAsia="zh-CN" w:bidi="ar"/>
        </w:rPr>
        <w:t xml:space="preserve">GIS </w:t>
      </w:r>
      <w:r>
        <w:rPr>
          <w:rFonts w:hint="eastAsia" w:ascii="宋体" w:hAnsi="宋体" w:eastAsia="宋体" w:cs="宋体"/>
          <w:color w:val="000000"/>
          <w:kern w:val="0"/>
          <w:sz w:val="21"/>
          <w:szCs w:val="21"/>
          <w:lang w:val="en-US" w:eastAsia="zh-CN" w:bidi="ar"/>
        </w:rPr>
        <w:t>服务，通过决多种数据类型导入、拓扑关系分析、平剖对应、场景位置分析、膨胀搜索、空间插值、平滑过渡等一系列专业算法的分析与处理，实现多源数据的融合与地质模型的局部动态更新。</w:t>
      </w:r>
    </w:p>
    <w:p w14:paraId="62EE4108">
      <w:pPr>
        <w:rPr>
          <w:rFonts w:hint="eastAsia"/>
        </w:rPr>
      </w:pPr>
      <w:r>
        <w:rPr>
          <w:rFonts w:hint="eastAsia"/>
        </w:rPr>
        <w:t>（三）结论</w:t>
      </w:r>
    </w:p>
    <w:p w14:paraId="25494304">
      <w:pPr>
        <w:rPr>
          <w:rFonts w:hint="eastAsia"/>
        </w:rPr>
      </w:pPr>
      <w:r>
        <w:rPr>
          <w:rFonts w:hint="eastAsia"/>
        </w:rPr>
        <w:t xml:space="preserve"> </w:t>
      </w:r>
    </w:p>
    <w:p w14:paraId="5A44D5D6">
      <w:pPr>
        <w:rPr>
          <w:rFonts w:hint="eastAsia"/>
        </w:rPr>
      </w:pPr>
      <w:r>
        <w:rPr>
          <w:rFonts w:hint="eastAsia"/>
        </w:rPr>
        <w:t>这篇文章构建的基于多维云GIS的地质模型动态更新技术体系，成功解决了煤矿地质数据存储难、融合差、更新慢的痛点，实现了“矿区-矿井-工作面”三级数据的统一融合，以及TB级时空数据的高效处理。其中创新的多级约束建模、复杂构造TIN生成、半边结构膨胀搜索等关键技术，大幅提升了模型构建的精度和更新效率。这套技术用到神东矿区后，各级模型的更新响应速度明显加快，实现了二三维同步更新和可视化共享，给煤矿透明地质保障和智能化采掘提供了核心技术支撑。</w:t>
      </w:r>
    </w:p>
    <w:p w14:paraId="7A985534">
      <w:pPr>
        <w:rPr>
          <w:rFonts w:hint="eastAsia"/>
        </w:rPr>
      </w:pPr>
      <w:r>
        <w:rPr>
          <w:rFonts w:hint="eastAsia"/>
        </w:rPr>
        <w:t xml:space="preserve"> </w:t>
      </w:r>
    </w:p>
    <w:p w14:paraId="79710FDF">
      <w:pPr>
        <w:rPr>
          <w:rFonts w:hint="eastAsia"/>
        </w:rPr>
      </w:pPr>
      <w:r>
        <w:rPr>
          <w:rFonts w:hint="eastAsia"/>
        </w:rPr>
        <w:t>（四）分析、评价与感想</w:t>
      </w:r>
    </w:p>
    <w:p w14:paraId="2C484561">
      <w:pPr>
        <w:rPr>
          <w:rFonts w:hint="eastAsia"/>
        </w:rPr>
      </w:pPr>
      <w:r>
        <w:rPr>
          <w:rFonts w:hint="eastAsia"/>
        </w:rPr>
        <w:t xml:space="preserve"> </w:t>
      </w:r>
    </w:p>
    <w:p w14:paraId="61D03843">
      <w:pPr>
        <w:rPr>
          <w:rFonts w:hint="eastAsia"/>
        </w:rPr>
      </w:pPr>
      <w:r>
        <w:rPr>
          <w:rFonts w:hint="eastAsia"/>
        </w:rPr>
        <w:t>这篇文章紧紧围绕煤矿智能化建设的核心需求，精准瞄准地质模型数据孤岛、更新低效等行业痛点，搭建的多维云GIS技术体系完美适配“矿区-矿井-工作面”的三级应用场景。这套体系不仅填补了复杂地质构造下动态建模的技术空白，还为透明地质保障系统建设提供了切实可行的解决方案，既有理论上的创新性，又有很强的工程实践价值，对推动煤矿地质建模技术的智能化升级意义重大。</w:t>
      </w:r>
    </w:p>
    <w:p w14:paraId="2EC38953">
      <w:pPr>
        <w:keepNext w:val="0"/>
        <w:keepLines w:val="0"/>
        <w:widowControl/>
        <w:suppressLineNumbers w:val="0"/>
        <w:jc w:val="left"/>
      </w:pPr>
      <w:r>
        <w:rPr>
          <w:rFonts w:hint="eastAsia"/>
        </w:rPr>
        <w:t>读完之后，我深深感受到技术创新对传统行业的颠覆性力量。以前煤矿地质建模受限于数据割裂、更新滞后，根本没法支撑智能化采掘的需求；而这篇文章里的多维云GIS技术体系，借助云存储、协同处理等技术，让海量的地质数据“活”了起来，让静态的地质模型“动”了起来，彻底改变了传统地质建模的固有模式。</w:t>
      </w:r>
      <w:r>
        <w:rPr>
          <w:color w:val="000000"/>
          <w:sz w:val="21"/>
        </w:rPr>
        <w:t>同时，我</w:t>
      </w:r>
      <w:r>
        <w:rPr>
          <w:rFonts w:hint="eastAsia"/>
          <w:color w:val="000000"/>
          <w:sz w:val="21"/>
          <w:lang w:val="en-US" w:eastAsia="zh-CN"/>
        </w:rPr>
        <w:t>也</w:t>
      </w:r>
      <w:r>
        <w:rPr>
          <w:color w:val="000000"/>
          <w:sz w:val="21"/>
        </w:rPr>
        <w:t>明白</w:t>
      </w:r>
      <w:r>
        <w:rPr>
          <w:rFonts w:hint="eastAsia"/>
          <w:color w:val="000000"/>
          <w:sz w:val="21"/>
          <w:lang w:val="en-US" w:eastAsia="zh-CN"/>
        </w:rPr>
        <w:t>了</w:t>
      </w:r>
      <w:r>
        <w:rPr>
          <w:color w:val="000000"/>
          <w:sz w:val="21"/>
        </w:rPr>
        <w:t>生态研究需兼顾科学与实用：既要贴合研究区实际选指标，又要通过技术让成果转化为可操作的建议，这</w:t>
      </w:r>
      <w:r>
        <w:rPr>
          <w:rFonts w:hint="eastAsia"/>
          <w:color w:val="000000"/>
          <w:sz w:val="21"/>
          <w:lang w:val="en-US" w:eastAsia="zh-CN"/>
        </w:rPr>
        <w:t>对我今后的学习和研究有巨大的启发</w:t>
      </w:r>
      <w:r>
        <w:rPr>
          <w:color w:val="000000"/>
          <w:sz w:val="21"/>
        </w:rPr>
        <w:t>。</w:t>
      </w:r>
    </w:p>
    <w:p w14:paraId="745C08CA">
      <w:pPr>
        <w:rPr>
          <w:rFonts w:hint="eastAsia"/>
        </w:rPr>
      </w:pPr>
    </w:p>
    <w:p w14:paraId="50AA9ECD">
      <w:pPr>
        <w:rPr>
          <w:rFonts w:hint="eastAsia"/>
        </w:rPr>
      </w:pPr>
      <w:r>
        <w:rPr>
          <w:rFonts w:hint="eastAsia"/>
        </w:rPr>
        <w:t xml:space="preserve"> </w:t>
      </w:r>
    </w:p>
    <w:p w14:paraId="534CFD54">
      <w:pPr>
        <w:rPr>
          <w:rFonts w:hint="eastAsia"/>
        </w:rPr>
      </w:pPr>
      <w:r>
        <w:rPr>
          <w:rFonts w:hint="eastAsia"/>
        </w:rPr>
        <w:t>四、文献阅读报告3：《基于GIS的龙凤湿地省级自然保护区生态敏感性评价》</w:t>
      </w:r>
    </w:p>
    <w:p w14:paraId="6F109898">
      <w:pPr>
        <w:rPr>
          <w:rFonts w:hint="eastAsia"/>
        </w:rPr>
      </w:pPr>
      <w:r>
        <w:rPr>
          <w:rFonts w:hint="eastAsia"/>
        </w:rPr>
        <w:t xml:space="preserve"> </w:t>
      </w:r>
    </w:p>
    <w:p w14:paraId="7638F2BF">
      <w:pPr>
        <w:rPr>
          <w:rFonts w:hint="eastAsia"/>
        </w:rPr>
      </w:pPr>
      <w:r>
        <w:rPr>
          <w:rFonts w:hint="eastAsia"/>
        </w:rPr>
        <w:t>（一）研究目的</w:t>
      </w:r>
    </w:p>
    <w:p w14:paraId="62B50DB9">
      <w:pPr>
        <w:rPr>
          <w:rFonts w:hint="eastAsia"/>
        </w:rPr>
      </w:pPr>
      <w:r>
        <w:rPr>
          <w:rFonts w:hint="eastAsia"/>
        </w:rPr>
        <w:t xml:space="preserve"> </w:t>
      </w:r>
    </w:p>
    <w:p w14:paraId="117BB2D1">
      <w:pPr>
        <w:keepNext w:val="0"/>
        <w:keepLines w:val="0"/>
        <w:widowControl/>
        <w:suppressLineNumbers w:val="0"/>
        <w:jc w:val="left"/>
      </w:pPr>
      <w:r>
        <w:rPr>
          <w:color w:val="000000"/>
          <w:sz w:val="21"/>
        </w:rPr>
        <w:t>本研究结合层次分析法和 GIS 空间分析法，以可持续发展理论为基础，构建龙凤湿地自然保护区的生态敏感性评价体系，丰富对湿地景观方面的保护与研究，拓宽湿地生态系统的研究视角，为湿地保护区的相关研究提供参考，对解决湿地自然保护区内潜在的问题并进行合理规划具有重要的意义。</w:t>
      </w:r>
      <w:r>
        <w:rPr>
          <w:rStyle w:val="5"/>
          <w:color w:val="000000"/>
          <w:sz w:val="21"/>
        </w:rPr>
        <w:t>[</w:t>
      </w:r>
      <w:r>
        <w:rPr>
          <w:rStyle w:val="5"/>
          <w:color w:val="000000"/>
          <w:sz w:val="21"/>
        </w:rPr>
        <w:endnoteReference w:id="2"/>
      </w:r>
      <w:r>
        <w:rPr>
          <w:rStyle w:val="5"/>
          <w:color w:val="000000"/>
          <w:sz w:val="21"/>
        </w:rPr>
        <w:t>]</w:t>
      </w:r>
    </w:p>
    <w:p w14:paraId="CEB5F26E">
      <w:pPr>
        <w:keepNext w:val="0"/>
        <w:keepLines w:val="0"/>
        <w:widowControl/>
        <w:suppressLineNumbers w:val="0"/>
        <w:jc w:val="left"/>
      </w:pPr>
      <w:r>
        <w:rPr>
          <w:color w:val="000000"/>
          <w:sz w:val="21"/>
        </w:rPr>
        <w:t>（二）研究方法</w:t>
      </w:r>
    </w:p>
    <w:p w14:paraId="F777E884">
      <w:pPr>
        <w:keepNext w:val="0"/>
        <w:keepLines w:val="0"/>
        <w:widowControl/>
        <w:suppressLineNumbers w:val="0"/>
        <w:jc w:val="left"/>
      </w:pPr>
      <w:r>
        <w:rPr>
          <w:color w:val="000000"/>
          <w:sz w:val="21"/>
        </w:rPr>
        <w:t>1.数据处理</w:t>
      </w:r>
    </w:p>
    <w:p w14:paraId="045E7D42">
      <w:pPr>
        <w:keepNext w:val="0"/>
        <w:keepLines w:val="0"/>
        <w:widowControl/>
        <w:suppressLineNumbers w:val="0"/>
        <w:jc w:val="left"/>
      </w:pPr>
      <w:r>
        <w:rPr>
          <w:color w:val="000000"/>
          <w:sz w:val="21"/>
        </w:rPr>
        <w:t>将研究区DE</w:t>
      </w:r>
      <w:r>
        <w:rPr>
          <w:rFonts w:hint="eastAsia"/>
          <w:color w:val="000000"/>
          <w:sz w:val="21"/>
          <w:lang w:val="en-US" w:eastAsia="zh-CN"/>
        </w:rPr>
        <w:t>M</w:t>
      </w:r>
      <w:r>
        <w:rPr>
          <w:color w:val="000000"/>
          <w:sz w:val="21"/>
        </w:rPr>
        <w:t>数据和土地覆盖数据在ArcGIS10.8软件中按投影转换、裁剪、重分类等步骤，生成空间分析的矢量结果和统计分析的数量结果。</w:t>
      </w:r>
    </w:p>
    <w:p w14:paraId="689FBEC3">
      <w:pPr>
        <w:keepNext w:val="0"/>
        <w:keepLines w:val="0"/>
        <w:widowControl/>
        <w:suppressLineNumbers w:val="0"/>
        <w:jc w:val="left"/>
      </w:pPr>
      <w:r>
        <w:rPr>
          <w:color w:val="000000"/>
          <w:sz w:val="21"/>
        </w:rPr>
        <w:t>2.生态敏感性评价体系</w:t>
      </w:r>
    </w:p>
    <w:p w14:paraId="BC2B2024">
      <w:pPr>
        <w:keepNext w:val="0"/>
        <w:keepLines w:val="0"/>
        <w:widowControl/>
        <w:suppressLineNumbers w:val="0"/>
        <w:jc w:val="left"/>
      </w:pPr>
      <w:r>
        <w:rPr>
          <w:color w:val="000000"/>
          <w:sz w:val="21"/>
        </w:rPr>
        <w:t>该研究采用“指标构建-权重确定-数据处理-综合评价”的简化流程构建生态敏感性评价体系：先结合龙凤湿地特征，选取地理、环境、人为三大类共8项评价指标；再通过层次分析法（AHP）确定各指标权重并检验合理性；</w:t>
      </w:r>
      <w:r>
        <w:rPr>
          <w:rFonts w:hint="eastAsia"/>
          <w:color w:val="000000"/>
          <w:sz w:val="21"/>
          <w:lang w:val="en-US" w:eastAsia="zh-CN"/>
        </w:rPr>
        <w:t>接着</w:t>
      </w:r>
      <w:r>
        <w:rPr>
          <w:color w:val="000000"/>
          <w:sz w:val="21"/>
        </w:rPr>
        <w:t>收集相关数据，经预处理与标准化分级后，借助GIS空间分析技术将各指标按权重算术叠加，最终完成综合生态敏感性评价与敏感区域划分。</w:t>
      </w:r>
    </w:p>
    <w:p w14:paraId="3FA158B1">
      <w:pPr>
        <w:keepNext w:val="0"/>
        <w:keepLines w:val="0"/>
        <w:widowControl/>
        <w:suppressLineNumbers w:val="0"/>
        <w:jc w:val="left"/>
      </w:pPr>
      <w:r>
        <w:rPr>
          <w:color w:val="000000"/>
          <w:sz w:val="21"/>
        </w:rPr>
        <w:t>（三）结论</w:t>
      </w:r>
    </w:p>
    <w:p w14:paraId="0D398EF0">
      <w:pPr>
        <w:keepNext w:val="0"/>
        <w:keepLines w:val="0"/>
        <w:widowControl/>
        <w:suppressLineNumbers w:val="0"/>
        <w:jc w:val="left"/>
        <w:rPr>
          <w:color w:val="000000"/>
          <w:sz w:val="21"/>
        </w:rPr>
      </w:pPr>
      <w:r>
        <w:rPr>
          <w:rFonts w:hint="eastAsia" w:ascii="宋体" w:hAnsi="宋体" w:eastAsia="宋体" w:cs="宋体"/>
          <w:color w:val="000000"/>
          <w:kern w:val="0"/>
          <w:sz w:val="21"/>
          <w:szCs w:val="21"/>
          <w:lang w:val="en-US" w:eastAsia="zh-CN" w:bidi="ar"/>
        </w:rPr>
        <w:t>研究表明，龙凤湿地省级自然保护区生态极高敏感区面积占比为</w:t>
      </w:r>
      <w:r>
        <w:rPr>
          <w:rFonts w:hint="default" w:ascii="Times New Roman" w:hAnsi="Times New Roman" w:eastAsia="宋体" w:cs="Times New Roman"/>
          <w:color w:val="000000"/>
          <w:kern w:val="0"/>
          <w:sz w:val="21"/>
          <w:szCs w:val="21"/>
          <w:lang w:val="en-US" w:eastAsia="zh-CN" w:bidi="ar"/>
        </w:rPr>
        <w:t>14.1%</w:t>
      </w:r>
      <w:r>
        <w:rPr>
          <w:rFonts w:ascii="濠糱j" w:hAnsi="濠糱j" w:eastAsia="濠糱j" w:cs="濠糱j"/>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主要分布在研究区中部的湿地与水体；比较敏感区域面积占比为</w:t>
      </w:r>
      <w:r>
        <w:rPr>
          <w:rFonts w:hint="default" w:ascii="Times New Roman" w:hAnsi="Times New Roman" w:eastAsia="宋体" w:cs="Times New Roman"/>
          <w:color w:val="000000"/>
          <w:kern w:val="0"/>
          <w:sz w:val="21"/>
          <w:szCs w:val="21"/>
          <w:lang w:val="en-US" w:eastAsia="zh-CN" w:bidi="ar"/>
        </w:rPr>
        <w:t>46.4%</w:t>
      </w:r>
      <w:r>
        <w:rPr>
          <w:rFonts w:ascii="濠糱j" w:hAnsi="濠糱j" w:eastAsia="濠糱j" w:cs="濠糱j"/>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主要分布在湿地水体四周区域；不敏感区域面积占比为</w:t>
      </w:r>
      <w:r>
        <w:rPr>
          <w:rFonts w:hint="default" w:ascii="Times New Roman" w:hAnsi="Times New Roman" w:eastAsia="宋体" w:cs="Times New Roman"/>
          <w:color w:val="000000"/>
          <w:kern w:val="0"/>
          <w:sz w:val="21"/>
          <w:szCs w:val="21"/>
          <w:lang w:val="en-US" w:eastAsia="zh-CN" w:bidi="ar"/>
        </w:rPr>
        <w:t>39.5%</w:t>
      </w:r>
      <w:r>
        <w:rPr>
          <w:rFonts w:ascii="濠糱j" w:hAnsi="濠糱j" w:eastAsia="濠糱j" w:cs="濠糱j"/>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主要分布在保护区边缘。</w:t>
      </w:r>
      <w:r>
        <w:rPr>
          <w:color w:val="000000"/>
          <w:sz w:val="21"/>
        </w:rPr>
        <w:t>植被覆盖度与水域缓冲区是影响生态敏感性的核心因子，研究结果为保护区划定核心保护区、缓冲区与实验区，实施差异化生态保护与旅游开发规划提供了科学依据。</w:t>
      </w:r>
    </w:p>
    <w:p w14:paraId="7D1832D4">
      <w:pP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（四）分析评价与感想</w:t>
      </w:r>
    </w:p>
    <w:p w14:paraId="07E64597">
      <w:pP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 </w:t>
      </w:r>
    </w:p>
    <w:p w14:paraId="50E9B5BE">
      <w:pP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这项研究抓准了湿地生态保护和规划的实际需求，建了个包含地理、环境、人为三大类8项指标的评价体系。先用层次分析法定好指标权重，再靠GIS空间分析把敏感区域直观画出来——既保证结果靠谱，又解决了传统评价没法说清空间规律的问题。研究把龙凤湿地敏感区的分布特点、核心影响因素都讲透了，给保护区分功能区、做生态保护提供了实打实的数据支持。</w:t>
      </w:r>
    </w:p>
    <w:p w14:paraId="2F5FD64E">
      <w:pP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 </w:t>
      </w:r>
    </w:p>
    <w:p w14:paraId="2497A313">
      <w:pP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读完这篇文献，我真切地感受到GIS技术在生态保护里的用处和力量。以前说到湿地保护，大多是笼统的定性描述，而这项研究靠多源数据整合、空间叠加分析这些技术，把抽象的生态敏感性变成了一眼能看懂的区域分布图，该重点护着的地方、能适度开发的边界，瞬间就清晰了。同时我也明白，做生态研究得踏实，要结合研究区的实际选对指标，更要会用技术，让研究成果能真正落地变成能用的建议，这对我之后的学习和研究启发特别大。</w:t>
      </w:r>
    </w:p>
    <w:p w14:paraId="013F691A">
      <w:pP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 </w:t>
      </w:r>
    </w:p>
    <w:p w14:paraId="505A8F52">
      <w:pP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五、结语</w:t>
      </w:r>
    </w:p>
    <w:p w14:paraId="6E45643E">
      <w:pP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 </w:t>
      </w:r>
    </w:p>
    <w:p w14:paraId="4549DABC">
      <w:pP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三篇文献从解决社会问题、煤矿地质建模到湿地生态评价，把GIS空间分析在不同场景下的价值展现得明明白白。它们不光凸显了GIS在数据整合、空间可视化、动态更新这些方面的优势，也点出了跨学科融合时，方法适配、尺度匹配这些绕不开的难题，还给出了大模型协同、多级约束建模这些新鲜的解决思路，帮GIS技术升级找对了方向。</w:t>
      </w:r>
    </w:p>
    <w:p w14:paraId="2C11C535">
      <w:pP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 </w:t>
      </w:r>
    </w:p>
    <w:p w14:paraId="5C625558">
      <w:pPr>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这些研究不光给各个领域的实际问题提供了科学解法，更清楚地说明，GIS技术正从“帮衬的工具”变成“核心的分析思路”。往后，随着GIS和人工智能、大数据这些技术的深度融合，其在复杂系统治理、精准决策里的用处会越来越广泛，持续为</w:t>
      </w:r>
      <w:bookmarkStart w:id="0" w:name="_GoBack"/>
      <w:bookmarkEnd w:id="0"/>
      <w:r>
        <w:rPr>
          <w:rFonts w:hint="eastAsia" w:ascii="宋体" w:hAnsi="宋体" w:eastAsia="宋体" w:cs="宋体"/>
          <w:color w:val="000000"/>
          <w:kern w:val="0"/>
          <w:sz w:val="21"/>
          <w:szCs w:val="21"/>
          <w:lang w:val="en-US" w:eastAsia="zh-CN" w:bidi="ar"/>
        </w:rPr>
        <w:t>跨学科研究、产业智能化升级添力。</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6">
    <w:p>
      <w:r>
        <w:separator/>
      </w:r>
    </w:p>
  </w:endnote>
  <w:endnote w:type="continuationSeparator" w:id="7">
    <w:p>
      <w:r>
        <w:continuationSeparator/>
      </w:r>
    </w:p>
  </w:endnote>
  <w:endnote w:id="0">
    <w:p w14:paraId="5A88FAF9">
      <w:pPr>
        <w:pStyle w:val="2"/>
        <w:snapToGrid w:val="0"/>
      </w:pPr>
      <w:r>
        <w:rPr>
          <w:rStyle w:val="5"/>
        </w:rPr>
        <w:t>[</w:t>
      </w:r>
      <w:r>
        <w:rPr>
          <w:rStyle w:val="5"/>
        </w:rPr>
        <w:endnoteRef/>
      </w:r>
      <w:r>
        <w:rPr>
          <w:rStyle w:val="5"/>
        </w:rPr>
        <w:t>]</w:t>
      </w:r>
      <w:r>
        <w:t xml:space="preserve"> </w:t>
      </w:r>
      <w:r>
        <w:rPr>
          <w:rFonts w:hint="default"/>
          <w:lang w:val="en-US" w:eastAsia="zh-CN"/>
        </w:rPr>
        <w:t>贺力,王融.面向社会问题求解的GIS空间分析：融合路径、挑战与机遇[J].地球信息科学学报,2025,27(09):2151-2164.</w:t>
      </w:r>
    </w:p>
  </w:endnote>
  <w:endnote w:id="1">
    <w:p w14:paraId="6D594EA5">
      <w:pPr>
        <w:jc w:val="left"/>
      </w:pPr>
      <w:r>
        <w:rPr>
          <w:rStyle w:val="5"/>
        </w:rPr>
        <w:t>[</w:t>
      </w:r>
      <w:r>
        <w:rPr>
          <w:rStyle w:val="5"/>
        </w:rPr>
        <w:endnoteRef/>
      </w:r>
      <w:r>
        <w:rPr>
          <w:rStyle w:val="5"/>
        </w:rPr>
        <w:t>]</w:t>
      </w:r>
      <w:r>
        <w:t xml:space="preserve"> </w:t>
      </w:r>
      <w:r>
        <w:rPr>
          <w:rFonts w:hint="default"/>
          <w:lang w:val="en-US" w:eastAsia="zh-CN"/>
        </w:rPr>
        <w:t>孟永兵.基于多维云GIS的地质模型动态更新技术研究与应用[J/OL].煤炭科学技术,1-13[2025-11-16].https://link.cnki.net/urlid/11.2402.TD.20251017.1754.010.</w:t>
      </w:r>
    </w:p>
  </w:endnote>
  <w:endnote w:id="2">
    <w:p w14:paraId="6D8F1FB3">
      <w:pPr>
        <w:jc w:val="left"/>
        <w:rPr>
          <w:rFonts w:hint="default"/>
          <w:lang w:val="en-US" w:eastAsia="zh-CN"/>
        </w:rPr>
      </w:pPr>
      <w:r>
        <w:rPr>
          <w:rStyle w:val="5"/>
        </w:rPr>
        <w:t>[</w:t>
      </w:r>
      <w:r>
        <w:rPr>
          <w:rStyle w:val="5"/>
        </w:rPr>
        <w:endnoteRef/>
      </w:r>
      <w:r>
        <w:rPr>
          <w:rStyle w:val="5"/>
        </w:rPr>
        <w:t>]</w:t>
      </w:r>
      <w:r>
        <w:t xml:space="preserve"> </w:t>
      </w:r>
      <w:r>
        <w:rPr>
          <w:rFonts w:hint="default"/>
          <w:lang w:val="en-US" w:eastAsia="zh-CN"/>
        </w:rPr>
        <w:t>朱冕轩,张廷,胡海辉.基于GIS的龙凤湿地省级自然保护区生态敏感性评价[J].湿地科学,2025,23(05):878-887.DOI:10.13248/j.cnki.wetlandsci.20240181.</w:t>
      </w:r>
    </w:p>
    <w:p w14:paraId="0FE1D693">
      <w:pPr>
        <w:pStyle w:val="2"/>
        <w:snapToGrid w:val="0"/>
        <w:rPr>
          <w:rFonts w:hint="eastAsia"/>
          <w:lang w:val="en-US" w:eastAsia="zh-CN"/>
        </w:rPr>
      </w:pPr>
    </w:p>
    <w:p w14:paraId="78D77D86">
      <w:pPr>
        <w:pStyle w:val="2"/>
        <w:snapToGrid w:val="0"/>
        <w:rPr>
          <w:rFonts w:hint="eastAsia"/>
          <w:lang w:val="en-US" w:eastAsia="zh-CN"/>
        </w:rPr>
      </w:pPr>
    </w:p>
    <w:p w14:paraId="64A42041">
      <w:pPr>
        <w:pStyle w:val="2"/>
        <w:snapToGrid w:val="0"/>
        <w:rPr>
          <w:rFonts w:hint="eastAsia"/>
          <w:lang w:val="en-US" w:eastAsia="zh-CN"/>
        </w:rPr>
      </w:pPr>
    </w:p>
    <w:p w14:paraId="660A7428">
      <w:pPr>
        <w:pStyle w:val="2"/>
        <w:snapToGrid w:val="0"/>
        <w:rPr>
          <w:rFonts w:hint="eastAsia"/>
          <w:lang w:val="en-US" w:eastAsia="zh-CN"/>
        </w:rPr>
      </w:pPr>
    </w:p>
    <w:p w14:paraId="79128505">
      <w:pPr>
        <w:pStyle w:val="2"/>
        <w:snapToGrid w:val="0"/>
        <w:rPr>
          <w:rFonts w:hint="eastAsia"/>
          <w:lang w:val="en-US" w:eastAsia="zh-CN"/>
        </w:rPr>
      </w:pPr>
    </w:p>
    <w:p w14:paraId="12BFAAE1">
      <w:pPr>
        <w:pStyle w:val="2"/>
        <w:snapToGrid w:val="0"/>
        <w:rPr>
          <w:rFonts w:hint="eastAsia"/>
          <w:lang w:val="en-US" w:eastAsia="zh-CN"/>
        </w:rPr>
      </w:pPr>
    </w:p>
    <w:p w14:paraId="55402424">
      <w:pPr>
        <w:pStyle w:val="2"/>
        <w:snapToGrid w:val="0"/>
        <w:rPr>
          <w:rFonts w:hint="eastAsia"/>
          <w:lang w:val="en-US" w:eastAsia="zh-CN"/>
        </w:rPr>
      </w:pPr>
    </w:p>
    <w:p w14:paraId="0B6721F0">
      <w:pPr>
        <w:pStyle w:val="2"/>
        <w:snapToGrid w:val="0"/>
        <w:rPr>
          <w:rFonts w:hint="eastAsia"/>
          <w:lang w:val="en-US" w:eastAsia="zh-CN"/>
        </w:rPr>
      </w:pPr>
    </w:p>
    <w:p w14:paraId="17A1A5E9">
      <w:pPr>
        <w:pStyle w:val="2"/>
        <w:snapToGrid w:val="0"/>
        <w:rPr>
          <w:rFonts w:hint="eastAsia"/>
          <w:lang w:val="en-US" w:eastAsia="zh-CN"/>
        </w:rPr>
      </w:pPr>
    </w:p>
    <w:p w14:paraId="22C905DE">
      <w:pPr>
        <w:pStyle w:val="2"/>
        <w:snapToGrid w:val="0"/>
        <w:rPr>
          <w:rFonts w:hint="eastAsia"/>
          <w:lang w:val="en-US" w:eastAsia="zh-CN"/>
        </w:rPr>
      </w:pPr>
    </w:p>
    <w:p w14:paraId="3F8D6C76">
      <w:pPr>
        <w:pStyle w:val="2"/>
        <w:snapToGrid w:val="0"/>
        <w:rPr>
          <w:rFonts w:hint="eastAsia"/>
          <w:lang w:val="en-US" w:eastAsia="zh-CN"/>
        </w:rPr>
      </w:pPr>
    </w:p>
    <w:p w14:paraId="2DCB9B4F">
      <w:pPr>
        <w:pStyle w:val="2"/>
        <w:snapToGrid w:val="0"/>
        <w:rPr>
          <w:rFonts w:hint="eastAsia"/>
          <w:lang w:val="en-US" w:eastAsia="zh-CN"/>
        </w:rPr>
      </w:pPr>
    </w:p>
    <w:p w14:paraId="57236977">
      <w:pPr>
        <w:pStyle w:val="2"/>
        <w:snapToGrid w:val="0"/>
        <w:rPr>
          <w:rFonts w:hint="eastAsia"/>
          <w:lang w:val="en-US" w:eastAsia="zh-CN"/>
        </w:rPr>
      </w:pPr>
    </w:p>
    <w:p w14:paraId="757431C8">
      <w:pPr>
        <w:pStyle w:val="2"/>
        <w:snapToGrid w:val="0"/>
        <w:rPr>
          <w:rFonts w:hint="eastAsia"/>
          <w:lang w:val="en-US" w:eastAsia="zh-CN"/>
        </w:rPr>
      </w:pPr>
    </w:p>
    <w:p w14:paraId="5B79DB57">
      <w:pPr>
        <w:pStyle w:val="2"/>
        <w:snapToGrid w:val="0"/>
        <w:rPr>
          <w:rFonts w:hint="eastAsia"/>
          <w:lang w:val="en-US" w:eastAsia="zh-CN"/>
        </w:rPr>
      </w:pPr>
    </w:p>
    <w:p w14:paraId="010656C9">
      <w:pPr>
        <w:pStyle w:val="2"/>
        <w:snapToGrid w:val="0"/>
        <w:rPr>
          <w:rFonts w:hint="eastAsia"/>
          <w:lang w:val="en-US" w:eastAsia="zh-CN"/>
        </w:rPr>
      </w:pPr>
    </w:p>
    <w:p w14:paraId="069F3B1F">
      <w:pPr>
        <w:pStyle w:val="2"/>
        <w:snapToGrid w:val="0"/>
        <w:rPr>
          <w:rFonts w:hint="eastAsia"/>
          <w:lang w:val="en-US" w:eastAsia="zh-CN"/>
        </w:rPr>
      </w:pPr>
    </w:p>
    <w:p w14:paraId="76153B90">
      <w:pPr>
        <w:pStyle w:val="2"/>
        <w:snapToGrid w:val="0"/>
        <w:rPr>
          <w:rFonts w:hint="eastAsia"/>
          <w:lang w:val="en-US" w:eastAsia="zh-CN"/>
        </w:rPr>
      </w:pPr>
    </w:p>
    <w:p w14:paraId="6B9A9742">
      <w:pPr>
        <w:pStyle w:val="2"/>
        <w:snapToGrid w:val="0"/>
        <w:rPr>
          <w:rFonts w:hint="eastAsia"/>
          <w:lang w:val="en-US" w:eastAsia="zh-CN"/>
        </w:rPr>
      </w:pPr>
    </w:p>
    <w:p w14:paraId="67786E5A">
      <w:pPr>
        <w:pStyle w:val="2"/>
        <w:snapToGrid w:val="0"/>
        <w:rPr>
          <w:rFonts w:hint="eastAsia"/>
          <w:lang w:val="en-US" w:eastAsia="zh-CN"/>
        </w:rPr>
      </w:pPr>
    </w:p>
    <w:p w14:paraId="389846C6">
      <w:pPr>
        <w:pStyle w:val="2"/>
        <w:snapToGrid w:val="0"/>
        <w:rPr>
          <w:rFonts w:hint="eastAsia"/>
          <w:lang w:val="en-US" w:eastAsia="zh-CN"/>
        </w:rPr>
      </w:pPr>
    </w:p>
    <w:p w14:paraId="07F51DD1">
      <w:pPr>
        <w:pStyle w:val="2"/>
        <w:snapToGrid w:val="0"/>
        <w:rPr>
          <w:rFonts w:hint="eastAsia"/>
          <w:lang w:val="en-US" w:eastAsia="zh-CN"/>
        </w:rPr>
      </w:pPr>
    </w:p>
    <w:p w14:paraId="15666777">
      <w:pPr>
        <w:pStyle w:val="2"/>
        <w:snapToGrid w:val="0"/>
        <w:rPr>
          <w:rFonts w:hint="eastAsia"/>
          <w:lang w:val="en-US" w:eastAsia="zh-CN"/>
        </w:rPr>
      </w:pPr>
    </w:p>
    <w:p w14:paraId="30709FA4">
      <w:pPr>
        <w:pStyle w:val="2"/>
        <w:snapToGrid w:val="0"/>
        <w:rPr>
          <w:rFonts w:hint="eastAsia"/>
          <w:lang w:val="en-US" w:eastAsia="zh-CN"/>
        </w:rPr>
      </w:pPr>
    </w:p>
    <w:p w14:paraId="015E718E">
      <w:pPr>
        <w:pStyle w:val="2"/>
        <w:snapToGrid w:val="0"/>
        <w:rPr>
          <w:rFonts w:hint="eastAsia"/>
          <w:lang w:val="en-US" w:eastAsia="zh-CN"/>
        </w:rPr>
      </w:pPr>
    </w:p>
    <w:p w14:paraId="0E8EF60B">
      <w:pPr>
        <w:pStyle w:val="2"/>
        <w:snapToGrid w:val="0"/>
        <w:rPr>
          <w:rFonts w:hint="eastAsia"/>
          <w:lang w:val="en-US" w:eastAsia="zh-CN"/>
        </w:rPr>
      </w:pPr>
    </w:p>
    <w:p w14:paraId="49E38477">
      <w:pPr>
        <w:pStyle w:val="2"/>
        <w:snapToGrid w:val="0"/>
        <w:rPr>
          <w:rFonts w:hint="eastAsia"/>
          <w:lang w:val="en-US" w:eastAsia="zh-CN"/>
        </w:rPr>
      </w:pPr>
    </w:p>
    <w:p w14:paraId="19E24D06">
      <w:pPr>
        <w:pStyle w:val="2"/>
        <w:snapToGrid w:val="0"/>
        <w:rPr>
          <w:rFonts w:hint="eastAsia"/>
          <w:lang w:val="en-US" w:eastAsia="zh-CN"/>
        </w:rPr>
      </w:pPr>
    </w:p>
    <w:p w14:paraId="6F924618">
      <w:pPr>
        <w:pStyle w:val="2"/>
        <w:snapToGrid w:val="0"/>
        <w:rPr>
          <w:rFonts w:hint="eastAsia"/>
          <w:lang w:val="en-US" w:eastAsia="zh-CN"/>
        </w:rPr>
      </w:pPr>
    </w:p>
    <w:p w14:paraId="7825FC1B">
      <w:pPr>
        <w:pStyle w:val="2"/>
        <w:snapToGrid w:val="0"/>
        <w:rPr>
          <w:rFonts w:hint="eastAsia"/>
          <w:lang w:val="en-US" w:eastAsia="zh-CN"/>
        </w:rPr>
      </w:pPr>
    </w:p>
    <w:p w14:paraId="6AC0A5F5">
      <w:pPr>
        <w:pStyle w:val="2"/>
        <w:snapToGrid w:val="0"/>
        <w:rPr>
          <w:rFonts w:hint="eastAsia"/>
          <w:lang w:val="en-US" w:eastAsia="zh-CN"/>
        </w:rPr>
      </w:pPr>
    </w:p>
    <w:p w14:paraId="1C837BFB">
      <w:pPr>
        <w:pStyle w:val="2"/>
        <w:snapToGrid w:val="0"/>
        <w:rPr>
          <w:rFonts w:hint="eastAsia"/>
          <w:lang w:val="en-US" w:eastAsia="zh-CN"/>
        </w:rPr>
      </w:pPr>
    </w:p>
    <w:p w14:paraId="6ACBA741">
      <w:pPr>
        <w:pStyle w:val="2"/>
        <w:snapToGrid w:val="0"/>
        <w:rPr>
          <w:rFonts w:hint="eastAsia"/>
          <w:lang w:val="en-US" w:eastAsia="zh-CN"/>
        </w:rPr>
      </w:pPr>
    </w:p>
    <w:p w14:paraId="63ECB16E">
      <w:pPr>
        <w:pStyle w:val="2"/>
        <w:snapToGrid w:val="0"/>
        <w:rPr>
          <w:rFonts w:hint="eastAsia"/>
          <w:lang w:val="en-US" w:eastAsia="zh-CN"/>
        </w:rPr>
      </w:pPr>
    </w:p>
    <w:p w14:paraId="787E50C8">
      <w:pPr>
        <w:pStyle w:val="2"/>
        <w:snapToGrid w:val="0"/>
        <w:rPr>
          <w:rFonts w:hint="eastAsia"/>
          <w:lang w:val="en-US" w:eastAsia="zh-CN"/>
        </w:rPr>
      </w:pPr>
    </w:p>
    <w:p w14:paraId="22DCB4D3">
      <w:pPr>
        <w:pStyle w:val="2"/>
        <w:snapToGrid w:val="0"/>
        <w:rPr>
          <w:rFonts w:hint="eastAsia"/>
          <w:lang w:val="en-US" w:eastAsia="zh-CN"/>
        </w:rPr>
      </w:pPr>
    </w:p>
    <w:p w14:paraId="20A5E323">
      <w:pPr>
        <w:pStyle w:val="2"/>
        <w:snapToGrid w:val="0"/>
        <w:rPr>
          <w:rFonts w:hint="eastAsia"/>
          <w:lang w:val="en-US" w:eastAsia="zh-CN"/>
        </w:rPr>
      </w:pPr>
    </w:p>
    <w:p w14:paraId="18501AF4">
      <w:pPr>
        <w:pStyle w:val="2"/>
        <w:snapToGrid w:val="0"/>
        <w:rPr>
          <w:rFonts w:hint="eastAsia"/>
          <w:lang w:val="en-US" w:eastAsia="zh-CN"/>
        </w:rPr>
      </w:pPr>
    </w:p>
    <w:p w14:paraId="4F1DCC7F">
      <w:pPr>
        <w:pStyle w:val="2"/>
        <w:snapToGrid w:val="0"/>
        <w:rPr>
          <w:rFonts w:hint="eastAsia"/>
          <w:lang w:val="en-US" w:eastAsia="zh-CN"/>
        </w:rPr>
      </w:pPr>
    </w:p>
    <w:p w14:paraId="487B12BA">
      <w:pPr>
        <w:pStyle w:val="2"/>
        <w:snapToGrid w:val="0"/>
        <w:rPr>
          <w:rFonts w:hint="eastAsia"/>
          <w:lang w:val="en-US" w:eastAsia="zh-CN"/>
        </w:rPr>
      </w:pPr>
    </w:p>
    <w:p w14:paraId="120E02E8">
      <w:pPr>
        <w:pStyle w:val="2"/>
        <w:snapToGrid w:val="0"/>
        <w:rPr>
          <w:rFonts w:hint="eastAsia"/>
          <w:lang w:val="en-US" w:eastAsia="zh-CN"/>
        </w:rPr>
      </w:pPr>
    </w:p>
    <w:p w14:paraId="19E00D47">
      <w:pPr>
        <w:pStyle w:val="2"/>
        <w:snapToGrid w:val="0"/>
        <w:rPr>
          <w:rFonts w:hint="eastAsia"/>
          <w:lang w:val="en-US" w:eastAsia="zh-CN"/>
        </w:rPr>
      </w:pPr>
    </w:p>
    <w:p w14:paraId="0B89F621">
      <w:pPr>
        <w:pStyle w:val="2"/>
        <w:snapToGrid w:val="0"/>
        <w:rPr>
          <w:rFonts w:hint="eastAsia"/>
          <w:lang w:val="en-US" w:eastAsia="zh-CN"/>
        </w:rPr>
      </w:pPr>
    </w:p>
    <w:p w14:paraId="191B01E6">
      <w:pPr>
        <w:pStyle w:val="2"/>
        <w:snapToGrid w:val="0"/>
        <w:rPr>
          <w:rFonts w:hint="eastAsia"/>
          <w:lang w:val="en-US" w:eastAsia="zh-CN"/>
        </w:rPr>
      </w:pPr>
    </w:p>
    <w:p w14:paraId="4108955D">
      <w:pPr>
        <w:pStyle w:val="2"/>
        <w:snapToGrid w:val="0"/>
        <w:rPr>
          <w:rFonts w:hint="eastAsia"/>
          <w:lang w:val="en-US" w:eastAsia="zh-CN"/>
        </w:rPr>
      </w:pPr>
    </w:p>
    <w:p w14:paraId="1A931CF7">
      <w:pPr>
        <w:pStyle w:val="2"/>
        <w:snapToGrid w:val="0"/>
        <w:rPr>
          <w:rFonts w:hint="eastAsia"/>
          <w:lang w:val="en-US" w:eastAsia="zh-CN"/>
        </w:rPr>
      </w:pPr>
      <w:r>
        <w:rPr>
          <w:rFonts w:hint="eastAsia"/>
          <w:lang w:val="en-US" w:eastAsia="zh-CN"/>
        </w:rPr>
        <w:t>附录</w:t>
      </w:r>
    </w:p>
    <w:p w14:paraId="79A13839">
      <w:pPr>
        <w:pStyle w:val="2"/>
        <w:snapToGrid w:val="0"/>
        <w:rPr>
          <w:rFonts w:hint="eastAsia"/>
          <w:lang w:val="en-US" w:eastAsia="zh-CN"/>
        </w:rPr>
      </w:pPr>
      <w:r>
        <w:rPr>
          <w:rFonts w:hint="eastAsia"/>
          <w:lang w:val="en-US" w:eastAsia="zh-CN"/>
        </w:rPr>
        <w:t>三篇文献的思维导图如下：</w:t>
      </w:r>
    </w:p>
    <w:p w14:paraId="00C52A0D">
      <w:pPr>
        <w:pStyle w:val="2"/>
        <w:snapToGrid w:val="0"/>
        <w:rPr>
          <w:rFonts w:hint="default"/>
          <w:lang w:val="en-US" w:eastAsia="zh-CN"/>
        </w:rPr>
      </w:pPr>
      <w:r>
        <w:rPr>
          <w:rFonts w:hint="default"/>
          <w:lang w:val="en-US" w:eastAsia="zh-CN"/>
        </w:rPr>
        <w:object>
          <v:shape id="_x0000_i1025" o:spt="75" type="#_x0000_t75" style="height:65.4pt;width:72.6pt;" o:ole="t" filled="f" o:preferrelative="t" stroked="f" coordsize="21600,21600">
            <v:path/>
            <v:fill on="f" focussize="0,0"/>
            <v:stroke on="f"/>
            <v:imagedata r:id="rId2" o:title=""/>
            <o:lock v:ext="edit" aspectratio="t"/>
            <w10:wrap type="none"/>
            <w10:anchorlock/>
          </v:shape>
          <o:OLEObject Type="Embed" ProgID="Word.Document.12" ShapeID="_x0000_i1025" DrawAspect="Icon" ObjectID="_1468075725" r:id="rId1">
            <o:LockedField>false</o:LockedField>
          </o:OLEObject>
        </w:object>
      </w:r>
    </w:p>
    <w:p w14:paraId="55F7CF73">
      <w:pPr>
        <w:pStyle w:val="2"/>
        <w:snapToGrid w:val="0"/>
        <w:rPr>
          <w:rFonts w:hint="eastAsia"/>
          <w:lang w:val="en-US" w:eastAsia="zh-CN"/>
        </w:rPr>
      </w:pPr>
    </w:p>
    <w:p w14:paraId="6EF96BC8">
      <w:pPr>
        <w:pStyle w:val="2"/>
        <w:snapToGrid w:val="0"/>
        <w:rPr>
          <w:rFonts w:hint="eastAsia"/>
          <w:lang w:val="en-US" w:eastAsia="zh-CN"/>
        </w:rPr>
      </w:pPr>
    </w:p>
    <w:p w14:paraId="510F1617">
      <w:pPr>
        <w:pStyle w:val="2"/>
        <w:snapToGrid w:val="0"/>
        <w:rPr>
          <w:rFonts w:hint="eastAsia"/>
          <w:lang w:val="en-US" w:eastAsia="zh-CN"/>
        </w:rPr>
      </w:pPr>
    </w:p>
    <w:p w14:paraId="0CB25180">
      <w:pPr>
        <w:pStyle w:val="2"/>
        <w:snapToGrid w:val="0"/>
        <w:rPr>
          <w:rFonts w:hint="eastAsia"/>
          <w:lang w:val="en-US" w:eastAsia="zh-CN"/>
        </w:rPr>
      </w:pPr>
    </w:p>
    <w:p w14:paraId="38507D0B">
      <w:pPr>
        <w:pStyle w:val="2"/>
        <w:snapToGrid w:val="0"/>
        <w:rPr>
          <w:rFonts w:hint="eastAsia"/>
          <w:lang w:val="en-US" w:eastAsia="zh-CN"/>
        </w:rPr>
      </w:pPr>
    </w:p>
    <w:p w14:paraId="6AB6EA96">
      <w:pPr>
        <w:pStyle w:val="2"/>
        <w:snapToGrid w:val="0"/>
        <w:rPr>
          <w:rFonts w:hint="eastAsia"/>
          <w:lang w:val="en-US" w:eastAsia="zh-CN"/>
        </w:rPr>
      </w:pPr>
    </w:p>
    <w:p w14:paraId="62020C91">
      <w:pPr>
        <w:pStyle w:val="2"/>
        <w:snapToGrid w:val="0"/>
        <w:rPr>
          <w:rFonts w:hint="eastAsia"/>
          <w:lang w:val="en-US" w:eastAsia="zh-CN"/>
        </w:rPr>
      </w:pPr>
    </w:p>
    <w:p w14:paraId="436C6D29">
      <w:pPr>
        <w:pStyle w:val="2"/>
        <w:snapToGrid w:val="0"/>
        <w:rPr>
          <w:rFonts w:hint="eastAsia"/>
          <w:lang w:val="en-US" w:eastAsia="zh-CN"/>
        </w:rPr>
      </w:pPr>
    </w:p>
    <w:p w14:paraId="1ED4BB83">
      <w:pPr>
        <w:pStyle w:val="2"/>
        <w:snapToGrid w:val="0"/>
        <w:rPr>
          <w:rFonts w:hint="eastAsia"/>
          <w:lang w:val="en-US" w:eastAsia="zh-CN"/>
        </w:rPr>
      </w:pPr>
    </w:p>
    <w:p w14:paraId="7CDC543F">
      <w:pPr>
        <w:pStyle w:val="2"/>
        <w:snapToGrid w:val="0"/>
        <w:rPr>
          <w:rFonts w:hint="eastAsia"/>
          <w:lang w:val="en-US" w:eastAsia="zh-CN"/>
        </w:rPr>
      </w:pPr>
    </w:p>
    <w:p w14:paraId="665FB051">
      <w:pPr>
        <w:pStyle w:val="2"/>
        <w:snapToGrid w:val="0"/>
        <w:rPr>
          <w:rFonts w:hint="eastAsia"/>
          <w:lang w:val="en-US" w:eastAsia="zh-CN"/>
        </w:rPr>
      </w:pPr>
    </w:p>
    <w:p w14:paraId="7A2A8394">
      <w:pPr>
        <w:pStyle w:val="2"/>
        <w:snapToGrid w:val="0"/>
        <w:rPr>
          <w:rFonts w:hint="eastAsia"/>
          <w:lang w:val="en-US" w:eastAsia="zh-CN"/>
        </w:rPr>
      </w:pPr>
    </w:p>
    <w:p w14:paraId="1B7D5983">
      <w:pPr>
        <w:pStyle w:val="2"/>
        <w:snapToGrid w:val="0"/>
        <w:rPr>
          <w:rFonts w:hint="eastAsia"/>
          <w:lang w:val="en-US" w:eastAsia="zh-CN"/>
        </w:rPr>
      </w:pPr>
    </w:p>
    <w:p w14:paraId="07892471">
      <w:pPr>
        <w:pStyle w:val="2"/>
        <w:snapToGrid w:val="0"/>
        <w:rPr>
          <w:rFonts w:hint="eastAsia"/>
          <w:lang w:val="en-US" w:eastAsia="zh-CN"/>
        </w:rPr>
      </w:pPr>
    </w:p>
    <w:p w14:paraId="20FE1CB9">
      <w:pPr>
        <w:pStyle w:val="2"/>
        <w:snapToGrid w:val="0"/>
        <w:rPr>
          <w:rFonts w:hint="eastAsia"/>
          <w:lang w:val="en-US" w:eastAsia="zh-CN"/>
        </w:rPr>
      </w:pPr>
    </w:p>
    <w:p w14:paraId="14386BE2">
      <w:pPr>
        <w:pStyle w:val="2"/>
        <w:snapToGrid w:val="0"/>
        <w:rPr>
          <w:rFonts w:hint="eastAsia"/>
          <w:lang w:val="en-US" w:eastAsia="zh-CN"/>
        </w:rPr>
      </w:pPr>
    </w:p>
    <w:p w14:paraId="19B53573">
      <w:pPr>
        <w:pStyle w:val="2"/>
        <w:snapToGrid w:val="0"/>
        <w:rPr>
          <w:rFonts w:hint="eastAsia"/>
          <w:lang w:val="en-US" w:eastAsia="zh-CN"/>
        </w:rPr>
      </w:pPr>
    </w:p>
    <w:p w14:paraId="249BE6E7">
      <w:pPr>
        <w:pStyle w:val="2"/>
        <w:snapToGrid w:val="0"/>
        <w:rPr>
          <w:rFonts w:hint="eastAsia"/>
          <w:lang w:val="en-US" w:eastAsia="zh-CN"/>
        </w:rPr>
      </w:pPr>
    </w:p>
    <w:p w14:paraId="6449ED7C">
      <w:pPr>
        <w:pStyle w:val="2"/>
        <w:snapToGrid w:val="0"/>
        <w:rPr>
          <w:rFonts w:hint="eastAsia"/>
          <w:lang w:val="en-US" w:eastAsia="zh-CN"/>
        </w:rPr>
      </w:pPr>
    </w:p>
    <w:p w14:paraId="2B86BD77">
      <w:pPr>
        <w:pStyle w:val="2"/>
        <w:snapToGrid w:val="0"/>
        <w:rPr>
          <w:rFonts w:hint="eastAsia"/>
          <w:lang w:val="en-US" w:eastAsia="zh-CN"/>
        </w:rPr>
      </w:pPr>
    </w:p>
    <w:p w14:paraId="766C283F">
      <w:pPr>
        <w:pStyle w:val="2"/>
        <w:snapToGrid w:val="0"/>
        <w:rPr>
          <w:rFonts w:hint="eastAsia"/>
          <w:lang w:val="en-US" w:eastAsia="zh-CN"/>
        </w:rPr>
      </w:pPr>
    </w:p>
    <w:p w14:paraId="1FD155CE">
      <w:pPr>
        <w:pStyle w:val="2"/>
        <w:snapToGrid w:val="0"/>
        <w:rPr>
          <w:rFonts w:hint="eastAsia"/>
          <w:lang w:val="en-US" w:eastAsia="zh-CN"/>
        </w:rPr>
      </w:pPr>
    </w:p>
    <w:p w14:paraId="5D5DB0D5">
      <w:pPr>
        <w:pStyle w:val="2"/>
        <w:snapToGrid w:val="0"/>
        <w:rPr>
          <w:rFonts w:hint="eastAsia"/>
          <w:lang w:val="en-US" w:eastAsia="zh-CN"/>
        </w:rPr>
      </w:pPr>
    </w:p>
    <w:p w14:paraId="3457BE70">
      <w:pPr>
        <w:pStyle w:val="2"/>
        <w:snapToGrid w:val="0"/>
        <w:rPr>
          <w:rFonts w:hint="eastAsia"/>
          <w:lang w:val="en-US" w:eastAsia="zh-CN"/>
        </w:rPr>
      </w:pPr>
    </w:p>
    <w:p w14:paraId="0A81989E">
      <w:pPr>
        <w:pStyle w:val="2"/>
        <w:snapToGrid w:val="0"/>
        <w:rPr>
          <w:rFonts w:hint="eastAsia"/>
          <w:lang w:val="en-US" w:eastAsia="zh-CN"/>
        </w:rPr>
      </w:pPr>
    </w:p>
    <w:p w14:paraId="2EC4C98E">
      <w:pPr>
        <w:pStyle w:val="2"/>
        <w:snapToGrid w:val="0"/>
        <w:rPr>
          <w:rFonts w:hint="eastAsia"/>
          <w:lang w:val="en-US" w:eastAsia="zh-CN"/>
        </w:rPr>
      </w:pPr>
    </w:p>
    <w:p w14:paraId="298F44AC">
      <w:pPr>
        <w:pStyle w:val="2"/>
        <w:snapToGrid w:val="0"/>
        <w:rPr>
          <w:rFonts w:hint="eastAsia"/>
          <w:lang w:val="en-US" w:eastAsia="zh-CN"/>
        </w:rPr>
      </w:pPr>
    </w:p>
    <w:p w14:paraId="001CB9EE">
      <w:pPr>
        <w:pStyle w:val="2"/>
        <w:snapToGrid w:val="0"/>
        <w:rPr>
          <w:rFonts w:hint="eastAsia"/>
          <w:lang w:val="en-US" w:eastAsia="zh-CN"/>
        </w:rPr>
      </w:pPr>
    </w:p>
    <w:p w14:paraId="42EDEF63">
      <w:pPr>
        <w:pStyle w:val="2"/>
        <w:snapToGrid w:val="0"/>
        <w:rPr>
          <w:rFonts w:hint="eastAsia"/>
          <w:lang w:val="en-US" w:eastAsia="zh-CN"/>
        </w:rPr>
      </w:pPr>
    </w:p>
    <w:p w14:paraId="0D214C81">
      <w:pPr>
        <w:pStyle w:val="2"/>
        <w:snapToGrid w:val="0"/>
        <w:rPr>
          <w:rFonts w:hint="eastAsia"/>
          <w:lang w:val="en-US" w:eastAsia="zh-CN"/>
        </w:rPr>
      </w:pPr>
    </w:p>
    <w:p w14:paraId="15909412">
      <w:pPr>
        <w:pStyle w:val="2"/>
        <w:snapToGrid w:val="0"/>
        <w:rPr>
          <w:rFonts w:hint="eastAsia"/>
          <w:lang w:val="en-US" w:eastAsia="zh-CN"/>
        </w:rPr>
      </w:pPr>
    </w:p>
    <w:p w14:paraId="0ECBEBA8">
      <w:pPr>
        <w:pStyle w:val="2"/>
        <w:snapToGrid w:val="0"/>
        <w:rPr>
          <w:rFonts w:hint="eastAsia"/>
          <w:lang w:val="en-US" w:eastAsia="zh-CN"/>
        </w:rPr>
      </w:pPr>
    </w:p>
    <w:p w14:paraId="0FA088E3">
      <w:pPr>
        <w:pStyle w:val="2"/>
        <w:snapToGrid w:val="0"/>
        <w:rPr>
          <w:rFonts w:hint="eastAsia"/>
          <w:lang w:val="en-US" w:eastAsia="zh-CN"/>
        </w:rPr>
      </w:pPr>
    </w:p>
    <w:p w14:paraId="51F82A44">
      <w:pPr>
        <w:pStyle w:val="2"/>
        <w:snapToGrid w:val="0"/>
        <w:rPr>
          <w:rFonts w:hint="eastAsia"/>
          <w:lang w:val="en-US" w:eastAsia="zh-CN"/>
        </w:rPr>
      </w:pPr>
    </w:p>
    <w:p w14:paraId="690FA5FD">
      <w:pPr>
        <w:pStyle w:val="2"/>
        <w:snapToGrid w:val="0"/>
        <w:rPr>
          <w:rFonts w:hint="eastAsia"/>
          <w:lang w:val="en-US" w:eastAsia="zh-CN"/>
        </w:rPr>
      </w:pPr>
    </w:p>
    <w:p w14:paraId="4E65676D">
      <w:pPr>
        <w:pStyle w:val="2"/>
        <w:snapToGrid w:val="0"/>
        <w:rPr>
          <w:rFonts w:hint="eastAsia"/>
          <w:lang w:val="en-US" w:eastAsia="zh-CN"/>
        </w:rPr>
      </w:pPr>
    </w:p>
    <w:p w14:paraId="323C6259">
      <w:pPr>
        <w:pStyle w:val="2"/>
        <w:snapToGrid w:val="0"/>
        <w:rPr>
          <w:rFonts w:hint="eastAsia"/>
          <w:lang w:val="en-US" w:eastAsia="zh-CN"/>
        </w:rPr>
      </w:pPr>
    </w:p>
    <w:p w14:paraId="7F324B79">
      <w:pPr>
        <w:pStyle w:val="2"/>
        <w:snapToGrid w:val="0"/>
        <w:rPr>
          <w:rFonts w:hint="eastAsia"/>
          <w:lang w:val="en-US" w:eastAsia="zh-CN"/>
        </w:rPr>
      </w:pPr>
    </w:p>
    <w:p w14:paraId="775C1607">
      <w:pPr>
        <w:pStyle w:val="2"/>
        <w:snapToGrid w:val="0"/>
        <w:rPr>
          <w:rFonts w:hint="eastAsia"/>
          <w:lang w:val="en-US" w:eastAsia="zh-CN"/>
        </w:rPr>
      </w:pPr>
    </w:p>
    <w:p w14:paraId="1EF92B62">
      <w:pPr>
        <w:pStyle w:val="2"/>
        <w:snapToGrid w:val="0"/>
        <w:rPr>
          <w:rFonts w:hint="eastAsia"/>
          <w:lang w:val="en-US" w:eastAsia="zh-CN"/>
        </w:rPr>
      </w:pPr>
    </w:p>
    <w:p w14:paraId="745BD58F">
      <w:pPr>
        <w:pStyle w:val="2"/>
        <w:snapToGrid w:val="0"/>
        <w:rPr>
          <w:rFonts w:hint="eastAsia"/>
          <w:lang w:val="en-US" w:eastAsia="zh-CN"/>
        </w:rPr>
      </w:pPr>
    </w:p>
    <w:p w14:paraId="5157E405">
      <w:pPr>
        <w:pStyle w:val="2"/>
        <w:snapToGrid w:val="0"/>
        <w:rPr>
          <w:rFonts w:hint="eastAsia"/>
          <w:lang w:val="en-US" w:eastAsia="zh-CN"/>
        </w:rPr>
      </w:pPr>
    </w:p>
    <w:p w14:paraId="2DF88852">
      <w:pPr>
        <w:pStyle w:val="2"/>
        <w:snapToGrid w:val="0"/>
        <w:rPr>
          <w:rFonts w:hint="eastAsia"/>
          <w:lang w:val="en-US" w:eastAsia="zh-CN"/>
        </w:rPr>
      </w:pPr>
    </w:p>
    <w:p w14:paraId="1126938A">
      <w:pPr>
        <w:pStyle w:val="2"/>
        <w:snapToGrid w:val="0"/>
        <w:rPr>
          <w:rFonts w:hint="eastAsia"/>
          <w:lang w:val="en-US" w:eastAsia="zh-CN"/>
        </w:rPr>
      </w:pPr>
    </w:p>
    <w:p w14:paraId="16EF12DC">
      <w:pPr>
        <w:pStyle w:val="2"/>
        <w:snapToGrid w:val="0"/>
        <w:rPr>
          <w:rFonts w:hint="eastAsia"/>
          <w:lang w:val="en-US" w:eastAsia="zh-CN"/>
        </w:rPr>
      </w:pPr>
    </w:p>
    <w:p w14:paraId="217542C2">
      <w:pPr>
        <w:pStyle w:val="2"/>
        <w:snapToGrid w:val="0"/>
        <w:rPr>
          <w:rFonts w:hint="eastAsia"/>
          <w:lang w:val="en-US" w:eastAsia="zh-CN"/>
        </w:rPr>
      </w:pPr>
    </w:p>
    <w:p w14:paraId="2A169AB2">
      <w:pPr>
        <w:pStyle w:val="2"/>
        <w:snapToGrid w:val="0"/>
        <w:rPr>
          <w:rFonts w:hint="eastAsia"/>
          <w:lang w:val="en-US" w:eastAsia="zh-CN"/>
        </w:rPr>
      </w:pPr>
    </w:p>
    <w:p w14:paraId="675B30C7">
      <w:pPr>
        <w:pStyle w:val="2"/>
        <w:snapToGrid w:val="0"/>
        <w:rPr>
          <w:rFonts w:hint="eastAsia"/>
          <w:lang w:val="en-US" w:eastAsia="zh-CN"/>
        </w:rPr>
      </w:pPr>
    </w:p>
    <w:p w14:paraId="056F87D5">
      <w:pPr>
        <w:pStyle w:val="2"/>
        <w:snapToGrid w:val="0"/>
        <w:rPr>
          <w:rFonts w:hint="eastAsia"/>
          <w:lang w:val="en-US" w:eastAsia="zh-CN"/>
        </w:rPr>
      </w:pPr>
    </w:p>
    <w:p w14:paraId="0179572E">
      <w:pPr>
        <w:pStyle w:val="2"/>
        <w:snapToGrid w:val="0"/>
        <w:rPr>
          <w:rFonts w:hint="eastAsia"/>
          <w:lang w:val="en-US" w:eastAsia="zh-CN"/>
        </w:rPr>
      </w:pPr>
    </w:p>
    <w:p w14:paraId="0B5CE917">
      <w:pPr>
        <w:pStyle w:val="2"/>
        <w:snapToGrid w:val="0"/>
        <w:rPr>
          <w:rFonts w:hint="eastAsia"/>
          <w:lang w:val="en-US" w:eastAsia="zh-CN"/>
        </w:rPr>
      </w:pPr>
    </w:p>
    <w:p w14:paraId="3D9F997B">
      <w:pPr>
        <w:pStyle w:val="2"/>
        <w:snapToGrid w:val="0"/>
        <w:rPr>
          <w:rFonts w:hint="eastAsia"/>
          <w:lang w:val="en-US" w:eastAsia="zh-CN"/>
        </w:rPr>
      </w:pPr>
    </w:p>
    <w:p w14:paraId="18ADB079">
      <w:pPr>
        <w:ind w:left="840" w:firstLine="420"/>
        <w:rPr>
          <w:b/>
          <w:i/>
          <w:sz w:val="52"/>
        </w:rPr>
      </w:pPr>
      <w:r>
        <w:rPr>
          <w:b/>
          <w:i/>
          <w:sz w:val="52"/>
        </w:rPr>
        <w:t>Shanghai Maritime University</w:t>
      </w:r>
    </w:p>
    <w:p w14:paraId="47BFFF14">
      <w:pPr>
        <w:rPr>
          <w:sz w:val="36"/>
        </w:rPr>
      </w:pPr>
    </w:p>
    <w:p w14:paraId="4ADA234B">
      <w:pPr>
        <w:rPr>
          <w:sz w:val="36"/>
        </w:rPr>
      </w:pPr>
    </w:p>
    <w:p w14:paraId="2C02991B">
      <w:pPr>
        <w:rPr>
          <w:sz w:val="36"/>
        </w:rPr>
      </w:pPr>
    </w:p>
    <w:p w14:paraId="3468161B">
      <w:pPr>
        <w:rPr>
          <w:sz w:val="36"/>
        </w:rPr>
      </w:pPr>
    </w:p>
    <w:p w14:paraId="61622BDC">
      <w:pPr>
        <w:rPr>
          <w:sz w:val="36"/>
        </w:rPr>
      </w:pPr>
    </w:p>
    <w:p w14:paraId="264C10A1">
      <w:pPr>
        <w:rPr>
          <w:sz w:val="36"/>
        </w:rPr>
      </w:pPr>
    </w:p>
    <w:p w14:paraId="3892A0F9">
      <w:pPr>
        <w:rPr>
          <w:sz w:val="36"/>
        </w:rPr>
      </w:pPr>
    </w:p>
    <w:p w14:paraId="36EA2EC8">
      <w:pPr>
        <w:rPr>
          <w:sz w:val="36"/>
        </w:rPr>
      </w:pPr>
    </w:p>
    <w:p w14:paraId="75D77D02">
      <w:pPr>
        <w:rPr>
          <w:sz w:val="36"/>
        </w:rPr>
      </w:pPr>
    </w:p>
    <w:p w14:paraId="79A5711C">
      <w:pPr>
        <w:rPr>
          <w:sz w:val="36"/>
        </w:rPr>
      </w:pPr>
    </w:p>
    <w:p w14:paraId="792F721C">
      <w:pPr>
        <w:rPr>
          <w:sz w:val="36"/>
        </w:rPr>
      </w:pPr>
    </w:p>
    <w:p w14:paraId="7D01D01A">
      <w:pPr>
        <w:rPr>
          <w:sz w:val="36"/>
        </w:rPr>
      </w:pPr>
    </w:p>
    <w:p w14:paraId="799A1C88">
      <w:pPr>
        <w:rPr>
          <w:sz w:val="36"/>
        </w:rPr>
      </w:pPr>
    </w:p>
    <w:p w14:paraId="5B223132">
      <w:pPr>
        <w:rPr>
          <w:rFonts w:hint="eastAsia"/>
          <w:sz w:val="36"/>
        </w:rPr>
      </w:pPr>
    </w:p>
    <w:p w14:paraId="31E5CED3">
      <w:pPr>
        <w:rPr>
          <w:rFonts w:hint="eastAsia"/>
          <w:sz w:val="36"/>
        </w:rPr>
      </w:pPr>
    </w:p>
    <w:p w14:paraId="31D99E9F">
      <w:pPr>
        <w:rPr>
          <w:rFonts w:hint="eastAsia"/>
          <w:sz w:val="36"/>
        </w:rPr>
      </w:pPr>
    </w:p>
    <w:p w14:paraId="64BC45E2">
      <w:pPr>
        <w:rPr>
          <w:i/>
          <w:sz w:val="52"/>
        </w:rPr>
      </w:pPr>
      <w:r>
        <w:rPr>
          <w:rFonts w:hint="eastAsia" w:eastAsia="方正舒体"/>
          <w:i/>
          <w:sz w:val="52"/>
          <w:u w:val="single"/>
        </w:rPr>
        <w:tab/>
      </w:r>
      <w:r>
        <w:rPr>
          <w:rFonts w:hint="eastAsia" w:ascii="方正舒体" w:hAnsi="方正舒体" w:eastAsia="方正舒体" w:cs="方正舒体"/>
          <w:b/>
          <w:bCs/>
          <w:iCs/>
          <w:sz w:val="84"/>
          <w:szCs w:val="84"/>
          <w:u w:val="single"/>
        </w:rPr>
        <w:t>上海海事大学</w:t>
      </w:r>
      <w:r>
        <w:rPr>
          <w:rFonts w:hint="eastAsia" w:ascii="方正舒体" w:hAnsi="方正舒体" w:eastAsia="方正舒体" w:cs="方正舒体"/>
          <w:b/>
          <w:bCs/>
          <w:i/>
          <w:sz w:val="84"/>
          <w:szCs w:val="84"/>
          <w:u w:val="single"/>
        </w:rPr>
        <w:t xml:space="preserve">   </w:t>
      </w:r>
      <w:r>
        <w:rPr>
          <w:i/>
          <w:sz w:val="52"/>
          <w:u w:val="single"/>
        </w:rPr>
        <w:t xml:space="preserve">                                                       </w:t>
      </w:r>
    </w:p>
    <w:p w14:paraId="506735FB">
      <w:pPr>
        <w:rPr>
          <w:sz w:val="24"/>
        </w:rPr>
      </w:pPr>
      <w:r>
        <w:rPr>
          <w:rFonts w:hint="eastAsia"/>
          <w:sz w:val="24"/>
        </w:rPr>
        <w:t>地  址：中国上海海港大道155</w:t>
      </w:r>
      <w:r>
        <w:rPr>
          <w:rFonts w:hint="eastAsia"/>
          <w:sz w:val="24"/>
          <w:lang w:val="en-US" w:eastAsia="zh-CN"/>
        </w:rPr>
        <w:t>0</w:t>
      </w:r>
      <w:r>
        <w:rPr>
          <w:rFonts w:hint="eastAsia"/>
          <w:sz w:val="24"/>
        </w:rPr>
        <w:t>号                     1550</w:t>
      </w:r>
      <w:r>
        <w:rPr>
          <w:sz w:val="24"/>
        </w:rPr>
        <w:t xml:space="preserve"> </w:t>
      </w:r>
      <w:r>
        <w:rPr>
          <w:rFonts w:hint="eastAsia"/>
          <w:sz w:val="24"/>
        </w:rPr>
        <w:t>Haigang Avenue</w:t>
      </w:r>
    </w:p>
    <w:p w14:paraId="11882870">
      <w:pPr>
        <w:rPr>
          <w:sz w:val="24"/>
        </w:rPr>
      </w:pPr>
      <w:r>
        <w:rPr>
          <w:rFonts w:hint="eastAsia"/>
          <w:sz w:val="24"/>
        </w:rPr>
        <w:t>邮  编</w:t>
      </w:r>
      <w:r>
        <w:rPr>
          <w:rFonts w:hint="eastAsia"/>
          <w:sz w:val="24"/>
          <w:lang w:eastAsia="zh-CN"/>
        </w:rPr>
        <w:t>：</w:t>
      </w:r>
      <w:r>
        <w:rPr>
          <w:rFonts w:hint="eastAsia"/>
          <w:sz w:val="24"/>
        </w:rPr>
        <w:t>201306</w:t>
      </w:r>
      <w:r>
        <w:rPr>
          <w:sz w:val="24"/>
        </w:rPr>
        <w:t xml:space="preserve">                                      </w:t>
      </w:r>
      <w:r>
        <w:rPr>
          <w:rFonts w:hint="eastAsia"/>
          <w:sz w:val="24"/>
        </w:rPr>
        <w:tab/>
      </w:r>
      <w:r>
        <w:rPr>
          <w:sz w:val="24"/>
        </w:rPr>
        <w:t>Shanghai, 20</w:t>
      </w:r>
      <w:r>
        <w:rPr>
          <w:rFonts w:hint="eastAsia"/>
          <w:sz w:val="24"/>
        </w:rPr>
        <w:t>1306</w:t>
      </w:r>
    </w:p>
    <w:p w14:paraId="2D401039">
      <w:pPr>
        <w:rPr>
          <w:rFonts w:hint="eastAsia"/>
          <w:sz w:val="24"/>
        </w:rPr>
      </w:pPr>
      <w:r>
        <w:rPr>
          <w:rFonts w:hint="eastAsia"/>
          <w:sz w:val="24"/>
        </w:rPr>
        <w:t>电  话：</w:t>
      </w:r>
      <w:r>
        <w:rPr>
          <w:sz w:val="24"/>
        </w:rPr>
        <w:t>(021)</w:t>
      </w:r>
      <w:r>
        <w:rPr>
          <w:rFonts w:hint="eastAsia"/>
          <w:sz w:val="24"/>
        </w:rPr>
        <w:t>3828</w:t>
      </w:r>
      <w:r>
        <w:rPr>
          <w:sz w:val="24"/>
        </w:rPr>
        <w:t>2</w:t>
      </w:r>
      <w:r>
        <w:rPr>
          <w:rFonts w:hint="eastAsia"/>
          <w:sz w:val="24"/>
        </w:rPr>
        <w:t>0</w:t>
      </w:r>
      <w:r>
        <w:rPr>
          <w:sz w:val="24"/>
        </w:rPr>
        <w:t xml:space="preserve">00                                </w:t>
      </w:r>
      <w:r>
        <w:rPr>
          <w:rFonts w:hint="eastAsia"/>
          <w:sz w:val="24"/>
        </w:rPr>
        <w:tab/>
      </w:r>
      <w:r>
        <w:rPr>
          <w:rFonts w:hint="eastAsia"/>
          <w:sz w:val="24"/>
        </w:rPr>
        <w:tab/>
      </w:r>
      <w:r>
        <w:rPr>
          <w:rFonts w:hint="eastAsia"/>
          <w:sz w:val="24"/>
        </w:rPr>
        <w:t xml:space="preserve">   P.R. China</w:t>
      </w:r>
    </w:p>
    <w:p w14:paraId="5134B165">
      <w:pPr>
        <w:keepNext w:val="0"/>
        <w:keepLines w:val="0"/>
        <w:pageBreakBefore w:val="0"/>
        <w:widowControl w:val="0"/>
        <w:kinsoku/>
        <w:wordWrap/>
        <w:overflowPunct/>
        <w:topLinePunct w:val="0"/>
        <w:bidi w:val="0"/>
        <w:adjustRightInd/>
        <w:snapToGrid/>
        <w:textAlignment w:val="auto"/>
        <w:rPr>
          <w:rFonts w:hint="eastAsia"/>
          <w:sz w:val="24"/>
        </w:rPr>
      </w:pPr>
      <w:r>
        <w:rPr>
          <w:rFonts w:hint="eastAsia"/>
          <w:sz w:val="24"/>
          <w:lang w:val="en-US" w:eastAsia="zh-CN"/>
        </w:rPr>
        <w:t>网址:</w:t>
      </w:r>
      <w:r>
        <w:rPr>
          <w:rFonts w:hint="eastAsia"/>
          <w:sz w:val="24"/>
        </w:rPr>
        <w:t xml:space="preserve">http://www.shmtu.edu.cn                   </w:t>
      </w:r>
      <w:r>
        <w:rPr>
          <w:rFonts w:hint="eastAsia"/>
          <w:sz w:val="24"/>
        </w:rPr>
        <w:tab/>
      </w:r>
      <w:r>
        <w:rPr>
          <w:rFonts w:hint="eastAsia"/>
          <w:sz w:val="24"/>
        </w:rPr>
        <w:t>http://www.shmtu.edu.cn</w:t>
      </w:r>
    </w:p>
    <w:p w14:paraId="6329529F">
      <w:pPr>
        <w:pStyle w:val="2"/>
        <w:snapToGrid w:val="0"/>
        <w:rPr>
          <w:rFonts w:hint="default"/>
          <w:lang w:val="en-US" w:eastAsia="zh-CN"/>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濠糱j">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FZShuSong-Z01">
    <w:altName w:val="Segoe Print"/>
    <w:panose1 w:val="00000000000000000000"/>
    <w:charset w:val="00"/>
    <w:family w:val="auto"/>
    <w:pitch w:val="default"/>
    <w:sig w:usb0="00000000" w:usb1="00000000" w:usb2="00000000" w:usb3="00000000" w:csb0="00000000" w:csb1="00000000"/>
  </w:font>
  <w:font w:name="方正舒体">
    <w:panose1 w:val="02010601030101010101"/>
    <w:charset w:val="86"/>
    <w:family w:val="auto"/>
    <w:pitch w:val="default"/>
    <w:sig w:usb0="00000003"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C5AEFB"/>
    <w:multiLevelType w:val="singleLevel"/>
    <w:tmpl w:val="04C5AEFB"/>
    <w:lvl w:ilvl="0" w:tentative="0">
      <w:start w:val="1"/>
      <w:numFmt w:val="chineseCounting"/>
      <w:suff w:val="nothing"/>
      <w:lvlText w:val="%1、"/>
      <w:lvlJc w:val="left"/>
      <w:rPr>
        <w:rFonts w:hint="eastAsia"/>
      </w:rPr>
    </w:lvl>
  </w:abstractNum>
  <w:abstractNum w:abstractNumId="1">
    <w:nsid w:val="20B2285E"/>
    <w:multiLevelType w:val="singleLevel"/>
    <w:tmpl w:val="20B2285E"/>
    <w:lvl w:ilvl="0" w:tentative="0">
      <w:start w:val="1"/>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endnotePr>
    <w:endnote w:id="6"/>
    <w:endnote w:id="7"/>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00204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99" w:semiHidden="0" w:name="endnote reference"/>
    <w:lsdException w:unhideWhenUsed="0" w:uiPriority="99"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endnote text"/>
    <w:basedOn w:val="1"/>
    <w:uiPriority w:val="99"/>
    <w:pPr>
      <w:snapToGrid w:val="0"/>
      <w:jc w:val="left"/>
    </w:pPr>
  </w:style>
  <w:style w:type="character" w:styleId="5">
    <w:name w:val="endnote reference"/>
    <w:basedOn w:val="4"/>
    <w:qFormat/>
    <w:uiPriority w:val="99"/>
    <w:rPr>
      <w:vertAlign w:val="superscript"/>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endnotes" Target="endnotes.xml"/><Relationship Id="rId2" Type="http://schemas.openxmlformats.org/officeDocument/2006/relationships/settings" Target="settings.xml"/><Relationship Id="rId1" Type="http://schemas.openxmlformats.org/officeDocument/2006/relationships/styles" Target="styles.xml"/></Relationships>
</file>

<file path=word/_rels/endnotes.xml.rels><?xml version="1.0" encoding="UTF-8" standalone="yes"?>
<Relationships xmlns="http://schemas.openxmlformats.org/package/2006/relationships"><Relationship Id="rId2" Type="http://schemas.openxmlformats.org/officeDocument/2006/relationships/image" Target="media/image1.emf"/><Relationship Id="rId1" Type="http://schemas.openxmlformats.org/officeDocument/2006/relationships/oleObject" Target="embeddings/oleObject1.bin"/></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7</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2025-11-20T10:02:11Z</dcterms:created>
  <dc:creator>Liu</dc:creator>
  <cp:lastModifiedBy>刘欣语</cp:lastModifiedBy>
  <dcterms:modified xsi:type="dcterms:W3CDTF">2025-11-20T11:01:56Z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KSOTemplateDocerSaveRecord">
    <vt:lpwstr>eyJoZGlkIjoiOTJjOTg4NDQzYzUyNjY2ZDRlOWEzNmUxZTViNWQ4NzMiLCJ1c2VySWQiOiIxNjQ1MTg5NDQzIn0=</vt:lpwstr>
  </property>
  <property fmtid="{D5CDD505-2E9C-101B-9397-08002B2CF9AE}" pid="4" name="ICV">
    <vt:lpwstr>6CE2ECFD5E23408ABC625C238375D70D_12</vt:lpwstr>
  </property>
</Properties>
</file>