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6DC13">
      <w:pPr>
        <w:widowControl/>
        <w:jc w:val="left"/>
        <w:rPr>
          <w:rFonts w:hAnsi="宋体"/>
        </w:rPr>
      </w:pPr>
    </w:p>
    <w:p w14:paraId="7E838B95">
      <w:pPr>
        <w:widowControl/>
        <w:jc w:val="left"/>
        <w:rPr>
          <w:rFonts w:hAnsi="宋体"/>
        </w:rPr>
      </w:pPr>
    </w:p>
    <w:p w14:paraId="28BDC262">
      <w:pPr>
        <w:widowControl/>
        <w:jc w:val="left"/>
        <w:rPr>
          <w:rFonts w:hAnsi="宋体"/>
        </w:rPr>
      </w:pPr>
    </w:p>
    <w:p w14:paraId="0AE620BC">
      <w:pPr>
        <w:widowControl/>
        <w:jc w:val="left"/>
        <w:rPr>
          <w:rFonts w:hAnsi="宋体"/>
        </w:rPr>
      </w:pPr>
    </w:p>
    <w:p w14:paraId="325977EF">
      <w:pPr>
        <w:widowControl/>
        <w:jc w:val="center"/>
        <w:rPr>
          <w:rFonts w:hAnsi="宋体"/>
        </w:rPr>
      </w:pPr>
      <w:r>
        <w:rPr>
          <w:b/>
          <w:sz w:val="48"/>
          <w:szCs w:val="48"/>
        </w:rPr>
        <w:drawing>
          <wp:inline distT="0" distB="0" distL="114300" distR="114300">
            <wp:extent cx="3199130" cy="708660"/>
            <wp:effectExtent l="0" t="0" r="0" b="0"/>
            <wp:docPr id="2" name="图片 1" descr="上海海事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上海海事大学"/>
                    <pic:cNvPicPr>
                      <a:picLocks noChangeAspect="1"/>
                    </pic:cNvPicPr>
                  </pic:nvPicPr>
                  <pic:blipFill>
                    <a:blip r:embed="rId6"/>
                    <a:stretch>
                      <a:fillRect/>
                    </a:stretch>
                  </pic:blipFill>
                  <pic:spPr>
                    <a:xfrm>
                      <a:off x="0" y="0"/>
                      <a:ext cx="3199130" cy="708660"/>
                    </a:xfrm>
                    <a:prstGeom prst="rect">
                      <a:avLst/>
                    </a:prstGeom>
                    <a:noFill/>
                    <a:ln>
                      <a:noFill/>
                    </a:ln>
                  </pic:spPr>
                </pic:pic>
              </a:graphicData>
            </a:graphic>
          </wp:inline>
        </w:drawing>
      </w:r>
    </w:p>
    <w:p w14:paraId="100DAB90">
      <w:pPr>
        <w:widowControl/>
        <w:jc w:val="center"/>
        <w:rPr>
          <w:rFonts w:hAnsi="宋体"/>
        </w:rPr>
      </w:pPr>
      <w:r>
        <w:drawing>
          <wp:inline distT="0" distB="0" distL="114300" distR="114300">
            <wp:extent cx="1343660" cy="1332865"/>
            <wp:effectExtent l="0" t="0" r="12700" b="8255"/>
            <wp:docPr id="1" name="图片 2" descr="上海海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上海海事大学校标"/>
                    <pic:cNvPicPr>
                      <a:picLocks noChangeAspect="1"/>
                    </pic:cNvPicPr>
                  </pic:nvPicPr>
                  <pic:blipFill>
                    <a:blip r:embed="rId7"/>
                    <a:stretch>
                      <a:fillRect/>
                    </a:stretch>
                  </pic:blipFill>
                  <pic:spPr>
                    <a:xfrm>
                      <a:off x="0" y="0"/>
                      <a:ext cx="1343660" cy="1332865"/>
                    </a:xfrm>
                    <a:prstGeom prst="rect">
                      <a:avLst/>
                    </a:prstGeom>
                    <a:noFill/>
                    <a:ln>
                      <a:noFill/>
                    </a:ln>
                  </pic:spPr>
                </pic:pic>
              </a:graphicData>
            </a:graphic>
          </wp:inline>
        </w:drawing>
      </w:r>
    </w:p>
    <w:p w14:paraId="0DC5E938">
      <w:pPr>
        <w:widowControl/>
        <w:jc w:val="left"/>
        <w:rPr>
          <w:rFonts w:hAnsi="宋体"/>
        </w:rPr>
      </w:pPr>
    </w:p>
    <w:p w14:paraId="53593D01">
      <w:pPr>
        <w:widowControl/>
        <w:jc w:val="left"/>
        <w:rPr>
          <w:rFonts w:hAnsi="宋体"/>
        </w:rPr>
      </w:pPr>
    </w:p>
    <w:p w14:paraId="27BE314E">
      <w:pPr>
        <w:widowControl/>
        <w:jc w:val="left"/>
        <w:rPr>
          <w:rFonts w:hAnsi="宋体"/>
        </w:rPr>
      </w:pPr>
    </w:p>
    <w:p w14:paraId="33951A0E">
      <w:pPr>
        <w:widowControl/>
        <w:jc w:val="left"/>
        <w:rPr>
          <w:rFonts w:hint="eastAsia" w:hAnsi="宋体"/>
        </w:rPr>
      </w:pPr>
    </w:p>
    <w:p w14:paraId="492C53CA">
      <w:pPr>
        <w:widowControl/>
        <w:jc w:val="center"/>
        <w:rPr>
          <w:rFonts w:hAnsi="宋体"/>
          <w:sz w:val="52"/>
          <w:szCs w:val="52"/>
        </w:rPr>
      </w:pPr>
      <w:r>
        <w:rPr>
          <w:rFonts w:hint="eastAsia" w:hAnsi="宋体"/>
          <w:sz w:val="52"/>
          <w:szCs w:val="52"/>
        </w:rPr>
        <w:t>《</w:t>
      </w:r>
      <w:r>
        <w:rPr>
          <w:rFonts w:hint="eastAsia" w:hAnsi="宋体"/>
          <w:sz w:val="52"/>
          <w:szCs w:val="52"/>
          <w:lang w:val="en-US" w:eastAsia="zh-CN"/>
        </w:rPr>
        <w:t>地理信息系统导论</w:t>
      </w:r>
      <w:r>
        <w:rPr>
          <w:rFonts w:hint="eastAsia" w:hAnsi="宋体"/>
          <w:sz w:val="52"/>
          <w:szCs w:val="52"/>
        </w:rPr>
        <w:t>》</w:t>
      </w:r>
    </w:p>
    <w:p w14:paraId="6293ABE2">
      <w:pPr>
        <w:widowControl/>
        <w:jc w:val="center"/>
        <w:rPr>
          <w:rFonts w:hAnsi="宋体"/>
          <w:sz w:val="52"/>
          <w:szCs w:val="52"/>
        </w:rPr>
      </w:pPr>
      <w:r>
        <w:rPr>
          <w:rFonts w:hint="eastAsia" w:hAnsi="宋体"/>
          <w:sz w:val="52"/>
          <w:szCs w:val="52"/>
        </w:rPr>
        <w:t>课程学习报告</w:t>
      </w:r>
    </w:p>
    <w:p w14:paraId="683CFD17">
      <w:pPr>
        <w:widowControl/>
        <w:jc w:val="center"/>
        <w:rPr>
          <w:rFonts w:hAnsi="宋体"/>
          <w:b/>
          <w:bCs/>
          <w:sz w:val="32"/>
          <w:szCs w:val="32"/>
        </w:rPr>
      </w:pPr>
    </w:p>
    <w:p w14:paraId="14387849">
      <w:pPr>
        <w:widowControl/>
        <w:jc w:val="center"/>
        <w:rPr>
          <w:rFonts w:hAnsi="宋体"/>
          <w:b/>
          <w:bCs/>
          <w:sz w:val="32"/>
          <w:szCs w:val="32"/>
        </w:rPr>
      </w:pPr>
    </w:p>
    <w:p w14:paraId="0F523D14">
      <w:pPr>
        <w:widowControl/>
        <w:jc w:val="center"/>
        <w:rPr>
          <w:rFonts w:hAnsi="宋体"/>
          <w:b/>
          <w:bCs/>
          <w:sz w:val="32"/>
          <w:szCs w:val="32"/>
        </w:rPr>
      </w:pPr>
    </w:p>
    <w:p w14:paraId="67D52113">
      <w:pPr>
        <w:widowControl/>
        <w:jc w:val="center"/>
        <w:rPr>
          <w:rFonts w:hAnsi="宋体"/>
          <w:b/>
          <w:bCs/>
          <w:sz w:val="32"/>
          <w:szCs w:val="32"/>
        </w:rPr>
      </w:pPr>
      <w:r>
        <w:rPr>
          <w:rFonts w:hint="eastAsia" w:hAnsi="宋体"/>
          <w:b/>
          <w:bCs/>
          <w:sz w:val="32"/>
          <w:szCs w:val="32"/>
        </w:rPr>
        <w:t>信息工程学院</w:t>
      </w:r>
    </w:p>
    <w:p w14:paraId="54F310CA">
      <w:pPr>
        <w:widowControl/>
        <w:ind w:firstLine="3213" w:firstLineChars="1000"/>
        <w:rPr>
          <w:rFonts w:hint="eastAsia" w:hAnsi="宋体"/>
          <w:b/>
          <w:bCs/>
          <w:sz w:val="32"/>
          <w:szCs w:val="32"/>
        </w:rPr>
      </w:pPr>
      <w:r>
        <w:rPr>
          <w:rFonts w:hint="eastAsia" w:hAnsi="宋体"/>
          <w:b/>
          <w:bCs/>
          <w:sz w:val="32"/>
          <w:szCs w:val="32"/>
        </w:rPr>
        <w:t>班级：电信241</w:t>
      </w:r>
    </w:p>
    <w:p w14:paraId="669E32F9">
      <w:pPr>
        <w:widowControl/>
        <w:ind w:firstLine="3213" w:firstLineChars="1000"/>
        <w:rPr>
          <w:rFonts w:hAnsi="宋体"/>
          <w:b/>
          <w:bCs/>
          <w:sz w:val="32"/>
          <w:szCs w:val="32"/>
        </w:rPr>
      </w:pPr>
      <w:r>
        <w:rPr>
          <w:rFonts w:hint="eastAsia" w:hAnsi="宋体"/>
          <w:b/>
          <w:bCs/>
          <w:sz w:val="32"/>
          <w:szCs w:val="32"/>
        </w:rPr>
        <w:t>姓名：</w:t>
      </w:r>
      <w:r>
        <w:rPr>
          <w:rFonts w:hAnsi="宋体"/>
          <w:b/>
          <w:bCs/>
          <w:sz w:val="32"/>
          <w:szCs w:val="32"/>
        </w:rPr>
        <w:t xml:space="preserve"> </w:t>
      </w:r>
      <w:r>
        <w:rPr>
          <w:rFonts w:hint="eastAsia" w:hAnsi="宋体"/>
          <w:b/>
          <w:bCs/>
          <w:sz w:val="32"/>
          <w:szCs w:val="32"/>
        </w:rPr>
        <w:t>刘欣语</w:t>
      </w:r>
    </w:p>
    <w:p w14:paraId="4187A295">
      <w:pPr>
        <w:widowControl/>
        <w:ind w:firstLine="3213" w:firstLineChars="1000"/>
        <w:rPr>
          <w:rFonts w:hint="eastAsia" w:hAnsi="宋体"/>
          <w:b/>
          <w:bCs/>
          <w:sz w:val="32"/>
          <w:szCs w:val="32"/>
        </w:rPr>
      </w:pPr>
      <w:r>
        <w:rPr>
          <w:rFonts w:hint="eastAsia" w:hAnsi="宋体"/>
          <w:b/>
          <w:bCs/>
          <w:sz w:val="32"/>
          <w:szCs w:val="32"/>
        </w:rPr>
        <w:t>学号：202410321020</w:t>
      </w:r>
    </w:p>
    <w:p w14:paraId="46C5896D">
      <w:pPr>
        <w:pStyle w:val="2"/>
        <w:ind w:left="2793" w:firstLine="420"/>
        <w:rPr>
          <w:rFonts w:hint="default" w:hAnsi="宋体"/>
          <w:b/>
          <w:bCs/>
          <w:sz w:val="32"/>
          <w:szCs w:val="32"/>
          <w:lang w:val="en-US" w:eastAsia="zh-CN"/>
        </w:rPr>
      </w:pPr>
      <w:r>
        <w:rPr>
          <w:rFonts w:hint="eastAsia" w:hAnsi="宋体"/>
          <w:b/>
          <w:bCs/>
          <w:sz w:val="32"/>
          <w:szCs w:val="32"/>
        </w:rPr>
        <w:t>完成日期：</w:t>
      </w:r>
      <w:r>
        <w:rPr>
          <w:rFonts w:hint="eastAsia" w:hAnsi="宋体"/>
          <w:b/>
          <w:bCs/>
          <w:sz w:val="32"/>
          <w:szCs w:val="32"/>
          <w:lang w:val="en-US" w:eastAsia="zh-CN"/>
        </w:rPr>
        <w:t>2025.11.19</w:t>
      </w:r>
    </w:p>
    <w:p w14:paraId="5540FB4D">
      <w:pPr>
        <w:pStyle w:val="2"/>
        <w:ind w:left="2793" w:firstLine="420"/>
        <w:rPr>
          <w:rFonts w:hint="eastAsia" w:hAnsi="宋体"/>
          <w:b/>
          <w:bCs/>
          <w:sz w:val="32"/>
          <w:szCs w:val="32"/>
          <w:lang w:val="en-US" w:eastAsia="zh-CN"/>
        </w:rPr>
      </w:pPr>
    </w:p>
    <w:p w14:paraId="6CE733BF">
      <w:pPr>
        <w:jc w:val="center"/>
        <w:rPr>
          <w:rFonts w:hint="eastAsia"/>
          <w:lang w:val="en-US" w:eastAsia="zh-CN"/>
        </w:rPr>
      </w:pPr>
    </w:p>
    <w:p w14:paraId="74CEE6C8">
      <w:pPr>
        <w:jc w:val="center"/>
        <w:rPr>
          <w:rFonts w:hint="eastAsia"/>
          <w:lang w:val="en-US" w:eastAsia="zh-CN"/>
        </w:rPr>
      </w:pPr>
      <w:r>
        <w:rPr>
          <w:rFonts w:hint="eastAsia"/>
          <w:lang w:val="en-US" w:eastAsia="zh-CN"/>
        </w:rPr>
        <w:t>基于GIS技术多领域应用的文献阅读报告</w:t>
      </w:r>
    </w:p>
    <w:p w14:paraId="3B965E65">
      <w:pPr>
        <w:jc w:val="left"/>
        <w:rPr>
          <w:rFonts w:hint="eastAsia"/>
          <w:lang w:val="en-US" w:eastAsia="zh-CN"/>
        </w:rPr>
      </w:pPr>
      <w:r>
        <w:rPr>
          <w:rFonts w:hint="eastAsia"/>
          <w:lang w:val="en-US" w:eastAsia="zh-CN"/>
        </w:rPr>
        <w:t>摘要</w:t>
      </w:r>
    </w:p>
    <w:p w14:paraId="7409A5D3">
      <w:pPr>
        <w:ind w:firstLine="420" w:firstLineChars="0"/>
        <w:jc w:val="left"/>
        <w:rPr>
          <w:rFonts w:hint="eastAsia"/>
          <w:lang w:val="en-US" w:eastAsia="zh-CN"/>
        </w:rPr>
      </w:pPr>
      <w:r>
        <w:rPr>
          <w:rFonts w:hint="eastAsia"/>
          <w:lang w:val="en-US" w:eastAsia="zh-CN"/>
        </w:rPr>
        <w:t>本报告选取三篇GIS相关文献，分别涉及GIS在社会问题求解、地质模型动态更新、湿地生态敏感性评价领域的应用。通过梳理每篇文献的研究目的、方法、结论，分析GIS在不同领域的应用现状，并探讨GIS对专业学习的启发与指导，最后总结GIS技术的跨领域应用潜力和未来的发展方向。</w:t>
      </w:r>
    </w:p>
    <w:p w14:paraId="27EBC0DB">
      <w:pPr>
        <w:numPr>
          <w:ilvl w:val="0"/>
          <w:numId w:val="1"/>
        </w:numPr>
        <w:jc w:val="left"/>
        <w:rPr>
          <w:rFonts w:hint="eastAsia"/>
          <w:lang w:val="en-US" w:eastAsia="zh-CN"/>
        </w:rPr>
      </w:pPr>
      <w:r>
        <w:rPr>
          <w:rFonts w:hint="eastAsia"/>
          <w:lang w:val="en-US" w:eastAsia="zh-CN"/>
        </w:rPr>
        <w:t>引言</w:t>
      </w:r>
    </w:p>
    <w:p w14:paraId="65A84CF8">
      <w:pPr>
        <w:numPr>
          <w:ilvl w:val="0"/>
          <w:numId w:val="0"/>
        </w:numPr>
        <w:ind w:firstLine="420" w:firstLineChars="0"/>
        <w:jc w:val="left"/>
        <w:rPr>
          <w:rFonts w:hint="default"/>
          <w:lang w:val="en-US" w:eastAsia="zh-CN"/>
        </w:rPr>
      </w:pPr>
      <w:r>
        <w:rPr>
          <w:rFonts w:hint="default"/>
          <w:lang w:val="en-US" w:eastAsia="zh-CN"/>
        </w:rPr>
        <w:t>地理信息系统（GIS）是电子信息、地理学、统计学等多学科交叉的技术产物</w:t>
      </w:r>
      <w:r>
        <w:rPr>
          <w:rFonts w:hint="eastAsia"/>
          <w:lang w:val="en-US" w:eastAsia="zh-CN"/>
        </w:rPr>
        <w:t>，</w:t>
      </w:r>
      <w:r>
        <w:rPr>
          <w:rFonts w:hint="default"/>
          <w:lang w:val="en-US" w:eastAsia="zh-CN"/>
        </w:rPr>
        <w:t>作为集地理数据采集、存储、分析、展示于一体的技术体系，已深度渗透到社会、地质、生态等多个领域。本次选取三篇不同领域的GIS应用文献，旨在通过对比分析，全面理解GIS技术的跨领域适配性与发展潜力，为</w:t>
      </w:r>
      <w:r>
        <w:rPr>
          <w:rFonts w:hint="eastAsia"/>
          <w:lang w:val="en-US" w:eastAsia="zh-CN"/>
        </w:rPr>
        <w:t>将</w:t>
      </w:r>
      <w:r>
        <w:rPr>
          <w:rFonts w:hint="default"/>
          <w:lang w:val="en-US" w:eastAsia="zh-CN"/>
        </w:rPr>
        <w:t>GIS</w:t>
      </w:r>
      <w:r>
        <w:rPr>
          <w:rFonts w:hint="eastAsia"/>
          <w:lang w:val="en-US" w:eastAsia="zh-CN"/>
        </w:rPr>
        <w:t>应用到专业</w:t>
      </w:r>
      <w:r>
        <w:rPr>
          <w:rFonts w:hint="default"/>
          <w:lang w:val="en-US" w:eastAsia="zh-CN"/>
        </w:rPr>
        <w:t>学习提供多维度参考。</w:t>
      </w:r>
    </w:p>
    <w:p w14:paraId="16DFF7F6">
      <w:pPr>
        <w:numPr>
          <w:ilvl w:val="0"/>
          <w:numId w:val="1"/>
        </w:numPr>
        <w:ind w:left="0" w:leftChars="0" w:firstLine="0" w:firstLineChars="0"/>
        <w:jc w:val="left"/>
        <w:rPr>
          <w:rFonts w:hint="eastAsia"/>
          <w:lang w:val="en-US" w:eastAsia="zh-CN"/>
        </w:rPr>
      </w:pPr>
      <w:r>
        <w:rPr>
          <w:rFonts w:hint="eastAsia"/>
          <w:lang w:val="en-US" w:eastAsia="zh-CN"/>
        </w:rPr>
        <w:t>文献阅读报告1：《</w:t>
      </w:r>
      <w:r>
        <w:rPr>
          <w:rFonts w:hint="default"/>
          <w:lang w:val="en-US" w:eastAsia="zh-CN"/>
        </w:rPr>
        <w:t>面向社会问题求解的GIS空间分析：融合路径、挑战与机遇</w:t>
      </w:r>
      <w:r>
        <w:rPr>
          <w:rFonts w:hint="eastAsia"/>
          <w:lang w:val="en-US" w:eastAsia="zh-CN"/>
        </w:rPr>
        <w:t>》</w:t>
      </w:r>
    </w:p>
    <w:p w14:paraId="0BCA5008">
      <w:pPr>
        <w:numPr>
          <w:ilvl w:val="0"/>
          <w:numId w:val="0"/>
        </w:numPr>
        <w:ind w:left="420" w:leftChars="0"/>
        <w:jc w:val="left"/>
        <w:rPr>
          <w:rFonts w:hint="eastAsia"/>
          <w:lang w:val="en-US" w:eastAsia="zh-CN"/>
        </w:rPr>
      </w:pPr>
      <w:r>
        <w:rPr>
          <w:rFonts w:hint="eastAsia"/>
          <w:lang w:val="en-US" w:eastAsia="zh-CN"/>
        </w:rPr>
        <w:t>（一）研究目的</w:t>
      </w:r>
    </w:p>
    <w:p w14:paraId="285E9EEF">
      <w:pPr>
        <w:keepNext w:val="0"/>
        <w:keepLines w:val="0"/>
        <w:widowControl/>
        <w:suppressLineNumbers w:val="0"/>
        <w:ind w:firstLine="420" w:firstLineChars="0"/>
        <w:jc w:val="left"/>
        <w:rPr>
          <w:rFonts w:hint="default" w:ascii="FZShuSong-Z01" w:hAnsi="FZShuSong-Z01" w:eastAsia="FZShuSong-Z01" w:cs="FZShuSong-Z01"/>
          <w:color w:val="231F20"/>
          <w:kern w:val="0"/>
          <w:sz w:val="20"/>
          <w:szCs w:val="20"/>
          <w:lang w:val="en-US" w:eastAsia="zh-CN" w:bidi="ar"/>
        </w:rPr>
      </w:pPr>
      <w:r>
        <w:rPr>
          <w:rFonts w:ascii="FZShuSong-Z01" w:hAnsi="FZShuSong-Z01" w:eastAsia="FZShuSong-Z01" w:cs="FZShuSong-Z01"/>
          <w:color w:val="231F20"/>
          <w:kern w:val="0"/>
          <w:sz w:val="20"/>
          <w:szCs w:val="20"/>
          <w:lang w:val="en-US" w:eastAsia="zh-CN" w:bidi="ar"/>
        </w:rPr>
        <w:t>本文旨在系统总</w:t>
      </w:r>
      <w:r>
        <w:rPr>
          <w:rFonts w:hint="eastAsia" w:ascii="FZShuSong-Z01" w:hAnsi="FZShuSong-Z01" w:eastAsia="FZShuSong-Z01" w:cs="FZShuSong-Z01"/>
          <w:color w:val="231F20"/>
          <w:kern w:val="0"/>
          <w:sz w:val="20"/>
          <w:szCs w:val="20"/>
          <w:lang w:val="en-US" w:eastAsia="zh-CN" w:bidi="ar"/>
        </w:rPr>
        <w:t>结</w:t>
      </w:r>
      <w:r>
        <w:rPr>
          <w:rFonts w:hint="default" w:ascii="Times New Roman" w:hAnsi="Times New Roman" w:eastAsia="宋体" w:cs="Times New Roman"/>
          <w:color w:val="231F20"/>
          <w:kern w:val="0"/>
          <w:sz w:val="20"/>
          <w:szCs w:val="20"/>
          <w:lang w:val="en-US" w:eastAsia="zh-CN" w:bidi="ar"/>
        </w:rPr>
        <w:t>GIS</w:t>
      </w:r>
      <w:r>
        <w:rPr>
          <w:rFonts w:hint="default" w:ascii="FZShuSong-Z01" w:hAnsi="FZShuSong-Z01" w:eastAsia="FZShuSong-Z01" w:cs="FZShuSong-Z01"/>
          <w:color w:val="231F20"/>
          <w:kern w:val="0"/>
          <w:sz w:val="20"/>
          <w:szCs w:val="20"/>
          <w:lang w:val="en-US" w:eastAsia="zh-CN" w:bidi="ar"/>
        </w:rPr>
        <w:t>空间分析在社会问题求解中的核心优势，回顾其在经济学、政治学与社会学等领域的典型应用，揭示应用过程中的关键挑战，深入探讨融合路径，并前瞻性地展望空间智能时代的技术跃迁方向。</w:t>
      </w:r>
      <w:r>
        <w:rPr>
          <w:rStyle w:val="6"/>
          <w:rFonts w:hint="eastAsia" w:ascii="宋体" w:hAnsi="宋体" w:eastAsia="宋体" w:cs="宋体"/>
          <w:color w:val="231F20"/>
          <w:kern w:val="0"/>
          <w:sz w:val="20"/>
          <w:szCs w:val="20"/>
          <w:lang w:val="en-US" w:eastAsia="zh-CN" w:bidi="ar"/>
        </w:rPr>
        <w:t>[</w:t>
      </w:r>
      <w:r>
        <w:rPr>
          <w:rStyle w:val="6"/>
          <w:rFonts w:hint="eastAsia" w:ascii="宋体" w:hAnsi="宋体" w:eastAsia="宋体" w:cs="宋体"/>
          <w:color w:val="231F20"/>
          <w:kern w:val="0"/>
          <w:sz w:val="20"/>
          <w:szCs w:val="20"/>
          <w:lang w:val="en-US" w:eastAsia="zh-CN" w:bidi="ar"/>
        </w:rPr>
        <w:endnoteReference w:id="0"/>
      </w:r>
      <w:r>
        <w:rPr>
          <w:rStyle w:val="6"/>
          <w:rFonts w:hint="eastAsia" w:ascii="宋体" w:hAnsi="宋体" w:eastAsia="宋体" w:cs="宋体"/>
          <w:color w:val="231F20"/>
          <w:kern w:val="0"/>
          <w:sz w:val="20"/>
          <w:szCs w:val="20"/>
          <w:lang w:val="en-US" w:eastAsia="zh-CN" w:bidi="ar"/>
        </w:rPr>
        <w:t>]</w:t>
      </w:r>
    </w:p>
    <w:p w14:paraId="72BBA0B8">
      <w:pPr>
        <w:keepNext w:val="0"/>
        <w:keepLines w:val="0"/>
        <w:widowControl/>
        <w:numPr>
          <w:ilvl w:val="0"/>
          <w:numId w:val="2"/>
        </w:numPr>
        <w:suppressLineNumbers w:val="0"/>
        <w:ind w:firstLine="420" w:firstLineChars="0"/>
        <w:jc w:val="left"/>
        <w:rPr>
          <w:rFonts w:hint="eastAsia" w:ascii="宋体" w:hAnsi="宋体" w:eastAsia="宋体" w:cs="宋体"/>
          <w:color w:val="231F20"/>
          <w:kern w:val="0"/>
          <w:sz w:val="20"/>
          <w:szCs w:val="20"/>
          <w:lang w:val="en-US" w:eastAsia="zh-CN" w:bidi="ar"/>
        </w:rPr>
      </w:pPr>
      <w:r>
        <w:rPr>
          <w:rFonts w:hint="eastAsia" w:ascii="宋体" w:hAnsi="宋体" w:eastAsia="宋体" w:cs="宋体"/>
          <w:color w:val="231F20"/>
          <w:kern w:val="0"/>
          <w:sz w:val="20"/>
          <w:szCs w:val="20"/>
          <w:lang w:val="en-US" w:eastAsia="zh-CN" w:bidi="ar"/>
        </w:rPr>
        <w:t>研究方法</w:t>
      </w:r>
    </w:p>
    <w:p w14:paraId="643B5F1D">
      <w:pPr>
        <w:keepNext w:val="0"/>
        <w:keepLines w:val="0"/>
        <w:widowControl/>
        <w:numPr>
          <w:ilvl w:val="0"/>
          <w:numId w:val="3"/>
        </w:numPr>
        <w:suppressLineNumbers w:val="0"/>
        <w:ind w:firstLine="420" w:firstLineChars="0"/>
        <w:jc w:val="left"/>
        <w:rPr>
          <w:rFonts w:hint="eastAsia" w:ascii="宋体" w:hAnsi="宋体" w:eastAsia="宋体" w:cs="宋体"/>
          <w:color w:val="231F20"/>
          <w:kern w:val="0"/>
          <w:sz w:val="20"/>
          <w:szCs w:val="20"/>
          <w:lang w:val="en-US" w:eastAsia="zh-CN" w:bidi="ar"/>
        </w:rPr>
      </w:pPr>
      <w:r>
        <w:rPr>
          <w:rFonts w:hint="eastAsia" w:ascii="宋体" w:hAnsi="宋体" w:eastAsia="宋体" w:cs="宋体"/>
          <w:color w:val="231F20"/>
          <w:kern w:val="0"/>
          <w:sz w:val="20"/>
          <w:szCs w:val="20"/>
          <w:lang w:val="en-US" w:eastAsia="zh-CN" w:bidi="ar"/>
        </w:rPr>
        <w:t>系统分类典型GIS数据</w:t>
      </w:r>
    </w:p>
    <w:p w14:paraId="3E7BDFA1">
      <w:pPr>
        <w:keepNext w:val="0"/>
        <w:keepLines w:val="0"/>
        <w:widowControl/>
        <w:suppressLineNumbers w:val="0"/>
        <w:ind w:firstLine="420" w:firstLineChars="0"/>
        <w:jc w:val="left"/>
        <w:rPr>
          <w:rFonts w:hint="eastAsia" w:ascii="FZShuSong-Z01" w:hAnsi="FZShuSong-Z01" w:eastAsia="FZShuSong-Z01" w:cs="FZShuSong-Z01"/>
          <w:color w:val="231F20"/>
          <w:kern w:val="0"/>
          <w:sz w:val="20"/>
          <w:szCs w:val="20"/>
          <w:lang w:val="en-US" w:eastAsia="zh-CN" w:bidi="ar"/>
        </w:rPr>
      </w:pPr>
      <w:r>
        <w:rPr>
          <w:rFonts w:hint="eastAsia" w:ascii="宋体" w:hAnsi="宋体" w:eastAsia="宋体" w:cs="宋体"/>
          <w:color w:val="231F20"/>
          <w:kern w:val="0"/>
          <w:sz w:val="20"/>
          <w:szCs w:val="20"/>
          <w:lang w:val="en-US" w:eastAsia="zh-CN" w:bidi="ar"/>
        </w:rPr>
        <w:t>在数据特征层面，采用</w:t>
      </w:r>
      <w:r>
        <w:rPr>
          <w:rFonts w:ascii="FZShuSong-Z01" w:hAnsi="FZShuSong-Z01" w:eastAsia="FZShuSong-Z01" w:cs="FZShuSong-Z01"/>
          <w:color w:val="231F20"/>
          <w:kern w:val="0"/>
          <w:sz w:val="20"/>
          <w:szCs w:val="20"/>
          <w:lang w:val="en-US" w:eastAsia="zh-CN" w:bidi="ar"/>
        </w:rPr>
        <w:t>夜</w:t>
      </w:r>
      <w:r>
        <w:rPr>
          <w:rFonts w:hint="default" w:ascii="FZShuSong-Z01" w:hAnsi="FZShuSong-Z01" w:eastAsia="FZShuSong-Z01" w:cs="FZShuSong-Z01"/>
          <w:color w:val="231F20"/>
          <w:kern w:val="0"/>
          <w:sz w:val="20"/>
          <w:szCs w:val="20"/>
          <w:lang w:val="en-US" w:eastAsia="zh-CN" w:bidi="ar"/>
        </w:rPr>
        <w:t xml:space="preserve">间灯光遥感数据、手机信令数据、交通大数据、社交网络签到数据等 </w:t>
      </w:r>
      <w:r>
        <w:rPr>
          <w:rFonts w:hint="default" w:ascii="Times New Roman" w:hAnsi="Times New Roman" w:eastAsia="宋体" w:cs="Times New Roman"/>
          <w:color w:val="231F20"/>
          <w:kern w:val="0"/>
          <w:sz w:val="20"/>
          <w:szCs w:val="20"/>
          <w:lang w:val="en-US" w:eastAsia="zh-CN" w:bidi="ar"/>
        </w:rPr>
        <w:t>GI</w:t>
      </w:r>
      <w:r>
        <w:rPr>
          <w:rFonts w:hint="eastAsia" w:ascii="Times New Roman" w:hAnsi="Times New Roman" w:eastAsia="宋体" w:cs="Times New Roman"/>
          <w:color w:val="231F20"/>
          <w:kern w:val="0"/>
          <w:sz w:val="20"/>
          <w:szCs w:val="20"/>
          <w:lang w:val="en-US" w:eastAsia="zh-CN" w:bidi="ar"/>
        </w:rPr>
        <w:t>S</w:t>
      </w:r>
      <w:r>
        <w:rPr>
          <w:rFonts w:hint="default" w:ascii="FZShuSong-Z01" w:hAnsi="FZShuSong-Z01" w:eastAsia="FZShuSong-Z01" w:cs="FZShuSong-Z01"/>
          <w:color w:val="231F20"/>
          <w:kern w:val="0"/>
          <w:sz w:val="20"/>
          <w:szCs w:val="20"/>
          <w:lang w:val="en-US" w:eastAsia="zh-CN" w:bidi="ar"/>
        </w:rPr>
        <w:t>时空数据</w:t>
      </w:r>
      <w:r>
        <w:rPr>
          <w:rFonts w:hint="eastAsia" w:ascii="FZShuSong-Z01" w:hAnsi="FZShuSong-Z01" w:eastAsia="FZShuSong-Z01" w:cs="FZShuSong-Z01"/>
          <w:color w:val="231F20"/>
          <w:kern w:val="0"/>
          <w:sz w:val="20"/>
          <w:szCs w:val="20"/>
          <w:lang w:val="en-US" w:eastAsia="zh-CN" w:bidi="ar"/>
        </w:rPr>
        <w:t>；在数据尺度层面，应用</w:t>
      </w:r>
      <w:r>
        <w:rPr>
          <w:rFonts w:ascii="FZShuSong-Z01" w:hAnsi="FZShuSong-Z01" w:eastAsia="FZShuSong-Z01" w:cs="FZShuSong-Z01"/>
          <w:color w:val="231F20"/>
          <w:kern w:val="0"/>
          <w:sz w:val="20"/>
          <w:szCs w:val="20"/>
          <w:lang w:val="en-US" w:eastAsia="zh-CN" w:bidi="ar"/>
        </w:rPr>
        <w:t xml:space="preserve">细粒度的 </w:t>
      </w:r>
      <w:r>
        <w:rPr>
          <w:rFonts w:hint="default" w:ascii="Times New Roman" w:hAnsi="Times New Roman" w:eastAsia="宋体" w:cs="Times New Roman"/>
          <w:color w:val="231F20"/>
          <w:kern w:val="0"/>
          <w:sz w:val="20"/>
          <w:szCs w:val="20"/>
          <w:lang w:val="en-US" w:eastAsia="zh-CN" w:bidi="ar"/>
        </w:rPr>
        <w:t>GIS</w:t>
      </w:r>
      <w:r>
        <w:rPr>
          <w:rFonts w:hint="default" w:ascii="FZShuSong-Z01" w:hAnsi="FZShuSong-Z01" w:eastAsia="FZShuSong-Z01" w:cs="FZShuSong-Z01"/>
          <w:color w:val="231F20"/>
          <w:kern w:val="0"/>
          <w:sz w:val="20"/>
          <w:szCs w:val="20"/>
          <w:lang w:val="en-US" w:eastAsia="zh-CN" w:bidi="ar"/>
        </w:rPr>
        <w:t>时空数据</w:t>
      </w:r>
      <w:r>
        <w:rPr>
          <w:rFonts w:hint="eastAsia" w:ascii="FZShuSong-Z01" w:hAnsi="FZShuSong-Z01" w:eastAsia="FZShuSong-Z01" w:cs="FZShuSong-Z01"/>
          <w:color w:val="231F20"/>
          <w:kern w:val="0"/>
          <w:sz w:val="20"/>
          <w:szCs w:val="20"/>
          <w:lang w:val="en-US" w:eastAsia="zh-CN" w:bidi="ar"/>
        </w:rPr>
        <w:t>；在数据处理层面，使用</w:t>
      </w:r>
      <w:r>
        <w:rPr>
          <w:rFonts w:ascii="FZShuSong-Z01" w:hAnsi="FZShuSong-Z01" w:eastAsia="FZShuSong-Z01" w:cs="FZShuSong-Z01"/>
          <w:color w:val="231F20"/>
          <w:kern w:val="0"/>
          <w:sz w:val="20"/>
          <w:szCs w:val="20"/>
          <w:lang w:val="en-US" w:eastAsia="zh-CN" w:bidi="ar"/>
        </w:rPr>
        <w:t>各类</w:t>
      </w:r>
      <w:r>
        <w:rPr>
          <w:rFonts w:hint="default" w:ascii="Times New Roman" w:hAnsi="Times New Roman" w:eastAsia="宋体" w:cs="Times New Roman"/>
          <w:color w:val="231F20"/>
          <w:kern w:val="0"/>
          <w:sz w:val="20"/>
          <w:szCs w:val="20"/>
          <w:lang w:val="en-US" w:eastAsia="zh-CN" w:bidi="ar"/>
        </w:rPr>
        <w:t>GIS</w:t>
      </w:r>
      <w:r>
        <w:rPr>
          <w:rFonts w:hint="default" w:ascii="FZShuSong-Z01" w:hAnsi="FZShuSong-Z01" w:eastAsia="FZShuSong-Z01" w:cs="FZShuSong-Z01"/>
          <w:color w:val="231F20"/>
          <w:kern w:val="0"/>
          <w:sz w:val="20"/>
          <w:szCs w:val="20"/>
          <w:lang w:val="en-US" w:eastAsia="zh-CN" w:bidi="ar"/>
        </w:rPr>
        <w:t>平台整合遥感影像、地图、统计数据和现场观测数据等多源异构数据</w:t>
      </w:r>
      <w:r>
        <w:rPr>
          <w:rFonts w:hint="eastAsia" w:ascii="FZShuSong-Z01" w:hAnsi="FZShuSong-Z01" w:eastAsia="FZShuSong-Z01" w:cs="FZShuSong-Z01"/>
          <w:color w:val="231F20"/>
          <w:kern w:val="0"/>
          <w:sz w:val="20"/>
          <w:szCs w:val="20"/>
          <w:lang w:val="en-US" w:eastAsia="zh-CN" w:bidi="ar"/>
        </w:rPr>
        <w:t>。</w:t>
      </w:r>
    </w:p>
    <w:p w14:paraId="4ED7BA07">
      <w:pPr>
        <w:keepNext w:val="0"/>
        <w:keepLines w:val="0"/>
        <w:widowControl/>
        <w:numPr>
          <w:ilvl w:val="0"/>
          <w:numId w:val="0"/>
        </w:numPr>
        <w:suppressLineNumbers w:val="0"/>
        <w:ind w:left="420" w:leftChars="0"/>
        <w:jc w:val="left"/>
        <w:rPr>
          <w:rFonts w:hint="default" w:ascii="FZShuSong-Z01" w:hAnsi="FZShuSong-Z01" w:eastAsia="FZShuSong-Z01" w:cs="FZShuSong-Z01"/>
          <w:color w:val="231F20"/>
          <w:sz w:val="20"/>
          <w:lang w:val="en-US" w:eastAsia="zh-CN" w:bidi="ar"/>
        </w:rPr>
      </w:pPr>
      <w:r>
        <w:rPr>
          <w:rFonts w:hint="eastAsia" w:ascii="FZShuSong-Z01" w:hAnsi="FZShuSong-Z01" w:eastAsia="FZShuSong-Z01" w:cs="FZShuSong-Z01"/>
          <w:color w:val="231F20"/>
          <w:kern w:val="0"/>
          <w:sz w:val="20"/>
          <w:szCs w:val="20"/>
          <w:lang w:val="en-US" w:eastAsia="zh-CN" w:bidi="ar"/>
        </w:rPr>
        <w:t>2.可视化</w:t>
      </w:r>
    </w:p>
    <w:p w14:paraId="300438EA">
      <w:pPr>
        <w:keepNext w:val="0"/>
        <w:keepLines w:val="0"/>
        <w:widowControl/>
        <w:numPr>
          <w:ilvl w:val="0"/>
          <w:numId w:val="0"/>
        </w:numPr>
        <w:suppressLineNumbers w:val="0"/>
        <w:ind w:left="420" w:leftChars="0"/>
        <w:jc w:val="left"/>
        <w:rPr>
          <w:rFonts w:hint="default" w:ascii="FZShuSong-Z01" w:hAnsi="FZShuSong-Z01" w:eastAsia="FZShuSong-Z01" w:cs="FZShuSong-Z01"/>
          <w:color w:val="231F20"/>
          <w:kern w:val="0"/>
          <w:sz w:val="20"/>
          <w:szCs w:val="20"/>
          <w:lang w:val="en-US" w:eastAsia="zh-CN" w:bidi="ar"/>
        </w:rPr>
      </w:pPr>
      <w:r>
        <w:rPr>
          <w:rFonts w:hint="default" w:ascii="FZShuSong-Z01" w:hAnsi="FZShuSong-Z01" w:eastAsia="FZShuSong-Z01" w:cs="FZShuSong-Z01"/>
          <w:color w:val="231F20"/>
          <w:sz w:val="20"/>
          <w:lang w:val="en-US" w:eastAsia="zh-CN" w:bidi="ar"/>
        </w:rPr>
        <w:t>有关GIS的可视化典型表现为在线地图与动态地图。在线地图通过 Web 平台实现数据的实时更新与服务共享，构建了公众参与和知识生产的开放空间；动态地图则通过整合时间维度，实现对社会现象演化机制的可视化推演。</w:t>
      </w:r>
    </w:p>
    <w:p w14:paraId="3A30ECCA">
      <w:pPr>
        <w:keepNext w:val="0"/>
        <w:keepLines w:val="0"/>
        <w:widowControl/>
        <w:suppressLineNumbers w:val="0"/>
        <w:jc w:val="left"/>
        <w:rPr>
          <w:rFonts w:hint="default"/>
          <w:lang w:val="en-US"/>
        </w:rPr>
      </w:pPr>
      <w:r>
        <w:rPr>
          <w:rFonts w:hint="default"/>
          <w:lang w:val="en-US"/>
        </w:rPr>
        <w:t>（三）结论</w:t>
      </w:r>
    </w:p>
    <w:p w14:paraId="68CCDEA4">
      <w:pPr>
        <w:keepNext w:val="0"/>
        <w:keepLines w:val="0"/>
        <w:widowControl/>
        <w:suppressLineNumbers w:val="0"/>
        <w:jc w:val="left"/>
        <w:rPr>
          <w:rFonts w:hint="default"/>
          <w:lang w:val="en-US"/>
        </w:rPr>
      </w:pPr>
      <w:r>
        <w:rPr>
          <w:rFonts w:hint="default"/>
          <w:lang w:val="en-US"/>
        </w:rPr>
        <w:t>GIS空间分析在经济学、政治学、社会学等领域</w:t>
      </w:r>
      <w:r>
        <w:rPr>
          <w:rFonts w:hint="default" w:ascii="宋体" w:hAnsi="宋体" w:eastAsia="宋体" w:cs="宋体"/>
          <w:color w:val="231F20"/>
          <w:sz w:val="20"/>
          <w:lang w:val="en-US" w:eastAsia="zh-CN" w:bidi="ar"/>
        </w:rPr>
        <w:t>均被广泛应用。然而，GIS</w:t>
      </w:r>
      <w:r>
        <w:rPr>
          <w:rFonts w:hint="eastAsia" w:ascii="宋体" w:hAnsi="宋体" w:eastAsia="宋体" w:cs="宋体"/>
          <w:color w:val="231F20"/>
          <w:sz w:val="20"/>
          <w:lang w:val="en-US" w:eastAsia="zh-CN" w:bidi="ar"/>
        </w:rPr>
        <w:t>的应用</w:t>
      </w:r>
      <w:r>
        <w:rPr>
          <w:rFonts w:hint="default" w:ascii="宋体" w:hAnsi="宋体" w:eastAsia="宋体" w:cs="宋体"/>
          <w:color w:val="231F20"/>
          <w:sz w:val="20"/>
          <w:lang w:val="en-US" w:eastAsia="zh-CN" w:bidi="ar"/>
        </w:rPr>
        <w:t>也面临着一些难题：数据与问题的匹配难题、方法与机制的整合困境、地点与尺度的情境错位等。</w:t>
      </w:r>
      <w:r>
        <w:rPr>
          <w:rFonts w:hint="eastAsia"/>
          <w:lang w:val="en-US" w:eastAsia="zh-CN"/>
        </w:rPr>
        <w:t>未来需依托大模型构建协同范式，推动空间分析向因果推断透明化发展，通过多源数据融合与“硅基样本”突破数据局限，搭建“空间-调查”融合的认知基础设施，实现GIS从辅助工具向理论生成与机制解析核心引擎的跃升。</w:t>
      </w:r>
    </w:p>
    <w:p w14:paraId="B5AE9437">
      <w:pPr>
        <w:keepNext w:val="0"/>
        <w:keepLines w:val="0"/>
        <w:widowControl/>
        <w:suppressLineNumbers w:val="0"/>
        <w:jc w:val="left"/>
        <w:rPr>
          <w:rFonts w:hint="default"/>
          <w:lang w:val="en-US"/>
        </w:rPr>
      </w:pPr>
      <w:r>
        <w:rPr>
          <w:rFonts w:hint="eastAsia"/>
          <w:lang w:val="en-US" w:eastAsia="zh-CN"/>
        </w:rPr>
        <w:t>（四）分析、评价与感想</w:t>
      </w:r>
    </w:p>
    <w:p w14:paraId="3A33195B">
      <w:pPr>
        <w:jc w:val="left"/>
        <w:rPr>
          <w:rFonts w:hint="eastAsia"/>
          <w:lang w:val="en-US" w:eastAsia="zh-CN"/>
        </w:rPr>
      </w:pPr>
      <w:r>
        <w:rPr>
          <w:rFonts w:hint="eastAsia"/>
          <w:lang w:val="en-US" w:eastAsia="zh-CN"/>
        </w:rPr>
        <w:t>本文提炼了GIS赋能社会科学研究的五大优势：拓展研究思维、支撑时空数据、提升调查技术、丰富表达形式、强化分析能力；综述其在经济学、政治学与社会学中的典型应用，揭示跨了学科共性与学科差异；深入剖析在融合过程中的三重挑战——数据与问题的匹配难题、方法与机制的整合困境以及地点与尺度的情境错位，并提出针对性的应对路径。</w:t>
      </w:r>
    </w:p>
    <w:p w14:paraId="5591D583">
      <w:pPr>
        <w:jc w:val="left"/>
        <w:rPr>
          <w:rFonts w:hint="eastAsia"/>
          <w:lang w:val="en-US" w:eastAsia="zh-CN"/>
        </w:rPr>
      </w:pPr>
      <w:r>
        <w:rPr>
          <w:rFonts w:hint="eastAsia"/>
          <w:lang w:val="en-US" w:eastAsia="zh-CN"/>
        </w:rPr>
        <w:t>文章的核心创新在于打破GIS“技术工具”的传统认知，提出将其作为“核心分析范式”来推动社会科学研究从“空间均质假设”向“时空异质性探索”转型。尤其针对当前融合的不足之处，提出“大模型——空间分析”协同范式，为解决数据匹配、机制解释等难题提供了创新思路。</w:t>
      </w:r>
    </w:p>
    <w:p w14:paraId="24B8C508">
      <w:pPr>
        <w:jc w:val="left"/>
        <w:rPr>
          <w:rFonts w:hint="eastAsia"/>
          <w:lang w:val="en-US" w:eastAsia="zh-CN"/>
        </w:rPr>
      </w:pPr>
      <w:r>
        <w:rPr>
          <w:rFonts w:hint="eastAsia"/>
          <w:lang w:val="en-US" w:eastAsia="zh-CN"/>
        </w:rPr>
        <w:t>这篇文章最打动我的是其对空间分析“范式革新”的精准定位，它打破了我的固有思维，让我明白GIS不只是一个简单的绘图工具，它还可以深入社会科学研究内核、重塑其分析逻辑的核心框架。过去，我总认为编程语言、算法只是我们需要使用的工具，但是这篇研究让我深刻认识到语言和算法恰恰是我们最后的研究结果的根基，是对技术的更深层次理解与应用。本文用清晰的逻辑阐述，打通了应用工具与社会问题求解的壁垒，让我看到GIS技术是如何以一个崭新的身份为社会科学研究注入新活力。</w:t>
      </w:r>
    </w:p>
    <w:p w14:paraId="3845E64E">
      <w:pPr>
        <w:numPr>
          <w:ilvl w:val="0"/>
          <w:numId w:val="1"/>
        </w:numPr>
        <w:ind w:left="0" w:leftChars="0" w:firstLine="0" w:firstLineChars="0"/>
        <w:jc w:val="left"/>
        <w:rPr>
          <w:rFonts w:hint="eastAsia"/>
          <w:lang w:val="en-US" w:eastAsia="zh-CN"/>
        </w:rPr>
      </w:pPr>
      <w:r>
        <w:rPr>
          <w:rFonts w:hint="eastAsia"/>
          <w:lang w:val="en-US" w:eastAsia="zh-CN"/>
        </w:rPr>
        <w:t>文献阅读报告2：《基于多维云 GIS 的地质模型动态更新技术研究与应用》</w:t>
      </w:r>
    </w:p>
    <w:p w14:paraId="5E7DF188">
      <w:pPr>
        <w:numPr>
          <w:ilvl w:val="0"/>
          <w:numId w:val="4"/>
        </w:numPr>
        <w:ind w:leftChars="0"/>
        <w:jc w:val="left"/>
        <w:rPr>
          <w:rFonts w:hint="eastAsia"/>
          <w:lang w:val="en-US" w:eastAsia="zh-CN"/>
        </w:rPr>
      </w:pPr>
      <w:r>
        <w:rPr>
          <w:rFonts w:hint="eastAsia"/>
          <w:lang w:val="en-US" w:eastAsia="zh-CN"/>
        </w:rPr>
        <w:t>研究目的</w:t>
      </w:r>
    </w:p>
    <w:p w14:paraId="32CFA1CA">
      <w:pPr>
        <w:keepNext w:val="0"/>
        <w:keepLines w:val="0"/>
        <w:widowControl/>
        <w:suppressLineNumbers w:val="0"/>
        <w:jc w:val="left"/>
        <w:rPr>
          <w:rFonts w:hint="eastAsia" w:ascii="楷体" w:hAnsi="楷体" w:eastAsia="楷体" w:cs="楷体"/>
          <w:color w:val="000000"/>
          <w:kern w:val="0"/>
          <w:sz w:val="21"/>
          <w:szCs w:val="21"/>
          <w:lang w:val="en-US" w:eastAsia="zh-CN" w:bidi="ar"/>
        </w:rPr>
      </w:pPr>
      <w:r>
        <w:rPr>
          <w:rFonts w:ascii="楷体" w:hAnsi="楷体" w:eastAsia="楷体" w:cs="楷体"/>
          <w:color w:val="000000"/>
          <w:kern w:val="0"/>
          <w:sz w:val="21"/>
          <w:szCs w:val="21"/>
          <w:lang w:val="en-US" w:eastAsia="zh-CN" w:bidi="ar"/>
        </w:rPr>
        <w:t>为提升神东矿区地质模型的快速构建、高效存储及动态更新能力，</w:t>
      </w:r>
      <w:r>
        <w:rPr>
          <w:rFonts w:hint="eastAsia" w:ascii="楷体" w:hAnsi="楷体" w:eastAsia="楷体" w:cs="楷体"/>
          <w:color w:val="000000"/>
          <w:kern w:val="0"/>
          <w:sz w:val="21"/>
          <w:szCs w:val="21"/>
          <w:lang w:val="en-US" w:eastAsia="zh-CN" w:bidi="ar"/>
        </w:rPr>
        <w:t xml:space="preserve">基于多维云 </w:t>
      </w:r>
      <w:r>
        <w:rPr>
          <w:rFonts w:hint="default" w:ascii="Times New Roman" w:hAnsi="Times New Roman" w:eastAsia="宋体" w:cs="Times New Roman"/>
          <w:color w:val="000000"/>
          <w:kern w:val="0"/>
          <w:sz w:val="21"/>
          <w:szCs w:val="21"/>
          <w:lang w:val="en-US" w:eastAsia="zh-CN" w:bidi="ar"/>
        </w:rPr>
        <w:t xml:space="preserve">GIS </w:t>
      </w:r>
      <w:r>
        <w:rPr>
          <w:rFonts w:hint="eastAsia" w:ascii="楷体" w:hAnsi="楷体" w:eastAsia="楷体" w:cs="楷体"/>
          <w:color w:val="000000"/>
          <w:kern w:val="0"/>
          <w:sz w:val="21"/>
          <w:szCs w:val="21"/>
          <w:lang w:val="en-US" w:eastAsia="zh-CN" w:bidi="ar"/>
        </w:rPr>
        <w:t>研究并构建了一个集跨平台、分布式存储、云协同、二三维一体化的三维地质模型动态更新技术体系，统一融合、协同处理神东“矿区</w:t>
      </w:r>
      <w:r>
        <w:rPr>
          <w:rFonts w:hint="default" w:ascii="Times New Roman" w:hAnsi="Times New Roman" w:eastAsia="宋体" w:cs="Times New Roman"/>
          <w:color w:val="000000"/>
          <w:kern w:val="0"/>
          <w:sz w:val="21"/>
          <w:szCs w:val="21"/>
          <w:lang w:val="en-US" w:eastAsia="zh-CN" w:bidi="ar"/>
        </w:rPr>
        <w:t>-</w:t>
      </w:r>
      <w:r>
        <w:rPr>
          <w:rFonts w:hint="eastAsia" w:ascii="楷体" w:hAnsi="楷体" w:eastAsia="楷体" w:cs="楷体"/>
          <w:color w:val="000000"/>
          <w:kern w:val="0"/>
          <w:sz w:val="21"/>
          <w:szCs w:val="21"/>
          <w:lang w:val="en-US" w:eastAsia="zh-CN" w:bidi="ar"/>
        </w:rPr>
        <w:t>矿井</w:t>
      </w:r>
      <w:r>
        <w:rPr>
          <w:rFonts w:hint="default" w:ascii="Times New Roman" w:hAnsi="Times New Roman" w:eastAsia="宋体" w:cs="Times New Roman"/>
          <w:color w:val="000000"/>
          <w:kern w:val="0"/>
          <w:sz w:val="21"/>
          <w:szCs w:val="21"/>
          <w:lang w:val="en-US" w:eastAsia="zh-CN" w:bidi="ar"/>
        </w:rPr>
        <w:t>-</w:t>
      </w:r>
      <w:r>
        <w:rPr>
          <w:rFonts w:hint="eastAsia" w:ascii="楷体" w:hAnsi="楷体" w:eastAsia="楷体" w:cs="楷体"/>
          <w:color w:val="000000"/>
          <w:kern w:val="0"/>
          <w:sz w:val="21"/>
          <w:szCs w:val="21"/>
          <w:lang w:val="en-US" w:eastAsia="zh-CN" w:bidi="ar"/>
        </w:rPr>
        <w:t>工作面”三级架构的地质模型数据。</w:t>
      </w:r>
      <w:r>
        <w:rPr>
          <w:rStyle w:val="6"/>
          <w:rFonts w:hint="eastAsia" w:ascii="楷体" w:hAnsi="楷体" w:eastAsia="楷体" w:cs="楷体"/>
          <w:color w:val="000000"/>
          <w:kern w:val="0"/>
          <w:sz w:val="21"/>
          <w:szCs w:val="21"/>
          <w:lang w:val="en-US" w:eastAsia="zh-CN" w:bidi="ar"/>
        </w:rPr>
        <w:t>[</w:t>
      </w:r>
      <w:r>
        <w:rPr>
          <w:rStyle w:val="6"/>
          <w:rFonts w:hint="eastAsia" w:ascii="楷体" w:hAnsi="楷体" w:eastAsia="楷体" w:cs="楷体"/>
          <w:color w:val="000000"/>
          <w:kern w:val="0"/>
          <w:sz w:val="21"/>
          <w:szCs w:val="21"/>
          <w:lang w:val="en-US" w:eastAsia="zh-CN" w:bidi="ar"/>
        </w:rPr>
        <w:endnoteReference w:id="1"/>
      </w:r>
      <w:r>
        <w:rPr>
          <w:rStyle w:val="6"/>
          <w:rFonts w:hint="eastAsia" w:ascii="楷体" w:hAnsi="楷体" w:eastAsia="楷体" w:cs="楷体"/>
          <w:color w:val="000000"/>
          <w:kern w:val="0"/>
          <w:sz w:val="21"/>
          <w:szCs w:val="21"/>
          <w:lang w:val="en-US" w:eastAsia="zh-CN" w:bidi="ar"/>
        </w:rPr>
        <w:t>]</w:t>
      </w:r>
    </w:p>
    <w:p w14:paraId="706CC058">
      <w:pPr>
        <w:keepNext w:val="0"/>
        <w:keepLines w:val="0"/>
        <w:widowControl/>
        <w:numPr>
          <w:ilvl w:val="0"/>
          <w:numId w:val="4"/>
        </w:numPr>
        <w:suppressLineNumbers w:val="0"/>
        <w:ind w:left="0" w:leftChars="0" w:firstLine="0" w:firstLineChars="0"/>
        <w:jc w:val="left"/>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研究方法</w:t>
      </w:r>
    </w:p>
    <w:p w14:paraId="203F616A">
      <w:pPr>
        <w:keepNext w:val="0"/>
        <w:keepLines w:val="0"/>
        <w:widowControl/>
        <w:suppressLineNumbers w:val="0"/>
        <w:jc w:val="left"/>
      </w:pPr>
      <w:r>
        <w:rPr>
          <w:rFonts w:hint="eastAsia" w:ascii="楷体" w:hAnsi="楷体" w:eastAsia="楷体" w:cs="楷体"/>
          <w:color w:val="000000"/>
          <w:kern w:val="0"/>
          <w:sz w:val="21"/>
          <w:szCs w:val="21"/>
          <w:lang w:val="en-US" w:eastAsia="zh-CN" w:bidi="ar"/>
        </w:rPr>
        <w:t>1.</w:t>
      </w:r>
      <w:r>
        <w:rPr>
          <w:rFonts w:ascii="黑体" w:hAnsi="宋体" w:eastAsia="黑体" w:cs="黑体"/>
          <w:color w:val="000000"/>
          <w:kern w:val="0"/>
          <w:sz w:val="24"/>
          <w:szCs w:val="24"/>
          <w:lang w:val="en-US" w:eastAsia="zh-CN" w:bidi="ar"/>
        </w:rPr>
        <w:t>多级约束地质建模体系</w:t>
      </w:r>
    </w:p>
    <w:p w14:paraId="2FB60D1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多级约束地质建模体系中利用大层模型作为约束框架，在约束框架下构建更加精细划分的亚层、小层或者岩性模型，对于不同级别的模型采用不同尺度进行空间网格剖分，通过数据与模型的迭代动态更新，不断提高模型数精度。</w:t>
      </w:r>
    </w:p>
    <w:p w14:paraId="3077C3B6">
      <w:pPr>
        <w:keepNext w:val="0"/>
        <w:keepLines w:val="0"/>
        <w:widowControl/>
        <w:suppressLineNumbers w:val="0"/>
        <w:jc w:val="left"/>
      </w:pPr>
      <w:r>
        <w:rPr>
          <w:rFonts w:hint="eastAsia" w:ascii="宋体" w:hAnsi="宋体" w:eastAsia="宋体" w:cs="宋体"/>
          <w:color w:val="000000"/>
          <w:kern w:val="0"/>
          <w:sz w:val="21"/>
          <w:szCs w:val="21"/>
          <w:lang w:val="en-US" w:eastAsia="zh-CN" w:bidi="ar"/>
        </w:rPr>
        <w:t>2.</w:t>
      </w:r>
      <w:r>
        <w:rPr>
          <w:rFonts w:ascii="黑体" w:hAnsi="宋体" w:eastAsia="黑体" w:cs="黑体"/>
          <w:color w:val="000000"/>
          <w:kern w:val="0"/>
          <w:sz w:val="24"/>
          <w:szCs w:val="24"/>
          <w:lang w:val="en-US" w:eastAsia="zh-CN" w:bidi="ar"/>
        </w:rPr>
        <w:t>地质模型动态更新</w:t>
      </w:r>
    </w:p>
    <w:p w14:paraId="20D48631">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随着煤矿的钻孔勘探、物探、巷道掘进、回采剖面写实等生产活动获取的最新地质时空数据，调用多维云 </w:t>
      </w:r>
      <w:r>
        <w:rPr>
          <w:rFonts w:hint="default" w:ascii="Times New Roman" w:hAnsi="Times New Roman" w:eastAsia="宋体" w:cs="Times New Roman"/>
          <w:color w:val="000000"/>
          <w:kern w:val="0"/>
          <w:sz w:val="21"/>
          <w:szCs w:val="21"/>
          <w:lang w:val="en-US" w:eastAsia="zh-CN" w:bidi="ar"/>
        </w:rPr>
        <w:t xml:space="preserve">GIS </w:t>
      </w:r>
      <w:r>
        <w:rPr>
          <w:rFonts w:hint="eastAsia" w:ascii="宋体" w:hAnsi="宋体" w:eastAsia="宋体" w:cs="宋体"/>
          <w:color w:val="000000"/>
          <w:kern w:val="0"/>
          <w:sz w:val="21"/>
          <w:szCs w:val="21"/>
          <w:lang w:val="en-US" w:eastAsia="zh-CN" w:bidi="ar"/>
        </w:rPr>
        <w:t xml:space="preserve">平台分布式计算 </w:t>
      </w:r>
      <w:r>
        <w:rPr>
          <w:rFonts w:hint="default" w:ascii="Times New Roman" w:hAnsi="Times New Roman" w:eastAsia="宋体" w:cs="Times New Roman"/>
          <w:color w:val="000000"/>
          <w:kern w:val="0"/>
          <w:sz w:val="21"/>
          <w:szCs w:val="21"/>
          <w:lang w:val="en-US" w:eastAsia="zh-CN" w:bidi="ar"/>
        </w:rPr>
        <w:t xml:space="preserve">GIS </w:t>
      </w:r>
      <w:r>
        <w:rPr>
          <w:rFonts w:hint="eastAsia" w:ascii="宋体" w:hAnsi="宋体" w:eastAsia="宋体" w:cs="宋体"/>
          <w:color w:val="000000"/>
          <w:kern w:val="0"/>
          <w:sz w:val="21"/>
          <w:szCs w:val="21"/>
          <w:lang w:val="en-US" w:eastAsia="zh-CN" w:bidi="ar"/>
        </w:rPr>
        <w:t>服务，通过决多种数据类型导入、拓扑关系分析、平剖对应、场景位置分析、膨胀搜索、空间插值、平滑过渡等一系列专业算法的分析与处理，实现多源数据的融合与地质模型的局部动态更新。</w:t>
      </w:r>
    </w:p>
    <w:p w14:paraId="0C0A8A48">
      <w:pPr>
        <w:keepNext w:val="0"/>
        <w:keepLines w:val="0"/>
        <w:widowControl/>
        <w:numPr>
          <w:ilvl w:val="0"/>
          <w:numId w:val="4"/>
        </w:numPr>
        <w:suppressLineNumbers w:val="0"/>
        <w:ind w:left="0" w:leftChars="0" w:firstLine="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结论</w:t>
      </w:r>
    </w:p>
    <w:p w14:paraId="5AA2BA9D">
      <w:pPr>
        <w:keepNext w:val="0"/>
        <w:keepLines w:val="0"/>
        <w:widowControl/>
        <w:numPr>
          <w:numId w:val="0"/>
        </w:numPr>
        <w:suppressLineNumbers w:val="0"/>
        <w:ind w:leftChars="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本文构建基于多维云GIS的地质模型动态更新技术体系，破解煤矿地质数据存储难、融合差、更新慢等问题，实现“矿区-矿井-工作面”三级数据统一融合与TB级时空数据高效处理</w:t>
      </w:r>
      <w:r>
        <w:rPr>
          <w:rFonts w:hint="eastAsia" w:ascii="宋体" w:hAnsi="宋体" w:eastAsia="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创新多级约束建模、复杂构造TIN生成、半边结构膨胀搜索等关键技术，提升模型构建精度与更新效率。应用于神东矿区后，各级模型更新响应高效，实现二三维同步更新与可视化共享，为煤矿透明地质保障及智能化采掘提供核心技术支撑。</w:t>
      </w:r>
    </w:p>
    <w:p w14:paraId="413B1A37">
      <w:pPr>
        <w:keepNext w:val="0"/>
        <w:keepLines w:val="0"/>
        <w:widowControl/>
        <w:suppressLineNumbers w:val="0"/>
        <w:jc w:val="left"/>
        <w:rPr>
          <w:rFonts w:hint="default"/>
          <w:lang w:val="en-US"/>
        </w:rPr>
      </w:pPr>
      <w:r>
        <w:rPr>
          <w:rFonts w:hint="eastAsia"/>
          <w:lang w:val="en-US" w:eastAsia="zh-CN"/>
        </w:rPr>
        <w:t>（四）分析、评价与感想</w:t>
      </w:r>
    </w:p>
    <w:p w14:paraId="1379AC84">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文章紧扣煤矿智能化建设核心需求，聚焦地质模型数据孤岛、更新低效等行业共性难题，构建的多维云GIS技术体系精准适配“矿区-矿井-工作面”三级应用场景，既填补了复杂地质构造下动态建模的技术空白，又为透明地质保障系统建设提供了可落地的解决方案，兼具理论创新性与工程实践价值，对推动煤矿地质建模技术智能化升级意义重大。</w:t>
      </w:r>
    </w:p>
    <w:p w14:paraId="4599319A">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文中令我感触最深的是技术创新对传统行业升级的颠覆性力量。</w:t>
      </w:r>
      <w:bookmarkStart w:id="0" w:name="_GoBack"/>
      <w:bookmarkEnd w:id="0"/>
    </w:p>
    <w:p w14:paraId="3471D155">
      <w:pPr>
        <w:keepNext w:val="0"/>
        <w:keepLines w:val="0"/>
        <w:widowControl/>
        <w:suppressLineNumbers w:val="0"/>
        <w:jc w:val="left"/>
      </w:pPr>
    </w:p>
    <w:p w14:paraId="689FBEC3">
      <w:pPr>
        <w:keepNext w:val="0"/>
        <w:keepLines w:val="0"/>
        <w:widowControl/>
        <w:suppressLineNumbers w:val="0"/>
        <w:jc w:val="left"/>
      </w:pPr>
    </w:p>
    <w:p w14:paraId="3D782D7D">
      <w:pPr>
        <w:keepNext w:val="0"/>
        <w:keepLines w:val="0"/>
        <w:widowControl/>
        <w:numPr>
          <w:numId w:val="0"/>
        </w:numPr>
        <w:suppressLineNumbers w:val="0"/>
        <w:ind w:leftChars="0"/>
        <w:jc w:val="left"/>
        <w:rPr>
          <w:rFonts w:hint="default" w:ascii="楷体" w:hAnsi="楷体" w:eastAsia="楷体" w:cs="楷体"/>
          <w:color w:val="000000"/>
          <w:kern w:val="0"/>
          <w:sz w:val="21"/>
          <w:szCs w:val="21"/>
          <w:lang w:val="en-US" w:eastAsia="zh-CN" w:bidi="ar"/>
        </w:rPr>
      </w:pPr>
    </w:p>
    <w:p w14:paraId="7A09DC5B">
      <w:pPr>
        <w:numPr>
          <w:numId w:val="0"/>
        </w:numPr>
        <w:jc w:val="left"/>
        <w:rPr>
          <w:rFonts w:hint="default"/>
          <w:lang w:val="en-US" w:eastAsia="zh-CN"/>
        </w:rPr>
      </w:pPr>
    </w:p>
    <w:p w14:paraId="63D4D6AE">
      <w:pPr>
        <w:jc w:val="left"/>
        <w:rPr>
          <w:rFonts w:hint="default"/>
          <w:lang w:val="en-US" w:eastAsia="zh-CN"/>
        </w:rPr>
      </w:pPr>
    </w:p>
    <w:p w14:paraId="6305A1C7">
      <w:pPr>
        <w:jc w:val="left"/>
        <w:rPr>
          <w:rFonts w:hint="eastAsia"/>
          <w:lang w:val="en-US" w:eastAsia="zh-CN"/>
        </w:rPr>
      </w:pPr>
    </w:p>
    <w:p w14:paraId="6920DF9D">
      <w:pPr>
        <w:ind w:firstLine="420" w:firstLineChars="0"/>
        <w:jc w:val="left"/>
        <w:rPr>
          <w:rFonts w:hint="eastAsia"/>
          <w:lang w:val="en-US" w:eastAsia="zh-CN"/>
        </w:rPr>
      </w:pPr>
    </w:p>
    <w:p w14:paraId="091D0F5A">
      <w:pPr>
        <w:ind w:firstLine="420" w:firstLineChars="0"/>
        <w:jc w:val="left"/>
        <w:rPr>
          <w:rFonts w:hint="eastAsia"/>
          <w:lang w:val="en-US" w:eastAsia="zh-CN"/>
        </w:rPr>
      </w:pPr>
    </w:p>
    <w:p w14:paraId="2C6C27B0">
      <w:pPr>
        <w:ind w:firstLine="420" w:firstLineChars="0"/>
        <w:jc w:val="left"/>
        <w:rPr>
          <w:rFonts w:hint="eastAsia"/>
          <w:lang w:val="en-US" w:eastAsia="zh-CN"/>
        </w:rPr>
      </w:pPr>
    </w:p>
    <w:p w14:paraId="0EAA8A63">
      <w:pPr>
        <w:ind w:firstLine="420" w:firstLineChars="0"/>
        <w:jc w:val="left"/>
        <w:rPr>
          <w:rFonts w:hint="eastAsia"/>
          <w:lang w:val="en-US" w:eastAsia="zh-CN"/>
        </w:rPr>
      </w:pPr>
    </w:p>
    <w:p w14:paraId="0E827C91">
      <w:pPr>
        <w:ind w:firstLine="420" w:firstLineChars="0"/>
        <w:jc w:val="left"/>
        <w:rPr>
          <w:rFonts w:hint="eastAsia"/>
          <w:lang w:val="en-US" w:eastAsia="zh-CN"/>
        </w:rPr>
      </w:pPr>
    </w:p>
    <w:p w14:paraId="358D36B7">
      <w:pPr>
        <w:ind w:firstLine="420" w:firstLineChars="0"/>
        <w:jc w:val="left"/>
        <w:rPr>
          <w:rFonts w:hint="eastAsia"/>
          <w:lang w:val="en-US" w:eastAsia="zh-CN"/>
        </w:rPr>
      </w:pPr>
    </w:p>
    <w:p w14:paraId="7C5E38EE">
      <w:pPr>
        <w:ind w:firstLine="420" w:firstLineChars="0"/>
        <w:jc w:val="left"/>
        <w:rPr>
          <w:rFonts w:hint="eastAsia"/>
          <w:lang w:val="en-US" w:eastAsia="zh-CN"/>
        </w:rPr>
      </w:pPr>
    </w:p>
    <w:p w14:paraId="21492FCB">
      <w:pPr>
        <w:ind w:firstLine="420" w:firstLineChars="0"/>
        <w:jc w:val="left"/>
        <w:rPr>
          <w:rFonts w:hint="eastAsia"/>
          <w:lang w:val="en-US" w:eastAsia="zh-CN"/>
        </w:rPr>
      </w:pPr>
    </w:p>
    <w:p w14:paraId="49A6F58A">
      <w:pPr>
        <w:ind w:firstLine="420" w:firstLineChars="0"/>
        <w:jc w:val="left"/>
        <w:rPr>
          <w:rFonts w:hint="eastAsia"/>
          <w:lang w:val="en-US" w:eastAsia="zh-CN"/>
        </w:rPr>
      </w:pPr>
    </w:p>
    <w:p w14:paraId="23C391F2">
      <w:pPr>
        <w:ind w:firstLine="420" w:firstLineChars="0"/>
        <w:jc w:val="left"/>
        <w:rPr>
          <w:rFonts w:hint="eastAsia"/>
          <w:lang w:val="en-US" w:eastAsia="zh-CN"/>
        </w:rPr>
      </w:pPr>
    </w:p>
    <w:p w14:paraId="4B10D0BC">
      <w:pPr>
        <w:ind w:firstLine="420" w:firstLineChars="0"/>
        <w:jc w:val="left"/>
        <w:rPr>
          <w:rFonts w:hint="eastAsia"/>
          <w:lang w:val="en-US" w:eastAsia="zh-CN"/>
        </w:rPr>
      </w:pPr>
    </w:p>
    <w:p w14:paraId="1AB10B90">
      <w:pPr>
        <w:ind w:firstLine="420" w:firstLineChars="0"/>
        <w:jc w:val="left"/>
        <w:rPr>
          <w:rFonts w:hint="eastAsia"/>
          <w:lang w:val="en-US" w:eastAsia="zh-CN"/>
        </w:rPr>
      </w:pPr>
    </w:p>
    <w:p w14:paraId="36E7A0DE">
      <w:pPr>
        <w:ind w:firstLine="420" w:firstLineChars="0"/>
        <w:jc w:val="left"/>
        <w:rPr>
          <w:rFonts w:hint="eastAsia"/>
          <w:lang w:val="en-US" w:eastAsia="zh-CN"/>
        </w:rPr>
      </w:pPr>
    </w:p>
    <w:p w14:paraId="56F5200D">
      <w:pPr>
        <w:ind w:firstLine="420" w:firstLineChars="0"/>
        <w:jc w:val="left"/>
        <w:rPr>
          <w:rFonts w:hint="eastAsia"/>
          <w:lang w:val="en-US" w:eastAsia="zh-CN"/>
        </w:rPr>
      </w:pPr>
    </w:p>
    <w:p w14:paraId="32CC8E4D">
      <w:pPr>
        <w:ind w:firstLine="420" w:firstLineChars="0"/>
        <w:jc w:val="left"/>
        <w:rPr>
          <w:rFonts w:hint="eastAsia"/>
          <w:lang w:val="en-US" w:eastAsia="zh-CN"/>
        </w:rPr>
      </w:pPr>
    </w:p>
    <w:p w14:paraId="3FA26F9B">
      <w:pPr>
        <w:ind w:firstLine="420" w:firstLineChars="0"/>
        <w:jc w:val="left"/>
        <w:rPr>
          <w:rFonts w:hint="eastAsia"/>
          <w:lang w:val="en-US" w:eastAsia="zh-CN"/>
        </w:rPr>
      </w:pPr>
    </w:p>
    <w:p w14:paraId="581C5638">
      <w:pPr>
        <w:ind w:firstLine="420" w:firstLineChars="0"/>
        <w:jc w:val="left"/>
        <w:rPr>
          <w:rFonts w:hint="default"/>
          <w:lang w:val="en-US" w:eastAsia="zh-CN"/>
        </w:rPr>
      </w:pPr>
      <w:r>
        <w:rPr>
          <w:rFonts w:hint="default"/>
          <w:lang w:val="en-US" w:eastAsia="zh-CN"/>
        </w:rPr>
        <w:t>[1]贺力,王融.面向社会问题求解的GIS空间分析：融合路径、挑战与机遇[J].地球信息科学学报,2025,27(09):2151-2164.</w:t>
      </w:r>
    </w:p>
    <w:p w14:paraId="577CD314">
      <w:pPr>
        <w:ind w:firstLine="420" w:firstLineChars="0"/>
        <w:jc w:val="left"/>
        <w:rPr>
          <w:rFonts w:hint="default"/>
          <w:lang w:val="en-US" w:eastAsia="zh-CN"/>
        </w:rPr>
      </w:pPr>
      <w:r>
        <w:rPr>
          <w:rFonts w:hint="default"/>
          <w:lang w:val="en-US" w:eastAsia="zh-CN"/>
        </w:rPr>
        <w:t>[1]孟永兵.基于多维云GIS的地质模型动态更新技术研究与应用[J/OL].煤炭科学技术,1-13[2025-11-16].https://link.cnki.net/urlid/11.2402.TD.20251017.1754.010.</w:t>
      </w:r>
    </w:p>
    <w:p w14:paraId="494BD816">
      <w:pPr>
        <w:ind w:firstLine="420" w:firstLineChars="0"/>
        <w:jc w:val="left"/>
        <w:rPr>
          <w:rFonts w:hint="default"/>
          <w:lang w:val="en-US" w:eastAsia="zh-CN"/>
        </w:rPr>
      </w:pPr>
      <w:r>
        <w:rPr>
          <w:rFonts w:hint="default"/>
          <w:lang w:val="en-US" w:eastAsia="zh-CN"/>
        </w:rPr>
        <w:t>[1]朱冕轩,张廷,胡海辉.基于GIS的龙凤湿地省级自然保护区生态敏感性评价[J].湿地科学,2025,23(05):878-887.DOI:10.13248/j.cnki.wetlandsci.20240181.</w:t>
      </w:r>
    </w:p>
    <w:p w14:paraId="71683E3D">
      <w:pPr>
        <w:ind w:firstLine="420" w:firstLineChars="0"/>
        <w:jc w:val="left"/>
        <w:rPr>
          <w:rFonts w:hint="default"/>
          <w:lang w:val="en-US" w:eastAsia="zh-CN"/>
        </w:rPr>
      </w:pPr>
    </w:p>
    <w:sect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
    <w:p/>
  </w:endnote>
  <w:endnote w:type="continuationSeparator" w:id="5">
    <w:p/>
  </w:endnote>
  <w:endnote w:id="0">
    <w:p w14:paraId="5A88FAF9">
      <w:pPr>
        <w:pStyle w:val="3"/>
        <w:snapToGrid w:val="0"/>
      </w:pPr>
      <w:r>
        <w:rPr>
          <w:rStyle w:val="6"/>
        </w:rPr>
        <w:t>[</w:t>
      </w:r>
      <w:r>
        <w:rPr>
          <w:rStyle w:val="6"/>
        </w:rPr>
        <w:endnoteRef/>
      </w:r>
      <w:r>
        <w:rPr>
          <w:rStyle w:val="6"/>
        </w:rPr>
        <w:t>]</w:t>
      </w:r>
      <w:r>
        <w:t xml:space="preserve"> </w:t>
      </w:r>
      <w:r>
        <w:rPr>
          <w:rFonts w:hint="default"/>
          <w:lang w:val="en-US" w:eastAsia="zh-CN"/>
        </w:rPr>
        <w:t>贺力,王融.面向社会问题求解的GIS空间分析：融合路径、挑战与机遇[J].地球信息科学学报,2025,27(09):2151-2164.</w:t>
      </w:r>
    </w:p>
  </w:endnote>
  <w:endnote w:id="1">
    <w:p w14:paraId="3EF019E3">
      <w:pPr>
        <w:jc w:val="left"/>
        <w:rPr>
          <w:rFonts w:hint="default"/>
          <w:lang w:val="en-US" w:eastAsia="zh-CN"/>
        </w:rPr>
      </w:pPr>
      <w:r>
        <w:rPr>
          <w:rStyle w:val="6"/>
        </w:rPr>
        <w:t>[</w:t>
      </w:r>
      <w:r>
        <w:rPr>
          <w:rStyle w:val="6"/>
        </w:rPr>
        <w:endnoteRef/>
      </w:r>
      <w:r>
        <w:rPr>
          <w:rStyle w:val="6"/>
        </w:rPr>
        <w:t>]</w:t>
      </w:r>
      <w:r>
        <w:t xml:space="preserve"> </w:t>
      </w:r>
      <w:r>
        <w:rPr>
          <w:rFonts w:hint="default"/>
          <w:lang w:val="en-US" w:eastAsia="zh-CN"/>
        </w:rPr>
        <w:t>孟永兵.基于多维云GIS的地质模型动态更新技术研究与应用[J/OL].煤炭科学技术,1-13[2025-11-16].https://link.cnki.net/urlid/11.2402.TD.20251017.1754.010.</w:t>
      </w:r>
    </w:p>
    <w:p w14:paraId="08E11D2D">
      <w:pPr>
        <w:pStyle w:val="3"/>
        <w:snapToGrid w:val="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ZShuSong-Z01">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091815"/>
    <w:multiLevelType w:val="singleLevel"/>
    <w:tmpl w:val="F3091815"/>
    <w:lvl w:ilvl="0" w:tentative="0">
      <w:start w:val="1"/>
      <w:numFmt w:val="decimal"/>
      <w:lvlText w:val="%1."/>
      <w:lvlJc w:val="left"/>
      <w:pPr>
        <w:tabs>
          <w:tab w:val="left" w:pos="312"/>
        </w:tabs>
      </w:pPr>
    </w:lvl>
  </w:abstractNum>
  <w:abstractNum w:abstractNumId="1">
    <w:nsid w:val="FD14D69B"/>
    <w:multiLevelType w:val="singleLevel"/>
    <w:tmpl w:val="FD14D69B"/>
    <w:lvl w:ilvl="0" w:tentative="0">
      <w:start w:val="2"/>
      <w:numFmt w:val="chineseCounting"/>
      <w:suff w:val="nothing"/>
      <w:lvlText w:val="（%1）"/>
      <w:lvlJc w:val="left"/>
      <w:rPr>
        <w:rFonts w:hint="eastAsia"/>
      </w:rPr>
    </w:lvl>
  </w:abstractNum>
  <w:abstractNum w:abstractNumId="2">
    <w:nsid w:val="04C5AEFB"/>
    <w:multiLevelType w:val="singleLevel"/>
    <w:tmpl w:val="04C5AEFB"/>
    <w:lvl w:ilvl="0" w:tentative="0">
      <w:start w:val="1"/>
      <w:numFmt w:val="chineseCounting"/>
      <w:suff w:val="nothing"/>
      <w:lvlText w:val="%1、"/>
      <w:lvlJc w:val="left"/>
      <w:rPr>
        <w:rFonts w:hint="eastAsia"/>
      </w:rPr>
    </w:lvl>
  </w:abstractNum>
  <w:abstractNum w:abstractNumId="3">
    <w:nsid w:val="20B2285E"/>
    <w:multiLevelType w:val="singleLevel"/>
    <w:tmpl w:val="20B2285E"/>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4"/>
    <w:endnote w:id="5"/>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4D7496"/>
    <w:rsid w:val="452E6344"/>
    <w:rsid w:val="47145AC9"/>
    <w:rsid w:val="487A71F5"/>
    <w:rsid w:val="50BF0595"/>
    <w:rsid w:val="62A6743E"/>
    <w:rsid w:val="6DAA5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0"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cs="Courier New"/>
      <w:szCs w:val="21"/>
    </w:rPr>
  </w:style>
  <w:style w:type="paragraph" w:styleId="3">
    <w:name w:val="endnote text"/>
    <w:basedOn w:val="1"/>
    <w:uiPriority w:val="99"/>
    <w:pPr>
      <w:snapToGrid w:val="0"/>
      <w:jc w:val="left"/>
    </w:pPr>
  </w:style>
  <w:style w:type="character" w:styleId="6">
    <w:name w:val="endnote reference"/>
    <w:basedOn w:val="5"/>
    <w:uiPriority w:val="99"/>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1122</Words>
  <Characters>1347</Characters>
  <Lines>0</Lines>
  <Paragraphs>0</Paragraphs>
  <TotalTime>13</TotalTime>
  <ScaleCrop>false</ScaleCrop>
  <LinksUpToDate>false</LinksUpToDate>
  <CharactersWithSpaces>1352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2025-11-16T08:20:00Z</dcterms:created>
  <dc:creator>Liu</dc:creator>
  <cp:lastModifiedBy>刘欣语</cp:lastModifiedBy>
  <dcterms:modified xsi:type="dcterms:W3CDTF">2025-11-18T15:07:44Z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eyJoZGlkIjoiOTJjOTg4NDQzYzUyNjY2ZDRlOWEzNmUxZTViNWQ4NzMiLCJ1c2VySWQiOiIxNjQ1MTg5NDQzIn0=</vt:lpwstr>
  </property>
  <property fmtid="{D5CDD505-2E9C-101B-9397-08002B2CF9AE}" pid="4" name="ICV">
    <vt:lpwstr>9661B450B0824C83820EE4C729F4DCD3_12</vt:lpwstr>
  </property>
</Properties>
</file>