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D0058">
      <w:pPr>
        <w:widowControl/>
        <w:adjustRightInd w:val="0"/>
        <w:snapToGrid w:val="0"/>
        <w:spacing w:after="200" w:line="300" w:lineRule="atLeast"/>
        <w:ind w:left="680" w:right="680"/>
        <w:jc w:val="center"/>
        <w:rPr>
          <w:rFonts w:ascii="宋体" w:hAnsi="宋体"/>
          <w:b/>
          <w:bCs/>
          <w:kern w:val="0"/>
          <w:sz w:val="72"/>
          <w:szCs w:val="72"/>
        </w:rPr>
      </w:pPr>
      <w:r>
        <w:rPr>
          <w:rFonts w:hint="eastAsia" w:ascii="宋体" w:hAnsi="宋体"/>
          <w:b/>
          <w:bCs/>
          <w:kern w:val="0"/>
          <w:sz w:val="72"/>
          <w:szCs w:val="72"/>
        </w:rPr>
        <w:t>上海海事大学</w:t>
      </w:r>
    </w:p>
    <w:p w14:paraId="7DCDEE95">
      <w:pPr>
        <w:widowControl/>
        <w:adjustRightInd w:val="0"/>
        <w:snapToGrid w:val="0"/>
        <w:spacing w:after="200" w:line="300" w:lineRule="atLeast"/>
        <w:ind w:left="680" w:right="680"/>
        <w:jc w:val="center"/>
        <w:rPr>
          <w:rFonts w:ascii="宋体" w:hAnsi="宋体"/>
          <w:b/>
          <w:bCs/>
          <w:kern w:val="0"/>
          <w:sz w:val="30"/>
          <w:szCs w:val="30"/>
        </w:rPr>
      </w:pPr>
    </w:p>
    <w:p w14:paraId="7DAAF3D4">
      <w:pPr>
        <w:widowControl/>
        <w:adjustRightInd w:val="0"/>
        <w:snapToGrid w:val="0"/>
        <w:spacing w:after="200" w:line="300" w:lineRule="atLeast"/>
        <w:ind w:left="680" w:right="680"/>
        <w:jc w:val="center"/>
        <w:rPr>
          <w:rFonts w:ascii="宋体" w:hAnsi="宋体"/>
          <w:b/>
          <w:bCs/>
          <w:kern w:val="0"/>
          <w:sz w:val="30"/>
          <w:szCs w:val="30"/>
        </w:rPr>
      </w:pPr>
      <w:r>
        <w:rPr>
          <w:rFonts w:hint="eastAsia" w:ascii="宋体" w:hAnsi="宋体"/>
          <w:b/>
          <w:bCs/>
          <w:kern w:val="0"/>
          <w:sz w:val="30"/>
          <w:szCs w:val="30"/>
        </w:rPr>
        <w:t>思政课社会实践报告</w:t>
      </w:r>
    </w:p>
    <w:p w14:paraId="42FFE84A">
      <w:pPr>
        <w:widowControl/>
        <w:adjustRightInd w:val="0"/>
        <w:snapToGrid w:val="0"/>
        <w:spacing w:after="200" w:line="300" w:lineRule="atLeast"/>
        <w:ind w:left="680" w:right="680"/>
        <w:jc w:val="center"/>
        <w:rPr>
          <w:rFonts w:hint="eastAsia" w:ascii="宋体" w:hAnsi="宋体"/>
          <w:b/>
          <w:bCs/>
          <w:kern w:val="0"/>
          <w:sz w:val="30"/>
          <w:szCs w:val="30"/>
        </w:rPr>
      </w:pPr>
    </w:p>
    <w:p w14:paraId="62198AEB">
      <w:pPr>
        <w:widowControl/>
        <w:adjustRightInd w:val="0"/>
        <w:snapToGrid w:val="0"/>
        <w:spacing w:after="200" w:line="300" w:lineRule="atLeast"/>
        <w:ind w:left="2247" w:leftChars="608" w:right="680" w:hanging="970" w:hangingChars="302"/>
        <w:jc w:val="left"/>
        <w:rPr>
          <w:rFonts w:hint="eastAsia" w:ascii="黑体" w:hAnsi="黑体" w:eastAsia="黑体"/>
          <w:b/>
          <w:bCs/>
          <w:kern w:val="0"/>
          <w:sz w:val="32"/>
          <w:szCs w:val="32"/>
          <w:lang w:eastAsia="zh-CN"/>
        </w:rPr>
      </w:pPr>
      <w:r>
        <w:rPr>
          <w:rFonts w:hint="eastAsia" w:ascii="黑体" w:hAnsi="黑体" w:eastAsia="黑体"/>
          <w:b/>
          <w:bCs/>
          <w:kern w:val="0"/>
          <w:sz w:val="32"/>
          <w:szCs w:val="32"/>
        </w:rPr>
        <w:t>题目：</w:t>
      </w:r>
      <w:r>
        <w:rPr>
          <w:rFonts w:hint="eastAsia" w:ascii="宋体" w:hAnsi="宋体"/>
          <w:bCs/>
          <w:kern w:val="0"/>
          <w:sz w:val="30"/>
          <w:szCs w:val="30"/>
        </w:rPr>
        <w:t>9.3大阅兵社会认知与强军思想认同调研报告</w:t>
      </w:r>
    </w:p>
    <w:p w14:paraId="150324AB">
      <w:pPr>
        <w:widowControl/>
        <w:adjustRightInd w:val="0"/>
        <w:snapToGrid w:val="0"/>
        <w:spacing w:after="200" w:line="300" w:lineRule="atLeast"/>
        <w:ind w:right="680" w:firstLine="1269" w:firstLineChars="395"/>
        <w:jc w:val="left"/>
        <w:rPr>
          <w:rFonts w:hint="eastAsia" w:ascii="黑体" w:hAnsi="黑体" w:eastAsia="黑体"/>
          <w:b/>
          <w:bCs/>
          <w:kern w:val="0"/>
          <w:sz w:val="32"/>
          <w:szCs w:val="32"/>
        </w:rPr>
      </w:pPr>
    </w:p>
    <w:p w14:paraId="56C57AAB">
      <w:pPr>
        <w:widowControl/>
        <w:adjustRightInd w:val="0"/>
        <w:snapToGrid w:val="0"/>
        <w:spacing w:after="200" w:line="300" w:lineRule="atLeast"/>
        <w:ind w:right="680" w:firstLine="1269" w:firstLineChars="395"/>
        <w:jc w:val="left"/>
        <w:rPr>
          <w:rFonts w:hint="eastAsia" w:ascii="黑体" w:hAnsi="黑体" w:eastAsia="黑体"/>
          <w:b/>
          <w:bCs/>
          <w:kern w:val="0"/>
          <w:sz w:val="32"/>
          <w:szCs w:val="32"/>
        </w:rPr>
      </w:pPr>
      <w:r>
        <w:rPr>
          <w:rFonts w:hint="eastAsia" w:ascii="黑体" w:hAnsi="黑体" w:eastAsia="黑体"/>
          <w:b/>
          <w:bCs/>
          <w:kern w:val="0"/>
          <w:sz w:val="32"/>
          <w:szCs w:val="32"/>
        </w:rPr>
        <w:t>社会实践报告类型：</w:t>
      </w:r>
    </w:p>
    <w:p w14:paraId="39569533">
      <w:pPr>
        <w:widowControl/>
        <w:adjustRightInd w:val="0"/>
        <w:snapToGrid w:val="0"/>
        <w:spacing w:after="200" w:line="300" w:lineRule="atLeast"/>
        <w:ind w:left="680" w:leftChars="324" w:right="680" w:firstLine="1050" w:firstLineChars="350"/>
        <w:jc w:val="left"/>
        <w:rPr>
          <w:rFonts w:ascii="黑体" w:hAnsi="黑体" w:eastAsia="黑体"/>
          <w:b/>
          <w:bCs/>
          <w:kern w:val="0"/>
          <w:sz w:val="32"/>
          <w:szCs w:val="32"/>
        </w:rPr>
      </w:pPr>
      <w:r>
        <w:rPr>
          <w:rFonts w:hint="eastAsia" w:ascii="宋体" w:hAnsi="宋体"/>
          <w:bCs/>
          <w:kern w:val="0"/>
          <w:sz w:val="30"/>
          <w:szCs w:val="30"/>
        </w:rPr>
        <w:t>调研报告</w:t>
      </w:r>
    </w:p>
    <w:p w14:paraId="1CCEE1B2">
      <w:pPr>
        <w:widowControl/>
        <w:adjustRightInd w:val="0"/>
        <w:snapToGrid w:val="0"/>
        <w:spacing w:after="200" w:line="360" w:lineRule="auto"/>
        <w:ind w:right="680" w:firstLine="1245" w:firstLineChars="443"/>
        <w:jc w:val="left"/>
        <w:rPr>
          <w:rFonts w:hint="eastAsia" w:ascii="宋体" w:hAnsi="宋体" w:eastAsia="宋体"/>
          <w:b/>
          <w:bCs/>
          <w:kern w:val="0"/>
          <w:sz w:val="28"/>
          <w:szCs w:val="28"/>
          <w:lang w:val="en-US" w:eastAsia="zh-CN"/>
        </w:rPr>
      </w:pPr>
      <w:r>
        <w:rPr>
          <w:rFonts w:hint="eastAsia" w:ascii="宋体" w:hAnsi="宋体"/>
          <w:b/>
          <w:bCs/>
          <w:kern w:val="0"/>
          <w:sz w:val="28"/>
          <w:szCs w:val="28"/>
        </w:rPr>
        <w:t>学院：</w:t>
      </w:r>
      <w:r>
        <w:rPr>
          <w:rFonts w:hint="eastAsia" w:ascii="宋体" w:hAnsi="宋体"/>
          <w:b/>
          <w:bCs/>
          <w:kern w:val="0"/>
          <w:sz w:val="28"/>
          <w:szCs w:val="28"/>
          <w:lang w:val="en-US" w:eastAsia="zh-CN"/>
        </w:rPr>
        <w:t>信息工程学院</w:t>
      </w:r>
    </w:p>
    <w:p w14:paraId="7644FDE0">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班级：</w:t>
      </w:r>
      <w:r>
        <w:rPr>
          <w:rFonts w:hint="eastAsia" w:ascii="宋体" w:hAnsi="宋体"/>
          <w:b/>
          <w:bCs/>
          <w:kern w:val="0"/>
          <w:sz w:val="28"/>
          <w:szCs w:val="28"/>
          <w:lang w:val="en-US" w:eastAsia="zh-CN"/>
        </w:rPr>
        <w:t>电信241</w:t>
      </w:r>
    </w:p>
    <w:p w14:paraId="0B02B17F">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学号：</w:t>
      </w:r>
      <w:r>
        <w:rPr>
          <w:rFonts w:hint="eastAsia" w:ascii="宋体" w:hAnsi="宋体"/>
          <w:b/>
          <w:bCs/>
          <w:kern w:val="0"/>
          <w:sz w:val="28"/>
          <w:szCs w:val="28"/>
          <w:lang w:val="en-US" w:eastAsia="zh-CN"/>
        </w:rPr>
        <w:t>202410321018、202410321020</w:t>
      </w:r>
    </w:p>
    <w:p w14:paraId="2D7EB0C1">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姓名：</w:t>
      </w:r>
      <w:r>
        <w:rPr>
          <w:rFonts w:hint="eastAsia" w:ascii="宋体" w:hAnsi="宋体"/>
          <w:b/>
          <w:bCs/>
          <w:kern w:val="0"/>
          <w:sz w:val="28"/>
          <w:szCs w:val="28"/>
          <w:lang w:val="en-US" w:eastAsia="zh-CN"/>
        </w:rPr>
        <w:t>高济祺、刘欣语</w:t>
      </w:r>
    </w:p>
    <w:p w14:paraId="26D83EBE">
      <w:pPr>
        <w:widowControl/>
        <w:adjustRightInd w:val="0"/>
        <w:snapToGrid w:val="0"/>
        <w:spacing w:after="200" w:line="360" w:lineRule="auto"/>
        <w:ind w:right="680" w:firstLine="1245" w:firstLineChars="443"/>
        <w:jc w:val="left"/>
        <w:rPr>
          <w:rFonts w:ascii="宋体" w:hAnsi="宋体"/>
          <w:b/>
          <w:bCs/>
          <w:kern w:val="0"/>
          <w:sz w:val="28"/>
          <w:szCs w:val="28"/>
        </w:rPr>
      </w:pPr>
      <w:r>
        <w:rPr>
          <w:rFonts w:hint="eastAsia" w:ascii="宋体" w:hAnsi="宋体"/>
          <w:b/>
          <w:bCs/>
          <w:kern w:val="0"/>
          <w:sz w:val="28"/>
          <w:szCs w:val="28"/>
        </w:rPr>
        <w:t>联系方式：</w:t>
      </w:r>
      <w:r>
        <w:rPr>
          <w:rFonts w:hint="eastAsia" w:ascii="宋体" w:hAnsi="宋体"/>
          <w:b/>
          <w:bCs/>
          <w:kern w:val="0"/>
          <w:sz w:val="28"/>
          <w:szCs w:val="28"/>
          <w:lang w:eastAsia="zh"/>
        </w:rPr>
        <w:t>17374132960、13103018858</w:t>
      </w:r>
    </w:p>
    <w:p w14:paraId="03DCD438">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任课老师：</w:t>
      </w:r>
      <w:r>
        <w:rPr>
          <w:rFonts w:hint="eastAsia" w:ascii="宋体" w:hAnsi="宋体"/>
          <w:b/>
          <w:bCs/>
          <w:kern w:val="0"/>
          <w:sz w:val="28"/>
          <w:szCs w:val="28"/>
          <w:lang w:val="en-US" w:eastAsia="zh-CN"/>
        </w:rPr>
        <w:t>王桃珍</w:t>
      </w:r>
    </w:p>
    <w:p w14:paraId="72568954">
      <w:pPr>
        <w:widowControl/>
        <w:adjustRightInd w:val="0"/>
        <w:snapToGrid w:val="0"/>
        <w:spacing w:after="200" w:line="480" w:lineRule="auto"/>
        <w:ind w:right="680" w:firstLine="1245" w:firstLineChars="443"/>
        <w:jc w:val="left"/>
        <w:rPr>
          <w:rFonts w:hint="eastAsia" w:ascii="宋体" w:hAnsi="宋体"/>
          <w:b/>
          <w:bCs/>
          <w:kern w:val="0"/>
          <w:sz w:val="28"/>
          <w:szCs w:val="28"/>
          <w:lang w:val="en-US" w:eastAsia="zh-CN"/>
        </w:rPr>
      </w:pPr>
      <w:r>
        <w:rPr>
          <w:rFonts w:hint="eastAsia" w:ascii="宋体" w:hAnsi="宋体"/>
          <w:b/>
          <w:bCs/>
          <w:kern w:val="0"/>
          <w:sz w:val="28"/>
          <w:szCs w:val="28"/>
        </w:rPr>
        <w:t>完成时间：</w:t>
      </w:r>
      <w:r>
        <w:rPr>
          <w:rFonts w:hint="eastAsia" w:ascii="宋体" w:hAnsi="宋体"/>
          <w:b/>
          <w:bCs/>
          <w:kern w:val="0"/>
          <w:sz w:val="28"/>
          <w:szCs w:val="28"/>
          <w:lang w:val="en-US" w:eastAsia="zh-CN"/>
        </w:rPr>
        <w:t>2021.11.16</w:t>
      </w:r>
    </w:p>
    <w:p w14:paraId="4FEDBB92">
      <w:pPr>
        <w:widowControl/>
        <w:adjustRightInd w:val="0"/>
        <w:snapToGrid w:val="0"/>
        <w:spacing w:after="200" w:line="480" w:lineRule="auto"/>
        <w:ind w:right="680" w:firstLine="1245" w:firstLineChars="443"/>
        <w:jc w:val="left"/>
        <w:rPr>
          <w:rFonts w:hint="eastAsia" w:ascii="宋体" w:hAnsi="宋体"/>
          <w:b/>
          <w:bCs/>
          <w:kern w:val="0"/>
          <w:sz w:val="28"/>
          <w:szCs w:val="28"/>
          <w:lang w:val="en-US" w:eastAsia="zh-CN"/>
        </w:rPr>
      </w:pPr>
    </w:p>
    <w:p w14:paraId="43E188EB">
      <w:pPr>
        <w:widowControl/>
        <w:adjustRightInd w:val="0"/>
        <w:snapToGrid w:val="0"/>
        <w:spacing w:after="200" w:line="480" w:lineRule="auto"/>
        <w:ind w:right="680" w:firstLine="1245" w:firstLineChars="443"/>
        <w:jc w:val="left"/>
        <w:rPr>
          <w:rFonts w:hint="eastAsia" w:ascii="宋体" w:hAnsi="宋体"/>
          <w:b/>
          <w:bCs/>
          <w:kern w:val="0"/>
          <w:sz w:val="28"/>
          <w:szCs w:val="28"/>
          <w:lang w:val="en-US" w:eastAsia="zh-CN"/>
        </w:rPr>
      </w:pPr>
    </w:p>
    <w:p w14:paraId="48480E8C">
      <w:pPr>
        <w:widowControl/>
        <w:adjustRightInd w:val="0"/>
        <w:snapToGrid w:val="0"/>
        <w:spacing w:after="200" w:line="480" w:lineRule="auto"/>
        <w:ind w:right="680" w:firstLine="1245" w:firstLineChars="443"/>
        <w:jc w:val="left"/>
        <w:rPr>
          <w:rFonts w:hint="eastAsia" w:ascii="宋体" w:hAnsi="宋体"/>
          <w:b/>
          <w:bCs/>
          <w:kern w:val="0"/>
          <w:sz w:val="28"/>
          <w:szCs w:val="28"/>
          <w:lang w:val="en-US" w:eastAsia="zh-CN"/>
        </w:rPr>
      </w:pP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9"/>
        <w:gridCol w:w="2769"/>
      </w:tblGrid>
      <w:tr w14:paraId="7B45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72FE136B">
            <w:pPr>
              <w:pStyle w:val="6"/>
              <w:spacing w:before="0" w:beforeAutospacing="0" w:after="0" w:afterAutospacing="0" w:line="360" w:lineRule="auto"/>
              <w:jc w:val="center"/>
              <w:rPr>
                <w:rFonts w:hint="eastAsia" w:cs="Times New Roman"/>
                <w:b/>
                <w:color w:val="000000"/>
                <w:lang w:eastAsia="zh"/>
              </w:rPr>
            </w:pPr>
            <w:r>
              <w:rPr>
                <w:rFonts w:hint="eastAsia" w:ascii="黑体" w:hAnsi="黑体" w:eastAsia="黑体" w:cs="黑体"/>
                <w:b/>
                <w:color w:val="000000"/>
                <w:lang w:eastAsia="zh"/>
              </w:rPr>
              <w:t>姓名</w:t>
            </w:r>
          </w:p>
        </w:tc>
        <w:tc>
          <w:tcPr>
            <w:tcW w:w="2769" w:type="dxa"/>
            <w:vAlign w:val="center"/>
          </w:tcPr>
          <w:p w14:paraId="183BDD45">
            <w:pPr>
              <w:pStyle w:val="6"/>
              <w:spacing w:before="0" w:beforeAutospacing="0" w:after="0" w:afterAutospacing="0" w:line="360" w:lineRule="auto"/>
              <w:jc w:val="center"/>
              <w:rPr>
                <w:rFonts w:hint="eastAsia" w:cs="Times New Roman"/>
                <w:b/>
                <w:color w:val="000000"/>
                <w:lang w:eastAsia="zh"/>
              </w:rPr>
            </w:pPr>
            <w:r>
              <w:rPr>
                <w:rFonts w:hint="eastAsia" w:ascii="黑体" w:hAnsi="黑体" w:eastAsia="黑体" w:cs="黑体"/>
                <w:b/>
                <w:color w:val="000000"/>
                <w:lang w:eastAsia="zh"/>
              </w:rPr>
              <w:t>分工</w:t>
            </w:r>
          </w:p>
        </w:tc>
        <w:tc>
          <w:tcPr>
            <w:tcW w:w="2769" w:type="dxa"/>
            <w:vAlign w:val="center"/>
          </w:tcPr>
          <w:p w14:paraId="4BA45B09">
            <w:pPr>
              <w:pStyle w:val="6"/>
              <w:spacing w:before="0" w:beforeAutospacing="0" w:after="0" w:afterAutospacing="0" w:line="360" w:lineRule="auto"/>
              <w:jc w:val="center"/>
              <w:rPr>
                <w:rFonts w:hint="eastAsia" w:cs="Times New Roman"/>
                <w:b/>
                <w:color w:val="000000"/>
                <w:lang w:eastAsia="zh"/>
              </w:rPr>
            </w:pPr>
            <w:r>
              <w:rPr>
                <w:rFonts w:hint="eastAsia" w:ascii="黑体" w:hAnsi="黑体" w:eastAsia="黑体" w:cs="黑体"/>
                <w:b/>
                <w:color w:val="000000"/>
                <w:lang w:eastAsia="zh"/>
              </w:rPr>
              <w:t>签名</w:t>
            </w:r>
          </w:p>
        </w:tc>
      </w:tr>
      <w:tr w14:paraId="5E1F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rPr>
        <w:tc>
          <w:tcPr>
            <w:tcW w:w="2768" w:type="dxa"/>
            <w:vAlign w:val="center"/>
          </w:tcPr>
          <w:p w14:paraId="555E8078">
            <w:pPr>
              <w:pStyle w:val="6"/>
              <w:spacing w:before="0" w:beforeAutospacing="0" w:after="0" w:afterAutospacing="0" w:line="360" w:lineRule="auto"/>
              <w:jc w:val="center"/>
              <w:rPr>
                <w:rFonts w:hint="eastAsia" w:cs="Times New Roman"/>
                <w:b/>
                <w:color w:val="000000"/>
                <w:lang w:eastAsia="zh"/>
              </w:rPr>
            </w:pPr>
            <w:r>
              <w:rPr>
                <w:rFonts w:hint="eastAsia" w:cs="Times New Roman"/>
                <w:b/>
                <w:color w:val="000000"/>
                <w:lang w:eastAsia="zh"/>
              </w:rPr>
              <w:t>高济祺</w:t>
            </w:r>
          </w:p>
        </w:tc>
        <w:tc>
          <w:tcPr>
            <w:tcW w:w="2769" w:type="dxa"/>
            <w:vAlign w:val="center"/>
          </w:tcPr>
          <w:p w14:paraId="2573507D">
            <w:pPr>
              <w:pStyle w:val="6"/>
              <w:spacing w:before="0" w:beforeAutospacing="0" w:after="0" w:afterAutospacing="0" w:line="360" w:lineRule="auto"/>
              <w:jc w:val="both"/>
              <w:rPr>
                <w:rFonts w:hint="default" w:eastAsia="宋体" w:cs="Times New Roman"/>
                <w:b/>
                <w:color w:val="000000"/>
                <w:lang w:val="en-US" w:eastAsia="zh-CN"/>
              </w:rPr>
            </w:pPr>
            <w:r>
              <w:rPr>
                <w:rFonts w:hint="eastAsia" w:cs="Times New Roman"/>
                <w:b/>
                <w:color w:val="000000"/>
                <w:lang w:val="en-US" w:eastAsia="zh-CN"/>
              </w:rPr>
              <w:t>问卷设计、问卷调查收集以及数据整理</w:t>
            </w:r>
          </w:p>
        </w:tc>
        <w:tc>
          <w:tcPr>
            <w:tcW w:w="2769" w:type="dxa"/>
            <w:vAlign w:val="center"/>
          </w:tcPr>
          <w:p w14:paraId="53E39D88">
            <w:pPr>
              <w:pStyle w:val="6"/>
              <w:spacing w:before="0" w:beforeAutospacing="0" w:after="0" w:afterAutospacing="0" w:line="360" w:lineRule="auto"/>
              <w:jc w:val="center"/>
              <w:rPr>
                <w:rFonts w:hint="eastAsia" w:cs="Times New Roman"/>
                <w:b/>
                <w:color w:val="000000"/>
                <w:lang w:eastAsia="zh"/>
              </w:rPr>
            </w:pPr>
            <w:r>
              <w:rPr>
                <w:rFonts w:hint="eastAsia" w:cs="Times New Roman"/>
                <w:b/>
                <w:color w:val="000000"/>
                <w:lang w:eastAsia="zh"/>
              </w:rPr>
              <w:drawing>
                <wp:inline distT="0" distB="0" distL="114300" distR="114300">
                  <wp:extent cx="1114425" cy="557530"/>
                  <wp:effectExtent l="0" t="0" r="133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114425" cy="557530"/>
                          </a:xfrm>
                          <a:prstGeom prst="rect">
                            <a:avLst/>
                          </a:prstGeom>
                        </pic:spPr>
                      </pic:pic>
                    </a:graphicData>
                  </a:graphic>
                </wp:inline>
              </w:drawing>
            </w:r>
          </w:p>
        </w:tc>
      </w:tr>
      <w:tr w14:paraId="24D4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70FCF162">
            <w:pPr>
              <w:pStyle w:val="6"/>
              <w:spacing w:before="0" w:beforeAutospacing="0" w:after="0" w:afterAutospacing="0" w:line="360" w:lineRule="auto"/>
              <w:jc w:val="center"/>
              <w:rPr>
                <w:rFonts w:hint="eastAsia" w:cs="Times New Roman"/>
                <w:b/>
                <w:color w:val="000000"/>
                <w:lang w:eastAsia="zh"/>
              </w:rPr>
            </w:pPr>
            <w:r>
              <w:rPr>
                <w:rFonts w:hint="eastAsia" w:cs="Times New Roman"/>
                <w:b/>
                <w:color w:val="000000"/>
                <w:lang w:eastAsia="zh"/>
              </w:rPr>
              <w:t>刘欣语</w:t>
            </w:r>
          </w:p>
        </w:tc>
        <w:tc>
          <w:tcPr>
            <w:tcW w:w="2769" w:type="dxa"/>
            <w:vAlign w:val="center"/>
          </w:tcPr>
          <w:p w14:paraId="32C530F7">
            <w:pPr>
              <w:pStyle w:val="6"/>
              <w:spacing w:before="0" w:beforeAutospacing="0" w:after="0" w:afterAutospacing="0" w:line="360" w:lineRule="auto"/>
              <w:jc w:val="both"/>
              <w:rPr>
                <w:rFonts w:hint="default" w:eastAsia="宋体" w:cs="Times New Roman"/>
                <w:b/>
                <w:color w:val="000000"/>
                <w:lang w:val="en-US" w:eastAsia="zh-CN"/>
              </w:rPr>
            </w:pPr>
            <w:r>
              <w:rPr>
                <w:rFonts w:hint="eastAsia" w:cs="Times New Roman"/>
                <w:b/>
                <w:color w:val="000000"/>
                <w:lang w:val="en-US" w:eastAsia="zh-CN"/>
              </w:rPr>
              <w:t>数据分析、资料查找以及报告撰写</w:t>
            </w:r>
          </w:p>
        </w:tc>
        <w:tc>
          <w:tcPr>
            <w:tcW w:w="2769" w:type="dxa"/>
            <w:vAlign w:val="center"/>
          </w:tcPr>
          <w:p w14:paraId="51F45104">
            <w:pPr>
              <w:pStyle w:val="6"/>
              <w:spacing w:before="0" w:beforeAutospacing="0" w:after="0" w:afterAutospacing="0" w:line="360" w:lineRule="auto"/>
              <w:jc w:val="center"/>
              <w:rPr>
                <w:rFonts w:hint="eastAsia" w:cs="Times New Roman"/>
                <w:b/>
                <w:color w:val="000000"/>
                <w:lang w:eastAsia="zh"/>
              </w:rPr>
            </w:pPr>
            <w:r>
              <w:rPr>
                <w:rFonts w:hint="eastAsia" w:cs="Times New Roman"/>
                <w:b/>
                <w:color w:val="000000"/>
                <w:sz w:val="84"/>
                <w:szCs w:val="84"/>
                <w:lang w:eastAsia="zh"/>
              </w:rPr>
              <w:drawing>
                <wp:inline distT="0" distB="0" distL="114300" distR="114300">
                  <wp:extent cx="647065" cy="1116330"/>
                  <wp:effectExtent l="0" t="0" r="1143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rot="16200000">
                            <a:off x="0" y="0"/>
                            <a:ext cx="647065" cy="1116330"/>
                          </a:xfrm>
                          <a:prstGeom prst="rect">
                            <a:avLst/>
                          </a:prstGeom>
                        </pic:spPr>
                      </pic:pic>
                    </a:graphicData>
                  </a:graphic>
                </wp:inline>
              </w:drawing>
            </w:r>
          </w:p>
        </w:tc>
      </w:tr>
    </w:tbl>
    <w:p w14:paraId="560FB7BB">
      <w:pPr>
        <w:widowControl/>
        <w:adjustRightInd w:val="0"/>
        <w:snapToGrid w:val="0"/>
        <w:spacing w:after="200" w:line="480" w:lineRule="auto"/>
        <w:ind w:right="680" w:firstLine="1245" w:firstLineChars="443"/>
        <w:jc w:val="left"/>
        <w:rPr>
          <w:rFonts w:hint="eastAsia" w:ascii="宋体" w:hAnsi="宋体"/>
          <w:b/>
          <w:bCs/>
          <w:kern w:val="0"/>
          <w:sz w:val="28"/>
          <w:szCs w:val="28"/>
          <w:lang w:val="en-US" w:eastAsia="zh-CN"/>
        </w:rPr>
      </w:pPr>
    </w:p>
    <w:p w14:paraId="75C3C46B"/>
    <w:p w14:paraId="150CB15B"/>
    <w:p w14:paraId="5024E5C0"/>
    <w:p w14:paraId="14A429CC"/>
    <w:p w14:paraId="5B893B9E"/>
    <w:p w14:paraId="375A6578"/>
    <w:p w14:paraId="4E5B90F6"/>
    <w:p w14:paraId="6D79BE21"/>
    <w:p w14:paraId="02C1C6DA"/>
    <w:p w14:paraId="0E646ABD"/>
    <w:p w14:paraId="113A78E0"/>
    <w:p w14:paraId="0BE9DE43"/>
    <w:p w14:paraId="3C7DF4D0"/>
    <w:p w14:paraId="6BF2CF7B"/>
    <w:p w14:paraId="2C1142B8"/>
    <w:p w14:paraId="44E6A57C"/>
    <w:p w14:paraId="1ADB931D"/>
    <w:p w14:paraId="2129D6BD"/>
    <w:p w14:paraId="6D0AEE49"/>
    <w:p w14:paraId="34E7AC49"/>
    <w:p w14:paraId="608295A6"/>
    <w:p w14:paraId="6F73371F"/>
    <w:p w14:paraId="2A85E391"/>
    <w:p w14:paraId="53467C80">
      <w:pPr>
        <w:tabs>
          <w:tab w:val="left" w:pos="3224"/>
        </w:tabs>
        <w:rPr>
          <w:rFonts w:hint="eastAsia"/>
          <w:lang w:eastAsia="zh-CN"/>
        </w:rPr>
      </w:pPr>
      <w:r>
        <w:rPr>
          <w:rFonts w:hint="eastAsia"/>
          <w:lang w:eastAsia="zh-CN"/>
        </w:rPr>
        <w:tab/>
      </w:r>
    </w:p>
    <w:p w14:paraId="51F859C3">
      <w:pPr>
        <w:tabs>
          <w:tab w:val="left" w:pos="3224"/>
        </w:tabs>
        <w:rPr>
          <w:rFonts w:hint="eastAsia"/>
          <w:lang w:eastAsia="zh-CN"/>
        </w:rPr>
      </w:pPr>
    </w:p>
    <w:p w14:paraId="46EFEF33">
      <w:pPr>
        <w:tabs>
          <w:tab w:val="left" w:pos="3224"/>
        </w:tabs>
        <w:rPr>
          <w:rFonts w:hint="eastAsia"/>
          <w:lang w:eastAsia="zh-CN"/>
        </w:rPr>
      </w:pPr>
    </w:p>
    <w:p w14:paraId="6577C979"/>
    <w:p w14:paraId="2DEF3B4D"/>
    <w:p w14:paraId="4A07A9FA"/>
    <w:p w14:paraId="69496005"/>
    <w:p w14:paraId="5886C03F"/>
    <w:p w14:paraId="2651D466">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rPr>
      </w:pPr>
      <w:r>
        <w:rPr>
          <w:rFonts w:hint="eastAsia" w:ascii="黑体" w:hAnsi="黑体" w:eastAsia="黑体" w:cs="黑体"/>
          <w:bCs/>
          <w:kern w:val="0"/>
          <w:sz w:val="24"/>
          <w:szCs w:val="24"/>
        </w:rPr>
        <w:t>9.3大阅兵社会认知与强军思想认同调研报告</w:t>
      </w:r>
    </w:p>
    <w:p w14:paraId="37E887C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t>一、调研背景与目的</w:t>
      </w:r>
    </w:p>
    <w:p w14:paraId="60FF6D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（一）调研背景</w:t>
      </w:r>
    </w:p>
    <w:p w14:paraId="6E21F0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习近平新时代中国特色社会主义思想涵盖坚持党对人民军队的绝对领导、推动构建人类命运共同体、推进中华民族伟大复兴等一系列重大论断。2025年9月3日的胜利日阅兵，不仅是对14年艰苦抗战历史的铭记，更是对新时代国家实力、军队风貌和发展理念的集中展示 。阅兵中，4个军种、4个兵种和武警部队方队首次集中擎旗亮相，80面抗战英模部队荣誉旗帜迎风招展，“东风 - 5C”洲际导弹等国之重器震撼登场，这些场景既彰显了强军建设成果，也传递了捍卫和平的坚定决心 。</w:t>
      </w:r>
    </w:p>
    <w:p w14:paraId="5FC932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当前，社会公众对重大庆典活动的关注度持续提升，但不同群体对活动背后思想内涵的理解存在差异。在此背景下，通过调研挖掘公众对9.3大阅兵的认知与感悟，能直观呈现习近平新时代中国特色社会主义思想在社会层面的传播实效。</w:t>
      </w:r>
    </w:p>
    <w:p w14:paraId="0B5B78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（二）调研目的</w:t>
      </w:r>
    </w:p>
    <w:p w14:paraId="69C29D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1.掌握不同年龄段、职业群体对9.3大阅兵活动细节、核心理念的认知程度，明确阅兵活动的传播覆盖面。</w:t>
      </w:r>
    </w:p>
    <w:p w14:paraId="3DDDBC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2.分析阅兵活动对公众理解习近平强军思想、和平发展道路等核心思想的促进作用，量化思想传播的实际成效。</w:t>
      </w:r>
    </w:p>
    <w:p w14:paraId="030303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3.总结阅兵活动在思想教育、精神凝聚方面的实践经验，为今后通过重大活动践行和传播党的创新理论提供数据支撑和优化建议。</w:t>
      </w:r>
    </w:p>
    <w:p w14:paraId="5A2ECEA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t>二、调研方法与过程</w:t>
      </w:r>
    </w:p>
    <w:p w14:paraId="12A358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（一）调研方法</w:t>
      </w:r>
    </w:p>
    <w:p w14:paraId="06263C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1.问卷调查法：设计涵盖认知、态度、影响等维度的问卷，包含20道题目，涉及单选、多选和量表题。问卷聚焦公众对阅兵亮点的记忆、对思想内涵的解读等核心内容。</w:t>
      </w:r>
    </w:p>
    <w:p w14:paraId="52E614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2.线下调研：线下在上海浦东、徐汇等区域的社区、高校、企业设置调研点，兼顾不同群体样本的代表性。</w:t>
      </w:r>
    </w:p>
    <w:p w14:paraId="6D99B9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3.数据分析法：运用统计工具对问卷数据进行录入和分析，重点测算各维度数据占比，对比不同群体的认知差异，确保结论的客观性。</w:t>
      </w:r>
    </w:p>
    <w:p w14:paraId="4E54F1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（二）调研过程</w:t>
      </w:r>
    </w:p>
    <w:p w14:paraId="044324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cs="宋体"/>
          <w:lang w:val="en-US" w:eastAsia="zh-CN"/>
        </w:rPr>
        <w:t>1</w:t>
      </w:r>
      <w:r>
        <w:rPr>
          <w:rFonts w:hint="eastAsia" w:ascii="宋体" w:hAnsi="宋体" w:eastAsia="宋体" w:cs="宋体"/>
        </w:rPr>
        <w:t>.样本选取：本次调研有效回收率94.24%。样本中，18 - 25岁占32%，26 - 45岁占41%，46 - 60岁占18%，60岁以上占9%；职业涵盖学生、企业职工、公职人员、退休人员等，其中学生占35%，企业职工占30%，公职人员占15%，退休人员占12%，其他职业占8%。</w:t>
      </w:r>
    </w:p>
    <w:p w14:paraId="1FB310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cs="宋体"/>
          <w:lang w:val="en-US" w:eastAsia="zh-CN"/>
        </w:rPr>
        <w:t>2</w:t>
      </w:r>
      <w:r>
        <w:rPr>
          <w:rFonts w:hint="eastAsia" w:ascii="宋体" w:hAnsi="宋体" w:eastAsia="宋体" w:cs="宋体"/>
        </w:rPr>
        <w:t>.质量控制：问卷发放时设置逻辑校验题，剔除规律作答、漏答关键题目的无效问卷；对线下问卷进行现场核对，确保填写完整性。</w:t>
      </w:r>
    </w:p>
    <w:p w14:paraId="2120112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cs="宋体"/>
          <w:lang w:val="en-US" w:eastAsia="zh-CN"/>
        </w:rPr>
        <w:t>三</w:t>
      </w:r>
      <w:r>
        <w:rPr>
          <w:rFonts w:hint="eastAsia" w:ascii="宋体" w:hAnsi="宋体" w:eastAsia="宋体" w:cs="宋体"/>
        </w:rPr>
        <w:t>、调研数据统计与分析</w:t>
      </w:r>
    </w:p>
    <w:p w14:paraId="7B9048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（一）认知情况数据统计与分析</w:t>
      </w:r>
    </w:p>
    <w:p w14:paraId="639CFD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观看情况：数据显示，72.3%的受访者全程观看了阅兵直播或回放，21.5%进行了部分观看，仅6.2%未观看。其中，公职人员全程观看比例达89.1%，学生群体全程观看比例为78.5%，60岁以上退休群体因操作习惯限制，部分观看比例达42.3%。这表明阅兵活动具有极高的社会关注度，公职人员和学生是核心关注群体。</w:t>
      </w:r>
    </w:p>
    <w:p w14:paraId="767977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核心亮点认知：印象最深的方阵中，38.6%的受访者选择战旗方队，29.4%选择核导弹方队，20.1%选择新域新质战力方队，11.9%选择女民兵方队。对战旗方队的高关注度，体现公众对抗战历史和英雄精神的深厚情感。在兵种认知题中，仅45.2%的受访者能准确选出全部4个首次亮相的兵种，学生和企业职工正确率较高，退休群体正确率仅23.7%，反映出年轻群体对军事新质力量的关注度更高。</w:t>
      </w:r>
    </w:p>
    <w:p w14:paraId="19A933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关键信息知晓度：关于武器装备属性，68.9%的受访者知晓100%为国产现役装备；而对80面战旗代表抗战英模部队这一知识点，正确率达76.5%。这说明阅兵中“国产化”和“历史传承”相关的宣传成效显著，但仍有近三成公众对装备属性认知模糊，信息传播的深度有待加强。</w:t>
      </w:r>
    </w:p>
    <w:p w14:paraId="2A8B89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（二）思想认同数据统计与分析</w:t>
      </w:r>
    </w:p>
    <w:p w14:paraId="6E2A4A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核心意义认知：选择“铭记抗战历史”“展示强军成果”“凝聚民族精神”“传递和平理念”的受访者比例分别为82.1%、79.3%、85.6%、71.8%。这与习近平总书记强调的阅兵“铭记历史、缅怀先烈、珍爱和平、开创未来”的核心主旨高度契合，表明公众准确捕捉到活动的思想内核。</w:t>
      </w:r>
    </w:p>
    <w:p w14:paraId="280C2B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强军思想认同：对“党对军队绝对领导”的理解程度评分中，4.5 - 5分的受访者占68.7%，3 - 4.4分占25.3%，3分以下仅6%。看到先进装备后，89.2%的受访者认为其目的是捍卫国家主权和维护世界和平，仅3.1%误判为炫耀武力。这印证了阅兵活动有效强化了公众对习近平强军思想的认同，澄清了对“展示实力”的误解。</w:t>
      </w:r>
    </w:p>
    <w:p w14:paraId="0799E2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发展理念认同：对“中华民族伟大复兴势不可挡”的认同度评分中，5分占比达75.8%，4 - 4.5分占20.1%；认为阅兵对践行人类命运共同体理念作用极大的受访者占67.3%。不同职业群体中，公职人员和学生的认同度最高，这体现出重大庆典活动对凝聚民族复兴共识、传播国际理念具有重要作用。</w:t>
      </w:r>
    </w:p>
    <w:p w14:paraId="50D3F0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（三）影响反馈数据统计与分析</w:t>
      </w:r>
    </w:p>
    <w:p w14:paraId="235870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精神层面影响：88.7%的受访者表示阅兵增强了民族自豪感，其中62.3%认为“显著增强”；70.5%的受访者在观看后主动了解过抗战或强军相关知识，学生群体主动了解比例达83.2%。这说明阅兵不仅带来即时情感冲击，更转化为公众主动学习的动力，实现了精神激励与知识传播的双重效果。</w:t>
      </w:r>
    </w:p>
    <w:p w14:paraId="25F8F1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教育与参与意愿：85.3%的受访者认为阅兵对青少年爱国主义教育价值极高或较高；89.6%的受访者表示愿意观看后续同类阅兵。在深化了解的形式上，42.1%选择纪录片，31.5%选择专题讲座，20.3%选择校园宣讲，反映出公众更偏好直观生动的传播形式。</w:t>
      </w:r>
    </w:p>
    <w:p w14:paraId="504A9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3.社会凝聚力影响：63.2%的受访者认为阅兵对社会凝聚力的提升作用将长期存在，28.5%认为会持续中期，仅8.3%认为作用短暂。这表明阅兵作为集体记忆载体，能长期维系民族情感联结，助力社会凝聚力提升。</w:t>
      </w:r>
    </w:p>
    <w:p w14:paraId="3136E5B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cs="宋体"/>
          <w:lang w:val="en-US" w:eastAsia="zh-CN"/>
        </w:rPr>
        <w:t>四</w:t>
      </w:r>
      <w:r>
        <w:rPr>
          <w:rFonts w:hint="eastAsia" w:ascii="宋体" w:hAnsi="宋体" w:eastAsia="宋体" w:cs="宋体"/>
        </w:rPr>
        <w:t>、调研结论</w:t>
      </w:r>
    </w:p>
    <w:p w14:paraId="4DC2F9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（一）9.3大阅兵实现思想传播的广泛覆盖</w:t>
      </w:r>
    </w:p>
    <w:p w14:paraId="710EEC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阅兵活动凭借震撼的呈现形式获得高社会关注度，全程观看率超七成，成为习近平新时代中国特色社会主义思想传播的优质载体。公众对“国产装备”“战旗精神”等核心亮点的高认知度，说明活动有效传递了强军建设、历史传承等关键信息，为思想传播奠定了坚实基础。不同群体虽在认知深度上存在差异，但均对活动传递的爱国、和平理念形成共识。</w:t>
      </w:r>
    </w:p>
    <w:p w14:paraId="172E8D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（二）阅兵活动显著强化公众对核心思想的认同</w:t>
      </w:r>
    </w:p>
    <w:p w14:paraId="1FBDF0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调研数据显示，绝大多数公众通过阅兵深化了对党的强军思想、民族复兴理念的理解。对“党对军队绝对领导”“人类命运共同体”等论断的高认同度，证明阅兵将抽象思想转化为具象场景，让公众在视觉冲击中直观感受思想的实践伟力。同时，活动极大激发了民族自豪感和历史责任感，推动公众从情感共鸣上升到思想认同。</w:t>
      </w:r>
    </w:p>
    <w:p w14:paraId="0C04F2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（三）不同群体认知差异需针对性优化传播</w:t>
      </w:r>
    </w:p>
    <w:p w14:paraId="6072A6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退休群体对新域新质战力等新型军事元素的认知较弱，青少年对抗战历史背景的了解有待深化。在传播形式上，公众更偏好纪录片、专题短视频等生动形式，当前单一的直播传播模式难以满足不同群体的学习需求。此外，部分公众对装备背后的战略意义理解片面，需进一步解读以避免误解。</w:t>
      </w:r>
    </w:p>
    <w:p w14:paraId="35B47CF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cs="宋体"/>
          <w:lang w:val="en-US" w:eastAsia="zh-CN"/>
        </w:rPr>
        <w:t>五</w:t>
      </w:r>
      <w:r>
        <w:rPr>
          <w:rFonts w:hint="eastAsia" w:ascii="宋体" w:hAnsi="宋体" w:eastAsia="宋体" w:cs="宋体"/>
        </w:rPr>
        <w:t>、对策建议</w:t>
      </w:r>
    </w:p>
    <w:p w14:paraId="4AA0CB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cs="宋体"/>
          <w:lang w:eastAsia="zh-CN"/>
        </w:rPr>
        <w:t>（</w:t>
      </w:r>
      <w:r>
        <w:rPr>
          <w:rFonts w:hint="eastAsia" w:ascii="宋体" w:hAnsi="宋体" w:cs="宋体"/>
          <w:lang w:val="en-US" w:eastAsia="zh-CN"/>
        </w:rPr>
        <w:t>一）</w:t>
      </w:r>
      <w:r>
        <w:rPr>
          <w:rFonts w:hint="eastAsia" w:ascii="宋体" w:hAnsi="宋体" w:eastAsia="宋体" w:cs="宋体"/>
        </w:rPr>
        <w:t>深化国防教育常态化，聚焦青年群体培育</w:t>
      </w:r>
    </w:p>
    <w:p w14:paraId="106BC5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以9.3大阅兵为契机，将国防教育融入校园教学、社区建设等日常场景，针对青年群体设计专题课程、主题实践活动，通过老兵宣讲、装备科普等形式，提升青年国防意识与强军思想认同。</w:t>
      </w:r>
    </w:p>
    <w:p w14:paraId="2B11A0C6">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创新强军精神传播形式，拓宽受众覆盖范围</w:t>
      </w:r>
    </w:p>
    <w:p w14:paraId="54232DB0">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rPr>
      </w:pPr>
      <w:r>
        <w:rPr>
          <w:rFonts w:hint="eastAsia" w:ascii="宋体" w:hAnsi="宋体" w:eastAsia="宋体" w:cs="宋体"/>
        </w:rPr>
        <w:t>充分利用新媒体平台，制作轻量化、可视化的传播内容，如阅兵精彩瞬间短视频、强军故事纪录片、国防知识科普图文等，让强军精神突破时空限制，触达更多不同年龄、职业的群体。</w:t>
      </w:r>
    </w:p>
    <w:p w14:paraId="26C66A2B">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rPr>
      </w:pPr>
      <w:r>
        <w:rPr>
          <w:rFonts w:hint="eastAsia" w:ascii="宋体" w:hAnsi="宋体" w:eastAsia="宋体" w:cs="宋体"/>
        </w:rPr>
        <w:t>推动行业协同践行，衔接国家战略需求</w:t>
      </w:r>
    </w:p>
    <w:p w14:paraId="4B4E7EB1">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lang w:val="en-US" w:eastAsia="zh-CN"/>
        </w:rPr>
      </w:pPr>
      <w:r>
        <w:rPr>
          <w:rFonts w:hint="eastAsia" w:ascii="宋体" w:hAnsi="宋体" w:eastAsia="宋体" w:cs="宋体"/>
        </w:rPr>
        <w:t>引导各行业尤其是海事、航运等与国防建设密切相关的领域，将强军精神融入行业发展与职业教育，鼓励从业者立足本职岗位提升专业能力，助力海洋权益维护、海防建设等工作，实现行业发展与强军事业的深度融合</w:t>
      </w:r>
      <w:r>
        <w:rPr>
          <w:rFonts w:hint="eastAsia" w:ascii="宋体" w:hAnsi="宋体" w:eastAsia="宋体" w:cs="宋体"/>
          <w:lang w:eastAsia="zh-CN"/>
        </w:rPr>
        <w:t>。</w:t>
      </w:r>
    </w:p>
    <w:p w14:paraId="72D37B55">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rPr>
      </w:pPr>
      <w:r>
        <w:rPr>
          <w:rFonts w:hint="eastAsia" w:ascii="宋体" w:hAnsi="宋体" w:eastAsia="宋体" w:cs="宋体"/>
        </w:rPr>
        <w:t>搭建纪念与实践平台，延续阅兵精神影响力</w:t>
      </w:r>
    </w:p>
    <w:p w14:paraId="19E77ACB">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rPr>
      </w:pPr>
      <w:r>
        <w:rPr>
          <w:rFonts w:hint="eastAsia" w:ascii="宋体" w:hAnsi="宋体" w:eastAsia="宋体" w:cs="宋体"/>
        </w:rPr>
        <w:t>结合9.3抗战胜利纪念等重要节点，定期开展阅兵精神主题展览、座谈会、志愿服务等活动，搭建公众参与强军精神传承的实践平台，让9.3大阅兵承载的历史记忆与精神力量持续传递、代代相传。</w:t>
      </w:r>
    </w:p>
    <w:p w14:paraId="433BDD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cs="宋体"/>
          <w:lang w:val="en-US" w:eastAsia="zh-CN"/>
        </w:rPr>
        <w:t>六</w:t>
      </w:r>
      <w:r>
        <w:rPr>
          <w:rFonts w:hint="eastAsia" w:ascii="宋体" w:hAnsi="宋体" w:eastAsia="宋体" w:cs="宋体"/>
        </w:rPr>
        <w:t>、</w:t>
      </w:r>
      <w:r>
        <w:rPr>
          <w:rFonts w:hint="eastAsia" w:ascii="宋体" w:hAnsi="宋体" w:cs="宋体"/>
          <w:lang w:val="en-US" w:eastAsia="zh-CN"/>
        </w:rPr>
        <w:t>未来</w:t>
      </w:r>
      <w:r>
        <w:rPr>
          <w:rFonts w:hint="eastAsia" w:ascii="宋体" w:hAnsi="宋体" w:eastAsia="宋体" w:cs="宋体"/>
        </w:rPr>
        <w:t>展望</w:t>
      </w:r>
    </w:p>
    <w:p w14:paraId="61FF066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rPr>
      </w:pPr>
      <w:r>
        <w:rPr>
          <w:rFonts w:hint="eastAsia" w:ascii="宋体" w:hAnsi="宋体" w:eastAsia="宋体" w:cs="宋体"/>
        </w:rPr>
        <w:t>未来，9.3大阅兵承载的精神力量将持续释放，成为深化国防教育、传播核心思想的重要载体。通过精准对接不同群体需求的传播创新，结合常态化纪念实践与行业协同践行，既能填补认知差异短板，更能引导公众将情感共鸣转化为行动自觉，让强军思想、爱国情怀深度融入社会发展肌理，为民族复兴与国防安全注入持久的精神动力。</w:t>
      </w:r>
    </w:p>
    <w:p w14:paraId="17E703C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rPr>
      </w:pPr>
    </w:p>
    <w:p w14:paraId="05734E0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rPr>
      </w:pP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FE4C0">
    <w:pPr>
      <w:pStyle w:val="2"/>
      <w:jc w:val="center"/>
    </w:pPr>
    <w:r>
      <w:fldChar w:fldCharType="begin"/>
    </w:r>
    <w:r>
      <w:instrText xml:space="preserve"> PAGE   \* MERGEFORMAT </w:instrText>
    </w:r>
    <w:r>
      <w:fldChar w:fldCharType="separate"/>
    </w:r>
    <w:r>
      <w:rPr>
        <w:lang w:val="zh-CN"/>
      </w:rPr>
      <w:t>2</w:t>
    </w:r>
    <w:r>
      <w:fldChar w:fldCharType="end"/>
    </w:r>
  </w:p>
  <w:p w14:paraId="3DF4098B">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35E4E"/>
    <w:multiLevelType w:val="singleLevel"/>
    <w:tmpl w:val="91C35E4E"/>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7B7C00"/>
    <w:rsid w:val="42970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snapToGrid w:val="0"/>
      <w:jc w:val="left"/>
    </w:pPr>
    <w:rPr>
      <w:sz w:val="18"/>
      <w:szCs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reader-word-layer"/>
    <w:basedOn w:val="1"/>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2025-11-16T07:09:54Z</dcterms:created>
  <dc:creator>Liu</dc:creator>
  <cp:lastModifiedBy>刘欣语</cp:lastModifiedBy>
  <dcterms:modified xsi:type="dcterms:W3CDTF">2025-11-16T07:52:17Z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F6D306C2151B4AE38B5D42D56F242474_12</vt:lpwstr>
  </property>
</Properties>
</file>