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19DEE">
      <w:pPr>
        <w:rPr>
          <w:rFonts w:hint="eastAsia"/>
        </w:rPr>
      </w:pPr>
      <w:r>
        <w:rPr>
          <w:rFonts w:hint="eastAsia"/>
        </w:rPr>
        <w:t>第三部分 思想领航</w:t>
      </w:r>
    </w:p>
    <w:p w14:paraId="5FCE8760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@</w:t>
      </w:r>
    </w:p>
    <w:p w14:paraId="29097253">
      <w:pPr>
        <w:rPr>
          <w:rFonts w:hint="eastAsia"/>
        </w:rPr>
      </w:pPr>
      <w:r>
        <w:rPr>
          <w:rFonts w:hint="eastAsia"/>
        </w:rPr>
        <w:t>在时代剧变与风险交织的背景下，坚定的思想信念与清晰的价值导向，是大学生抵御迷茫、行稳致远的重要根基。</w:t>
      </w:r>
    </w:p>
    <w:p w14:paraId="159CD6B6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@</w:t>
      </w:r>
    </w:p>
    <w:p w14:paraId="7A9C559C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习近平新时代中国特色社会主义思想为青年成长提供了科学指引，既助力我们树立正确三观、涵养家国情怀与责任担当，更赋予我们分析解决时代问题的科学方法论，让我们在复杂环境中找准方向、破解难题。</w:t>
      </w:r>
    </w:p>
    <w:p w14:paraId="0FCF72AE">
      <w:pPr>
        <w:rPr>
          <w:rFonts w:hint="eastAsia"/>
        </w:rPr>
      </w:pPr>
      <w:r>
        <w:rPr>
          <w:rFonts w:hint="eastAsia"/>
        </w:rPr>
        <w:t>通过思想概论课程学习，我们能梳理国家发展的历史脉络，体会发展的艰辛与成就，进而将个人成长与时代同频共振，把变局压力转化为成长动力，实现个人与社会价值的统一。</w:t>
      </w:r>
    </w:p>
    <w:p w14:paraId="1C714CF2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@</w:t>
      </w:r>
    </w:p>
    <w:p w14:paraId="413B513B">
      <w:pPr>
        <w:rPr>
          <w:rFonts w:hint="eastAsia"/>
        </w:rPr>
      </w:pPr>
      <w:r>
        <w:rPr>
          <w:rFonts w:hint="eastAsia"/>
        </w:rPr>
        <w:t>社会主义核心价值观是日常行为的根本遵循，影响着职业规划与社会交往。高校通过课程思政、校园文化等多元途径，助力我们将其内化于心、外化于行，提升价值判断力与社会责任感。</w:t>
      </w:r>
    </w:p>
    <w:p w14:paraId="78473B20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@</w:t>
      </w:r>
    </w:p>
    <w:p w14:paraId="279ADE2D">
      <w:pPr>
        <w:rPr>
          <w:rFonts w:hint="eastAsia"/>
        </w:rPr>
      </w:pPr>
      <w:r>
        <w:rPr>
          <w:rFonts w:hint="eastAsia"/>
        </w:rPr>
        <w:t>面对复杂网络舆论，我们需坚定“四个自信”，抵御错误思潮侵蚀。脱贫攻坚、疫情防控等鲜活实践，彰显了中国制度优势，为我们筑牢自信根基，让我们在多元思潮中站稳立场。</w:t>
      </w:r>
    </w:p>
    <w:p w14:paraId="04A1B5F5">
      <w:pPr>
        <w:rPr>
          <w:rFonts w:hint="eastAsia"/>
        </w:rPr>
      </w:pPr>
      <w:r>
        <w:rPr>
          <w:rFonts w:hint="eastAsia"/>
          <w:lang w:val="en-US" w:eastAsia="zh-CN"/>
        </w:rPr>
        <w:t>@</w:t>
      </w:r>
      <w:r>
        <w:rPr>
          <w:rFonts w:hint="eastAsia"/>
        </w:rPr>
        <w:t xml:space="preserve"> </w:t>
      </w:r>
    </w:p>
    <w:p w14:paraId="484061DE">
      <w:pPr>
        <w:rPr>
          <w:rFonts w:hint="eastAsia"/>
        </w:rPr>
      </w:pPr>
      <w:r>
        <w:rPr>
          <w:rFonts w:hint="eastAsia"/>
        </w:rPr>
        <w:t>第四部分 能力重构</w:t>
      </w:r>
    </w:p>
    <w:p w14:paraId="7B68E51F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@</w:t>
      </w:r>
    </w:p>
    <w:p w14:paraId="18E30E43">
      <w:pPr>
        <w:rPr>
          <w:rFonts w:hint="eastAsia"/>
        </w:rPr>
      </w:pPr>
      <w:r>
        <w:rPr>
          <w:rFonts w:hint="eastAsia"/>
          <w:lang w:val="en-US" w:eastAsia="zh-CN"/>
        </w:rPr>
        <w:t>第</w:t>
      </w:r>
      <w:r>
        <w:rPr>
          <w:rFonts w:hint="eastAsia"/>
        </w:rPr>
        <w:t>一，培育跨界复合能力。当前技术交叉融合趋势显著，单一专业知识难以适配需求。我们应跳出专业“舒适区”，拓展知识边界、涉猎跨学科内容，培养跨界思维，成为兼具专业深度与知识广度的复合型人才，增强竞争力与适应性。</w:t>
      </w:r>
    </w:p>
    <w:p w14:paraId="5EF24390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@</w:t>
      </w:r>
    </w:p>
    <w:p w14:paraId="51498119">
      <w:pPr>
        <w:rPr>
          <w:rFonts w:hint="eastAsia"/>
        </w:rPr>
      </w:pPr>
      <w:r>
        <w:rPr>
          <w:rFonts w:hint="eastAsia"/>
          <w:lang w:val="en-US" w:eastAsia="zh-CN"/>
        </w:rPr>
        <w:t>第</w:t>
      </w:r>
      <w:r>
        <w:rPr>
          <w:rFonts w:hint="eastAsia"/>
        </w:rPr>
        <w:t>二，兼具数字素养与伦理责任。作为数字原生代，我们需熟练运用数字工具提升效率与创新力，同时警惕隐私泄露等技术风险，遵守网络道德与法律法规，坚守伦理底线，争做有正确价值观的新时代好网民。</w:t>
      </w:r>
    </w:p>
    <w:p w14:paraId="714DC6CE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@</w:t>
      </w:r>
      <w:bookmarkStart w:id="0" w:name="_GoBack"/>
      <w:bookmarkEnd w:id="0"/>
    </w:p>
    <w:p w14:paraId="0746C692">
      <w:pPr>
        <w:rPr>
          <w:rFonts w:hint="eastAsia"/>
        </w:rPr>
      </w:pPr>
      <w:r>
        <w:rPr>
          <w:rFonts w:hint="eastAsia"/>
          <w:lang w:val="en-US" w:eastAsia="zh-CN"/>
        </w:rPr>
        <w:t>第</w:t>
      </w:r>
      <w:r>
        <w:rPr>
          <w:rFonts w:hint="eastAsia"/>
        </w:rPr>
        <w:t>三，统筹全球视野与中国立场。双循环格局下，中国企业“走出去”步伐加快，对全球胜任力人才需求迫切。我们需提升跨文化沟通能力、拓宽全球视野，同时坚定中国立场，借鉴先进经验的同时，用中国话语讲好中国故事。</w:t>
      </w:r>
    </w:p>
    <w:p w14:paraId="3BBD7C17">
      <w:pPr>
        <w:rPr>
          <w:rFonts w:hint="eastAsia"/>
        </w:rPr>
      </w:pPr>
      <w:r>
        <w:rPr>
          <w:rFonts w:hint="eastAsia"/>
        </w:rPr>
        <w:t xml:space="preserve"> </w:t>
      </w:r>
    </w:p>
    <w:p w14:paraId="570E255F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397409"/>
    <w:rsid w:val="161F4792"/>
    <w:rsid w:val="57C62639"/>
    <w:rsid w:val="5A1D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2025-12-03T14:33:20Z</dcterms:created>
  <dc:creator>Liu</dc:creator>
  <cp:lastModifiedBy>刘欣语</cp:lastModifiedBy>
  <dcterms:modified xsi:type="dcterms:W3CDTF">2025-12-03T14:46:48Z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eyJoZGlkIjoiOTJjOTg4NDQzYzUyNjY2ZDRlOWEzNmUxZTViNWQ4NzMiLCJ1c2VySWQiOiIxNjQ1MTg5NDQzIn0=</vt:lpwstr>
  </property>
  <property fmtid="{D5CDD505-2E9C-101B-9397-08002B2CF9AE}" pid="4" name="ICV">
    <vt:lpwstr>44C72054FD6843CC821199987CE31A53_12</vt:lpwstr>
  </property>
</Properties>
</file>