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F7F11">
      <w:pPr>
        <w:jc w:val="left"/>
        <w:rPr>
          <w:sz w:val="18"/>
          <w:szCs w:val="20"/>
        </w:rPr>
      </w:pPr>
      <w:r>
        <w:rPr>
          <w:rFonts w:ascii="微软雅黑" w:hAnsi="微软雅黑" w:eastAsia="微软雅黑" w:cs="微软雅黑"/>
          <w:b/>
          <w:sz w:val="36"/>
          <w:szCs w:val="20"/>
          <w:u w:color="auto"/>
        </w:rPr>
        <w:t>上海海事大学电动自行车车棚维修项目计划书</w:t>
      </w:r>
    </w:p>
    <w:p w14:paraId="54BDC55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sz w:val="21"/>
          <w:szCs w:val="21"/>
          <w:u w:color="auto"/>
        </w:rPr>
      </w:pPr>
      <w:r>
        <w:rPr>
          <w:rFonts w:ascii="微软雅黑" w:hAnsi="微软雅黑" w:eastAsia="微软雅黑" w:cs="微软雅黑"/>
          <w:sz w:val="21"/>
          <w:szCs w:val="21"/>
          <w:u w:color="auto"/>
        </w:rPr>
        <w:t>项目目标（SMART原则分解）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1. Specific（具体性）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修复车棚破损顶棚、支撑结构，消除安全隐患。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更新照明系统与充电设备，确保夜间使用安全。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加装消防设施（如灭火器、烟感报警器），满足消防规范。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优化车棚排水系统，避免雨天积水。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2. Measurable（可衡量性）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顶棚破损修复率100%，支撑结构加固完成率100%。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照明覆盖率提升至100%，充电桩故障率降至0%。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消防设施安装覆盖率100%，通过消防部门验收。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排水系统改造后，雨天积水面积减少90%。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3. Attainable（可实现性）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预算合理：总预算控制在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2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5万元以内（含材料、人工、设备）。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资源保障：由学校后勤处统筹，联合专业施工团队实施。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技术可行：采用成熟维修工艺与标准化材料（如镀锌钢架、阻燃顶棚）。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4. Relevant（相关性）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符合校园安全管理要求，支持绿色出行政策。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提升师生满意度，减少因设施问题引发的投诉（目标投诉率下降80%）。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5. Time-bound（时限性）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总工期：**3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5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天**（自合同签订日起）。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关键节点：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  - 第1-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10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天：现场勘查、设计方案确认、材料采购。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  - 第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11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-2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5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天：主体维修施工（顶棚、结构、电路改造）。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  - 第2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6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32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天：消防设施安装与排水系统优化。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  - 第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33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-3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5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天：验收调试、清理交付。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二、WBS分解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**工作分解结构（WBS）**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**1. 项目启动与规划（5天，0.8万元）**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- 1.1 需求调研与现场勘查（2天，0.2万元）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- 1.2 方案设计与预算审批（3天，0.6万元）。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**2. 施工准备（5天，2.5万元）**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- 2.1 材料采购（镀锌钢架、阻燃顶棚等，3天，2.0万元）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- 2.2 施工团队进场与设备调试（2天，0.5万元）。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</w:p>
    <w:p w14:paraId="638609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u w:color="auto"/>
        </w:rPr>
        <w:t>**3. 主体维修工程（15天，12.0万元）**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- 3.1 旧顶棚拆除与结构加固（7天，5.0万元）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- 3.2 新顶棚安装（5天，4.0万元）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- 3.3 排水系统改造（3天，3.0万元）。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**4. 设施安装与调试（7天，6.0万元）**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- 4.1 照明系统升级（LED灯具安装，</w:t>
      </w:r>
      <w:r>
        <w:rPr>
          <w:rFonts w:hint="eastAsia" w:ascii="微软雅黑" w:hAnsi="微软雅黑" w:eastAsia="微软雅黑" w:cs="微软雅黑"/>
          <w:sz w:val="21"/>
          <w:szCs w:val="21"/>
          <w:u w:color="auto"/>
          <w:lang w:val="en-US" w:eastAsia="zh-CN"/>
        </w:rPr>
        <w:t>照明系统调试，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  <w:u w:color="auto"/>
        </w:rPr>
        <w:t>3天，2.0万元）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- 4.2 智能充电桩配置（2天，2.5万元）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- 4.3 消防设施安装（灭火器、烟感报警器，2天，1.5万元）。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**5. 验收与交付（3天，2.49万元）**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- 5.1 分项验收（结构、消防、排水，1天，0.5万元）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- 5.2 整体调试与整改（1天，1.0万元）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- 5.3 场地清理与文档移交（1天，0.99万元）。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三、估算值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1. 工期估算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总工期35天，参考2023年中标项目实际工期。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关键路径：主体维修（15天）+设施安装（7天）占总工期63%。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2. 成本分配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**材料费**：9.5万元（占40%），含顶棚材料、钢架、灯具等。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**人工费**：7.5万元（占32%），按8人施工团队日均工资计算。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**设备与杂费**：6.79万元（含代理费0.76万元、应急备用金0.5万元）。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3. 资源优化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采用二级建造师带队，缩短审批与协调时间。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   - 集中采购标准化材料，降低供应链风险。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四、风险与调整建议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1. **工期风险**：雨天延误可通过搭建临时防雨棚压缩主体维修时间。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2. **成本超支**：预留0.5万元应急备用金，应对材料价格波动。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ascii="微软雅黑" w:hAnsi="微软雅黑" w:eastAsia="微软雅黑" w:cs="微软雅黑"/>
          <w:sz w:val="21"/>
          <w:szCs w:val="21"/>
          <w:u w:color="auto"/>
        </w:rPr>
        <w:t>3. **质量管控**：分阶段验收（结构、消防、排水），确保一次通过率≥95%。  </w:t>
      </w:r>
      <w:r>
        <w:rPr>
          <w:sz w:val="21"/>
          <w:szCs w:val="21"/>
          <w:u w:color="auto"/>
        </w:rPr>
        <w:t>﻿</w:t>
      </w:r>
      <w:r>
        <w:rPr>
          <w:sz w:val="21"/>
          <w:szCs w:val="21"/>
          <w:u w:color="auto"/>
        </w:rPr>
        <w:cr/>
      </w:r>
      <w:r>
        <w:rPr>
          <w:rFonts w:hint="eastAsia"/>
          <w:b/>
          <w:bCs/>
          <w:sz w:val="21"/>
          <w:szCs w:val="21"/>
          <w:u w:color="auto"/>
          <w:lang w:val="en-US" w:eastAsia="zh-CN"/>
        </w:rPr>
        <w:t>五、</w:t>
      </w:r>
      <w:r>
        <w:rPr>
          <w:rFonts w:ascii="微软雅黑" w:hAnsi="微软雅黑" w:eastAsia="微软雅黑" w:cs="微软雅黑"/>
          <w:sz w:val="21"/>
          <w:szCs w:val="21"/>
          <w:u w:color="auto"/>
        </w:rPr>
        <w:t>总结：本WBS基于实际中标数据与施工规范，将项目分解为5个一级类目、12个二级任务，总估算值23.79万元（含代理费），工期35天，覆盖全流程关键节点。需结合校方实时需求动态调整，确保与招标文件要求一致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474DF"/>
    <w:multiLevelType w:val="singleLevel"/>
    <w:tmpl w:val="B23474D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463AA4"/>
    <w:rsid w:val="12965A57"/>
    <w:rsid w:val="189725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  <w:rPr>
      <w:b/>
      <w:sz w:val="42"/>
    </w:rPr>
  </w:style>
  <w:style w:type="paragraph" w:styleId="3">
    <w:name w:val="heading 2"/>
    <w:basedOn w:val="1"/>
    <w:qFormat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qFormat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1296</Words>
  <Characters>1530</Characters>
  <TotalTime>17</TotalTime>
  <ScaleCrop>false</ScaleCrop>
  <LinksUpToDate>false</LinksUpToDate>
  <CharactersWithSpaces>1786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2025-04-09T08:09:00Z</dcterms:created>
  <dc:creator>Apache POI</dc:creator>
  <cp:lastModifiedBy>刘欣语</cp:lastModifiedBy>
  <dcterms:modified xsi:type="dcterms:W3CDTF">2025-04-13T13:43:20Z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eyJoZGlkIjoiOTJjOTg4NDQzYzUyNjY2ZDRlOWEzNmUxZTViNWQ4NzMiLCJ1c2VySWQiOiIxNjQ1MTg5NDQzIn0=</vt:lpwstr>
  </property>
  <property fmtid="{D5CDD505-2E9C-101B-9397-08002B2CF9AE}" pid="3" name="KSOProductBuildVer">
    <vt:lpwstr>2052-12.1.0.20305</vt:lpwstr>
  </property>
  <property fmtid="{D5CDD505-2E9C-101B-9397-08002B2CF9AE}" pid="4" name="ICV">
    <vt:lpwstr>D0A1E7C44BF4436E8320581976F38338_12</vt:lpwstr>
  </property>
</Properties>
</file>