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0103AF7">
      <w:pPr>
        <w:widowControl/>
        <w:adjustRightInd w:val="0"/>
        <w:snapToGrid w:val="0"/>
        <w:spacing w:after="200" w:line="300" w:lineRule="atLeast"/>
        <w:ind w:left="680" w:right="680"/>
        <w:jc w:val="center"/>
        <w:rPr>
          <w:rFonts w:hint="eastAsia" w:ascii="宋体" w:hAnsi="宋体"/>
          <w:b/>
          <w:bCs/>
          <w:kern w:val="0"/>
          <w:sz w:val="72"/>
          <w:szCs w:val="72"/>
        </w:rPr>
      </w:pPr>
      <w:r>
        <w:rPr>
          <w:rFonts w:hint="eastAsia" w:ascii="宋体" w:hAnsi="宋体"/>
          <w:b/>
          <w:bCs/>
          <w:kern w:val="0"/>
          <w:sz w:val="72"/>
          <w:szCs w:val="72"/>
        </w:rPr>
        <w:t>上海海事大学</w:t>
      </w:r>
    </w:p>
    <w:p w14:paraId="79B2D2B8">
      <w:pPr>
        <w:widowControl/>
        <w:adjustRightInd w:val="0"/>
        <w:snapToGrid w:val="0"/>
        <w:spacing w:after="200" w:line="300" w:lineRule="atLeast"/>
        <w:ind w:left="680" w:right="680"/>
        <w:jc w:val="center"/>
        <w:rPr>
          <w:rFonts w:hint="eastAsia" w:ascii="宋体" w:hAnsi="宋体"/>
          <w:b/>
          <w:bCs/>
          <w:kern w:val="0"/>
          <w:sz w:val="30"/>
          <w:szCs w:val="30"/>
        </w:rPr>
      </w:pPr>
    </w:p>
    <w:p w14:paraId="5C4AD780">
      <w:pPr>
        <w:widowControl/>
        <w:adjustRightInd w:val="0"/>
        <w:snapToGrid w:val="0"/>
        <w:spacing w:after="200" w:line="300" w:lineRule="atLeast"/>
        <w:ind w:left="680" w:right="680"/>
        <w:jc w:val="center"/>
        <w:rPr>
          <w:rFonts w:hint="eastAsia" w:ascii="宋体" w:hAnsi="宋体"/>
          <w:b/>
          <w:bCs/>
          <w:kern w:val="0"/>
          <w:sz w:val="30"/>
          <w:szCs w:val="30"/>
        </w:rPr>
      </w:pPr>
      <w:r>
        <w:rPr>
          <w:rFonts w:hint="eastAsia" w:ascii="宋体" w:hAnsi="宋体"/>
          <w:b/>
          <w:bCs/>
          <w:kern w:val="0"/>
          <w:sz w:val="30"/>
          <w:szCs w:val="30"/>
        </w:rPr>
        <w:t>思政课社会实践报告</w:t>
      </w:r>
    </w:p>
    <w:p w14:paraId="3E3A30AD">
      <w:pPr>
        <w:widowControl/>
        <w:adjustRightInd w:val="0"/>
        <w:snapToGrid w:val="0"/>
        <w:spacing w:after="200" w:line="300" w:lineRule="atLeast"/>
        <w:ind w:left="680" w:leftChars="324" w:right="680" w:firstLine="900" w:firstLineChars="300"/>
        <w:jc w:val="left"/>
        <w:rPr>
          <w:rFonts w:hint="eastAsia" w:ascii="宋体" w:hAnsi="宋体" w:eastAsia="微软雅黑"/>
          <w:b/>
          <w:bCs/>
          <w:kern w:val="0"/>
          <w:sz w:val="30"/>
          <w:szCs w:val="30"/>
        </w:rPr>
      </w:pPr>
    </w:p>
    <w:p w14:paraId="596A3B42">
      <w:pPr>
        <w:widowControl/>
        <w:adjustRightInd w:val="0"/>
        <w:snapToGrid w:val="0"/>
        <w:spacing w:after="200" w:line="360" w:lineRule="auto"/>
        <w:ind w:right="680" w:firstLine="1108" w:firstLineChars="345"/>
        <w:jc w:val="left"/>
        <w:rPr>
          <w:rFonts w:hint="eastAsia" w:ascii="宋体" w:hAnsi="宋体"/>
          <w:b/>
          <w:bCs/>
          <w:kern w:val="0"/>
          <w:sz w:val="28"/>
          <w:szCs w:val="28"/>
        </w:rPr>
      </w:pPr>
      <w:r>
        <w:rPr>
          <w:rFonts w:hint="eastAsia" w:ascii="黑体" w:hAnsi="黑体" w:eastAsia="黑体"/>
          <w:b/>
          <w:bCs/>
          <w:kern w:val="0"/>
          <w:sz w:val="32"/>
          <w:szCs w:val="32"/>
        </w:rPr>
        <w:t>题目：</w:t>
      </w:r>
      <w:r>
        <w:rPr>
          <w:rFonts w:hint="eastAsia" w:ascii="宋体" w:hAnsi="宋体"/>
          <w:b/>
          <w:bCs/>
          <w:kern w:val="0"/>
          <w:sz w:val="28"/>
          <w:szCs w:val="28"/>
        </w:rPr>
        <w:t>红色文化在青少年价值观塑造中的作用调查</w:t>
      </w:r>
    </w:p>
    <w:p w14:paraId="5B7027B8">
      <w:pPr>
        <w:widowControl/>
        <w:adjustRightInd w:val="0"/>
        <w:snapToGrid w:val="0"/>
        <w:spacing w:after="200" w:line="360" w:lineRule="auto"/>
        <w:ind w:right="680" w:firstLine="1968" w:firstLineChars="700"/>
        <w:jc w:val="left"/>
        <w:rPr>
          <w:rFonts w:hint="eastAsia" w:ascii="宋体" w:hAnsi="宋体"/>
          <w:b/>
          <w:bCs/>
          <w:kern w:val="0"/>
          <w:sz w:val="28"/>
          <w:szCs w:val="28"/>
        </w:rPr>
      </w:pPr>
      <w:r>
        <w:rPr>
          <w:rFonts w:hint="eastAsia" w:ascii="宋体" w:hAnsi="宋体"/>
          <w:b/>
          <w:bCs/>
          <w:kern w:val="0"/>
          <w:sz w:val="28"/>
          <w:szCs w:val="28"/>
        </w:rPr>
        <w:t>——以南京市雨花台烈士陵园参观体验为例</w:t>
      </w:r>
    </w:p>
    <w:p w14:paraId="78B0A863">
      <w:pPr>
        <w:widowControl/>
        <w:adjustRightInd w:val="0"/>
        <w:snapToGrid w:val="0"/>
        <w:spacing w:after="200" w:line="300" w:lineRule="atLeast"/>
        <w:ind w:right="680" w:firstLine="1269" w:firstLineChars="395"/>
        <w:jc w:val="left"/>
        <w:rPr>
          <w:rFonts w:ascii="黑体" w:hAnsi="黑体" w:eastAsia="黑体"/>
          <w:b/>
          <w:bCs/>
          <w:kern w:val="0"/>
          <w:sz w:val="32"/>
          <w:szCs w:val="32"/>
        </w:rPr>
      </w:pPr>
    </w:p>
    <w:p w14:paraId="2C38E968">
      <w:pPr>
        <w:widowControl/>
        <w:adjustRightInd w:val="0"/>
        <w:snapToGrid w:val="0"/>
        <w:spacing w:after="200" w:line="300" w:lineRule="atLeast"/>
        <w:ind w:right="680" w:firstLine="1108" w:firstLineChars="345"/>
        <w:jc w:val="left"/>
        <w:rPr>
          <w:rFonts w:ascii="黑体" w:hAnsi="黑体" w:eastAsia="黑体"/>
          <w:b/>
          <w:bCs/>
          <w:kern w:val="0"/>
          <w:sz w:val="32"/>
          <w:szCs w:val="32"/>
        </w:rPr>
      </w:pPr>
      <w:r>
        <w:rPr>
          <w:rFonts w:hint="eastAsia" w:ascii="黑体" w:hAnsi="黑体" w:eastAsia="黑体"/>
          <w:b/>
          <w:bCs/>
          <w:kern w:val="0"/>
          <w:sz w:val="32"/>
          <w:szCs w:val="32"/>
        </w:rPr>
        <w:t>社会实践报告类型：</w:t>
      </w:r>
    </w:p>
    <w:p w14:paraId="1E5F15F9">
      <w:pPr>
        <w:widowControl/>
        <w:adjustRightInd w:val="0"/>
        <w:snapToGrid w:val="0"/>
        <w:spacing w:after="200" w:line="300" w:lineRule="atLeast"/>
        <w:ind w:left="680" w:leftChars="324" w:right="680" w:firstLine="1050" w:firstLineChars="350"/>
        <w:jc w:val="left"/>
        <w:rPr>
          <w:rFonts w:hint="eastAsia" w:ascii="宋体" w:hAnsi="宋体"/>
          <w:bCs/>
          <w:kern w:val="0"/>
          <w:sz w:val="30"/>
          <w:szCs w:val="30"/>
        </w:rPr>
      </w:pPr>
      <w:r>
        <w:rPr>
          <w:rFonts w:hint="eastAsia" w:ascii="宋体" w:hAnsi="宋体"/>
          <w:bCs/>
          <w:kern w:val="0"/>
          <w:sz w:val="30"/>
          <w:szCs w:val="30"/>
        </w:rPr>
        <w:t>（1）调研报告</w:t>
      </w:r>
    </w:p>
    <w:p w14:paraId="40DAA71B">
      <w:pPr>
        <w:widowControl/>
        <w:adjustRightInd w:val="0"/>
        <w:snapToGrid w:val="0"/>
        <w:spacing w:after="200" w:line="300" w:lineRule="atLeast"/>
        <w:ind w:left="680" w:leftChars="324" w:right="680" w:firstLine="1035" w:firstLineChars="345"/>
        <w:jc w:val="left"/>
        <w:rPr>
          <w:rFonts w:hint="eastAsia" w:ascii="宋体" w:hAnsi="宋体"/>
          <w:bCs/>
          <w:kern w:val="0"/>
          <w:sz w:val="30"/>
          <w:szCs w:val="30"/>
        </w:rPr>
      </w:pPr>
      <w:r>
        <w:rPr>
          <w:rFonts w:hint="eastAsia" w:ascii="宋体" w:hAnsi="宋体"/>
          <w:bCs/>
          <w:kern w:val="0"/>
          <w:sz w:val="30"/>
          <w:szCs w:val="30"/>
        </w:rPr>
        <w:t>（2）</w:t>
      </w:r>
      <w:r>
        <w:rPr>
          <w:rFonts w:ascii="宋体" w:hAnsi="宋体"/>
          <w:bCs/>
          <w:kern w:val="0"/>
          <w:sz w:val="30"/>
          <w:szCs w:val="30"/>
        </w:rPr>
        <w:t>志愿服务</w:t>
      </w:r>
      <w:r>
        <w:rPr>
          <w:rFonts w:hint="eastAsia" w:ascii="宋体" w:hAnsi="宋体"/>
          <w:bCs/>
          <w:kern w:val="0"/>
          <w:sz w:val="30"/>
          <w:szCs w:val="30"/>
        </w:rPr>
        <w:t>工作小结或心得</w:t>
      </w:r>
    </w:p>
    <w:p w14:paraId="1F4992BF">
      <w:pPr>
        <w:widowControl/>
        <w:adjustRightInd w:val="0"/>
        <w:snapToGrid w:val="0"/>
        <w:spacing w:after="200" w:line="300" w:lineRule="atLeast"/>
        <w:ind w:left="680" w:leftChars="324" w:right="680" w:firstLine="1035" w:firstLineChars="345"/>
        <w:jc w:val="left"/>
        <w:rPr>
          <w:rFonts w:hint="eastAsia" w:ascii="宋体" w:hAnsi="宋体"/>
          <w:bCs/>
          <w:kern w:val="0"/>
          <w:sz w:val="30"/>
          <w:szCs w:val="30"/>
        </w:rPr>
      </w:pPr>
      <w:r>
        <w:rPr>
          <w:rFonts w:hint="eastAsia" w:ascii="宋体" w:hAnsi="宋体"/>
          <w:bCs/>
          <w:kern w:val="0"/>
          <w:sz w:val="30"/>
          <w:szCs w:val="30"/>
        </w:rPr>
        <w:t>（3）讲稿</w:t>
      </w:r>
    </w:p>
    <w:p w14:paraId="648F7E5A">
      <w:pPr>
        <w:widowControl/>
        <w:adjustRightInd w:val="0"/>
        <w:snapToGrid w:val="0"/>
        <w:spacing w:after="200" w:line="300" w:lineRule="atLeast"/>
        <w:ind w:left="680" w:leftChars="324" w:right="680" w:firstLine="1050" w:firstLineChars="350"/>
        <w:jc w:val="left"/>
        <w:rPr>
          <w:rFonts w:hint="eastAsia" w:ascii="宋体" w:hAnsi="宋体"/>
          <w:bCs/>
          <w:kern w:val="0"/>
          <w:sz w:val="30"/>
          <w:szCs w:val="30"/>
        </w:rPr>
      </w:pPr>
      <w:r>
        <w:rPr>
          <w:rFonts w:hint="eastAsia" w:ascii="宋体" w:hAnsi="宋体"/>
          <w:bCs/>
          <w:kern w:val="0"/>
          <w:sz w:val="30"/>
          <w:szCs w:val="30"/>
        </w:rPr>
        <w:t>（4）短视频、微电影或情景剧等脚本</w:t>
      </w:r>
    </w:p>
    <w:p w14:paraId="6FEF4225">
      <w:pPr>
        <w:widowControl/>
        <w:adjustRightInd w:val="0"/>
        <w:snapToGrid w:val="0"/>
        <w:spacing w:after="200" w:line="360" w:lineRule="auto"/>
        <w:ind w:right="680" w:firstLine="1108" w:firstLineChars="345"/>
        <w:jc w:val="left"/>
        <w:rPr>
          <w:rFonts w:ascii="黑体" w:hAnsi="黑体" w:eastAsia="黑体"/>
          <w:b/>
          <w:bCs/>
          <w:kern w:val="0"/>
          <w:sz w:val="32"/>
          <w:szCs w:val="32"/>
        </w:rPr>
      </w:pPr>
      <w:r>
        <w:rPr>
          <w:rFonts w:hint="eastAsia" w:ascii="黑体" w:hAnsi="黑体" w:eastAsia="黑体"/>
          <w:b/>
          <w:bCs/>
          <w:kern w:val="0"/>
          <w:sz w:val="32"/>
          <w:szCs w:val="32"/>
        </w:rPr>
        <w:t>相关章节：</w:t>
      </w:r>
    </w:p>
    <w:p w14:paraId="48C98485">
      <w:pPr>
        <w:widowControl/>
        <w:adjustRightInd w:val="0"/>
        <w:snapToGrid w:val="0"/>
        <w:spacing w:after="200" w:line="360" w:lineRule="auto"/>
        <w:ind w:right="680" w:firstLine="1245" w:firstLineChars="443"/>
        <w:jc w:val="left"/>
        <w:rPr>
          <w:rFonts w:hint="eastAsia" w:ascii="宋体" w:hAnsi="宋体"/>
          <w:b/>
          <w:bCs/>
          <w:kern w:val="0"/>
          <w:sz w:val="28"/>
          <w:szCs w:val="28"/>
          <w:lang w:eastAsia="zh"/>
        </w:rPr>
      </w:pPr>
      <w:r>
        <w:rPr>
          <w:rFonts w:hint="eastAsia" w:ascii="宋体" w:hAnsi="宋体"/>
          <w:b/>
          <w:bCs/>
          <w:kern w:val="0"/>
          <w:sz w:val="28"/>
          <w:szCs w:val="28"/>
        </w:rPr>
        <w:t>学院：</w:t>
      </w:r>
      <w:r>
        <w:rPr>
          <w:rFonts w:hint="eastAsia" w:ascii="宋体" w:hAnsi="宋体"/>
          <w:b/>
          <w:bCs/>
          <w:kern w:val="0"/>
          <w:sz w:val="28"/>
          <w:szCs w:val="28"/>
          <w:lang w:eastAsia="zh"/>
        </w:rPr>
        <w:t>信息工程学院</w:t>
      </w:r>
    </w:p>
    <w:p w14:paraId="75EDBE8D">
      <w:pPr>
        <w:widowControl/>
        <w:adjustRightInd w:val="0"/>
        <w:snapToGrid w:val="0"/>
        <w:spacing w:after="200" w:line="360" w:lineRule="auto"/>
        <w:ind w:right="680" w:firstLine="1245" w:firstLineChars="443"/>
        <w:jc w:val="left"/>
        <w:rPr>
          <w:rFonts w:hint="eastAsia" w:ascii="宋体" w:hAnsi="宋体"/>
          <w:b/>
          <w:bCs/>
          <w:kern w:val="0"/>
          <w:sz w:val="28"/>
          <w:szCs w:val="28"/>
          <w:lang w:eastAsia="zh"/>
        </w:rPr>
      </w:pPr>
      <w:r>
        <w:rPr>
          <w:rFonts w:hint="eastAsia" w:ascii="宋体" w:hAnsi="宋体"/>
          <w:b/>
          <w:bCs/>
          <w:kern w:val="0"/>
          <w:sz w:val="28"/>
          <w:szCs w:val="28"/>
        </w:rPr>
        <w:t>班级：</w:t>
      </w:r>
      <w:r>
        <w:rPr>
          <w:rFonts w:hint="eastAsia" w:ascii="宋体" w:hAnsi="宋体"/>
          <w:b/>
          <w:bCs/>
          <w:kern w:val="0"/>
          <w:sz w:val="28"/>
          <w:szCs w:val="28"/>
          <w:lang w:eastAsia="zh"/>
        </w:rPr>
        <w:t>电信241</w:t>
      </w:r>
    </w:p>
    <w:p w14:paraId="3CB41811">
      <w:pPr>
        <w:widowControl/>
        <w:adjustRightInd w:val="0"/>
        <w:snapToGrid w:val="0"/>
        <w:spacing w:after="200" w:line="360" w:lineRule="auto"/>
        <w:ind w:right="680" w:firstLine="1245" w:firstLineChars="443"/>
        <w:jc w:val="left"/>
        <w:rPr>
          <w:rFonts w:hint="eastAsia" w:ascii="宋体" w:hAnsi="宋体"/>
          <w:b/>
          <w:bCs/>
          <w:kern w:val="0"/>
          <w:sz w:val="28"/>
          <w:szCs w:val="28"/>
          <w:lang w:eastAsia="zh"/>
        </w:rPr>
      </w:pPr>
      <w:r>
        <w:rPr>
          <w:rFonts w:hint="eastAsia" w:ascii="宋体" w:hAnsi="宋体"/>
          <w:b/>
          <w:bCs/>
          <w:kern w:val="0"/>
          <w:sz w:val="28"/>
          <w:szCs w:val="28"/>
        </w:rPr>
        <w:t>学号：</w:t>
      </w:r>
      <w:r>
        <w:rPr>
          <w:rFonts w:hint="eastAsia" w:ascii="宋体" w:hAnsi="宋体"/>
          <w:b/>
          <w:bCs/>
          <w:kern w:val="0"/>
          <w:sz w:val="28"/>
          <w:szCs w:val="28"/>
          <w:lang w:eastAsia="zh"/>
        </w:rPr>
        <w:t>202410321012、202410321018、202410321020</w:t>
      </w:r>
    </w:p>
    <w:p w14:paraId="640C0CEE">
      <w:pPr>
        <w:widowControl/>
        <w:adjustRightInd w:val="0"/>
        <w:snapToGrid w:val="0"/>
        <w:spacing w:after="200" w:line="360" w:lineRule="auto"/>
        <w:ind w:right="680" w:firstLine="1245" w:firstLineChars="443"/>
        <w:jc w:val="left"/>
        <w:rPr>
          <w:rFonts w:hint="eastAsia" w:ascii="宋体" w:hAnsi="宋体"/>
          <w:b/>
          <w:bCs/>
          <w:kern w:val="0"/>
          <w:sz w:val="28"/>
          <w:szCs w:val="28"/>
          <w:lang w:eastAsia="zh"/>
        </w:rPr>
      </w:pPr>
      <w:r>
        <w:rPr>
          <w:rFonts w:hint="eastAsia" w:ascii="宋体" w:hAnsi="宋体"/>
          <w:b/>
          <w:bCs/>
          <w:kern w:val="0"/>
          <w:sz w:val="28"/>
          <w:szCs w:val="28"/>
        </w:rPr>
        <w:t>姓名：</w:t>
      </w:r>
      <w:r>
        <w:rPr>
          <w:rFonts w:hint="eastAsia" w:ascii="宋体" w:hAnsi="宋体"/>
          <w:b/>
          <w:bCs/>
          <w:kern w:val="0"/>
          <w:sz w:val="28"/>
          <w:szCs w:val="28"/>
          <w:lang w:eastAsia="zh"/>
        </w:rPr>
        <w:t>高若婷、高济祺、刘欣语</w:t>
      </w:r>
    </w:p>
    <w:p w14:paraId="3D58EE9D">
      <w:pPr>
        <w:widowControl/>
        <w:adjustRightInd w:val="0"/>
        <w:snapToGrid w:val="0"/>
        <w:spacing w:after="200" w:line="360" w:lineRule="auto"/>
        <w:ind w:right="680" w:firstLine="1245" w:firstLineChars="443"/>
        <w:jc w:val="left"/>
        <w:rPr>
          <w:rFonts w:hint="eastAsia" w:ascii="宋体" w:hAnsi="宋体"/>
          <w:b/>
          <w:bCs/>
          <w:kern w:val="0"/>
          <w:sz w:val="28"/>
          <w:szCs w:val="28"/>
          <w:lang w:eastAsia="zh"/>
        </w:rPr>
      </w:pPr>
      <w:r>
        <w:rPr>
          <w:rFonts w:hint="eastAsia" w:ascii="宋体" w:hAnsi="宋体"/>
          <w:b/>
          <w:bCs/>
          <w:kern w:val="0"/>
          <w:sz w:val="28"/>
          <w:szCs w:val="28"/>
        </w:rPr>
        <w:t>联系方式：18321605525、</w:t>
      </w:r>
      <w:r>
        <w:rPr>
          <w:rFonts w:hint="eastAsia" w:ascii="宋体" w:hAnsi="宋体"/>
          <w:b/>
          <w:bCs/>
          <w:kern w:val="0"/>
          <w:sz w:val="28"/>
          <w:szCs w:val="28"/>
          <w:lang w:eastAsia="zh"/>
        </w:rPr>
        <w:t>17374132960、13103018858</w:t>
      </w:r>
    </w:p>
    <w:p w14:paraId="17C6C2F2">
      <w:pPr>
        <w:widowControl/>
        <w:adjustRightInd w:val="0"/>
        <w:snapToGrid w:val="0"/>
        <w:spacing w:after="200" w:line="360" w:lineRule="auto"/>
        <w:ind w:right="680" w:firstLine="1245" w:firstLineChars="443"/>
        <w:jc w:val="left"/>
        <w:rPr>
          <w:rFonts w:hint="eastAsia" w:ascii="宋体" w:hAnsi="宋体"/>
          <w:b/>
          <w:bCs/>
          <w:kern w:val="0"/>
          <w:sz w:val="28"/>
          <w:szCs w:val="28"/>
          <w:lang w:eastAsia="zh"/>
        </w:rPr>
      </w:pPr>
      <w:r>
        <w:rPr>
          <w:rFonts w:hint="eastAsia" w:ascii="宋体" w:hAnsi="宋体"/>
          <w:b/>
          <w:bCs/>
          <w:kern w:val="0"/>
          <w:sz w:val="28"/>
          <w:szCs w:val="28"/>
        </w:rPr>
        <w:t>任课老师：</w:t>
      </w:r>
      <w:r>
        <w:rPr>
          <w:rFonts w:hint="eastAsia" w:ascii="宋体" w:hAnsi="宋体"/>
          <w:b/>
          <w:bCs/>
          <w:kern w:val="0"/>
          <w:sz w:val="28"/>
          <w:szCs w:val="28"/>
          <w:lang w:eastAsia="zh"/>
        </w:rPr>
        <w:t>姚雪萍</w:t>
      </w:r>
    </w:p>
    <w:p w14:paraId="3F318373">
      <w:pPr>
        <w:widowControl/>
        <w:adjustRightInd w:val="0"/>
        <w:snapToGrid w:val="0"/>
        <w:spacing w:after="200" w:line="360" w:lineRule="auto"/>
        <w:ind w:right="680" w:firstLine="1245" w:firstLineChars="443"/>
        <w:jc w:val="left"/>
        <w:rPr>
          <w:rFonts w:hint="eastAsia" w:ascii="宋体" w:hAnsi="宋体"/>
          <w:b/>
          <w:bCs/>
          <w:kern w:val="0"/>
          <w:sz w:val="28"/>
          <w:szCs w:val="28"/>
          <w:lang w:eastAsia="zh"/>
        </w:rPr>
      </w:pPr>
      <w:r>
        <w:rPr>
          <w:rFonts w:hint="eastAsia" w:ascii="宋体" w:hAnsi="宋体"/>
          <w:b/>
          <w:bCs/>
          <w:kern w:val="0"/>
          <w:sz w:val="28"/>
          <w:szCs w:val="28"/>
        </w:rPr>
        <w:t>完成时间：</w:t>
      </w:r>
      <w:r>
        <w:rPr>
          <w:rFonts w:hint="eastAsia" w:ascii="宋体" w:hAnsi="宋体"/>
          <w:b/>
          <w:bCs/>
          <w:kern w:val="0"/>
          <w:sz w:val="28"/>
          <w:szCs w:val="28"/>
          <w:lang w:eastAsia="zh"/>
        </w:rPr>
        <w:t>2025.5.10</w:t>
      </w:r>
    </w:p>
    <w:p w14:paraId="698C9BD5">
      <w:pPr>
        <w:widowControl/>
        <w:adjustRightInd w:val="0"/>
        <w:snapToGrid w:val="0"/>
        <w:spacing w:after="200" w:line="480" w:lineRule="auto"/>
        <w:ind w:left="680" w:leftChars="324" w:right="680" w:firstLine="1405" w:firstLineChars="500"/>
        <w:jc w:val="left"/>
        <w:rPr>
          <w:rFonts w:hint="eastAsia" w:ascii="宋体" w:hAnsi="宋体"/>
          <w:b/>
          <w:bCs/>
          <w:kern w:val="0"/>
          <w:sz w:val="28"/>
          <w:szCs w:val="28"/>
        </w:rPr>
      </w:pPr>
    </w:p>
    <w:p w14:paraId="5243180A">
      <w:pPr>
        <w:pStyle w:val="9"/>
        <w:shd w:val="clear" w:color="auto" w:fill="FFFFFF"/>
        <w:spacing w:before="0" w:beforeAutospacing="0" w:after="0" w:afterAutospacing="0" w:line="360" w:lineRule="auto"/>
        <w:ind w:firstLine="482" w:firstLineChars="200"/>
        <w:jc w:val="both"/>
        <w:rPr>
          <w:rFonts w:hint="eastAsia" w:cs="Times New Roman"/>
          <w:b/>
          <w:color w:val="000000"/>
        </w:rPr>
      </w:pPr>
    </w:p>
    <w:tbl>
      <w:tblPr>
        <w:tblStyle w:val="6"/>
        <w:tblW w:w="0" w:type="auto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68"/>
        <w:gridCol w:w="2769"/>
        <w:gridCol w:w="2769"/>
      </w:tblGrid>
      <w:tr w14:paraId="7B4540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8" w:type="dxa"/>
            <w:vAlign w:val="center"/>
          </w:tcPr>
          <w:p w14:paraId="72FE136B">
            <w:pPr>
              <w:pStyle w:val="9"/>
              <w:spacing w:before="0" w:beforeAutospacing="0" w:after="0" w:afterAutospacing="0" w:line="360" w:lineRule="auto"/>
              <w:jc w:val="center"/>
              <w:rPr>
                <w:rFonts w:hint="eastAsia" w:cs="Times New Roman"/>
                <w:b/>
                <w:color w:val="000000"/>
                <w:lang w:eastAsia="zh"/>
              </w:rPr>
            </w:pPr>
            <w:r>
              <w:rPr>
                <w:rFonts w:hint="eastAsia" w:ascii="黑体" w:hAnsi="黑体" w:eastAsia="黑体" w:cs="黑体"/>
                <w:b/>
                <w:color w:val="000000"/>
                <w:lang w:eastAsia="zh"/>
              </w:rPr>
              <w:t>姓名</w:t>
            </w:r>
          </w:p>
        </w:tc>
        <w:tc>
          <w:tcPr>
            <w:tcW w:w="2769" w:type="dxa"/>
            <w:vAlign w:val="center"/>
          </w:tcPr>
          <w:p w14:paraId="183BDD45">
            <w:pPr>
              <w:pStyle w:val="9"/>
              <w:spacing w:before="0" w:beforeAutospacing="0" w:after="0" w:afterAutospacing="0" w:line="360" w:lineRule="auto"/>
              <w:jc w:val="center"/>
              <w:rPr>
                <w:rFonts w:hint="eastAsia" w:cs="Times New Roman"/>
                <w:b/>
                <w:color w:val="000000"/>
                <w:lang w:eastAsia="zh"/>
              </w:rPr>
            </w:pPr>
            <w:r>
              <w:rPr>
                <w:rFonts w:hint="eastAsia" w:ascii="黑体" w:hAnsi="黑体" w:eastAsia="黑体" w:cs="黑体"/>
                <w:b/>
                <w:color w:val="000000"/>
                <w:lang w:eastAsia="zh"/>
              </w:rPr>
              <w:t>分工</w:t>
            </w:r>
          </w:p>
        </w:tc>
        <w:tc>
          <w:tcPr>
            <w:tcW w:w="2769" w:type="dxa"/>
            <w:vAlign w:val="center"/>
          </w:tcPr>
          <w:p w14:paraId="4BA45B09">
            <w:pPr>
              <w:pStyle w:val="9"/>
              <w:spacing w:before="0" w:beforeAutospacing="0" w:after="0" w:afterAutospacing="0" w:line="360" w:lineRule="auto"/>
              <w:jc w:val="center"/>
              <w:rPr>
                <w:rFonts w:hint="eastAsia" w:cs="Times New Roman"/>
                <w:b/>
                <w:color w:val="000000"/>
                <w:lang w:eastAsia="zh"/>
              </w:rPr>
            </w:pPr>
            <w:r>
              <w:rPr>
                <w:rFonts w:hint="eastAsia" w:ascii="黑体" w:hAnsi="黑体" w:eastAsia="黑体" w:cs="黑体"/>
                <w:b/>
                <w:color w:val="000000"/>
                <w:lang w:eastAsia="zh"/>
              </w:rPr>
              <w:t>签名</w:t>
            </w:r>
          </w:p>
        </w:tc>
      </w:tr>
      <w:tr w14:paraId="5B89ED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8" w:type="dxa"/>
            <w:vAlign w:val="center"/>
          </w:tcPr>
          <w:p w14:paraId="2ABE2114">
            <w:pPr>
              <w:pStyle w:val="9"/>
              <w:spacing w:before="0" w:beforeAutospacing="0" w:after="0" w:afterAutospacing="0" w:line="360" w:lineRule="auto"/>
              <w:jc w:val="center"/>
              <w:rPr>
                <w:rFonts w:hint="eastAsia" w:cs="Times New Roman"/>
                <w:b/>
                <w:color w:val="000000"/>
                <w:lang w:eastAsia="zh"/>
              </w:rPr>
            </w:pPr>
            <w:r>
              <w:rPr>
                <w:rFonts w:hint="eastAsia" w:cs="Times New Roman"/>
                <w:b/>
                <w:color w:val="000000"/>
                <w:lang w:eastAsia="zh"/>
              </w:rPr>
              <w:t>高若婷</w:t>
            </w:r>
          </w:p>
        </w:tc>
        <w:tc>
          <w:tcPr>
            <w:tcW w:w="2769" w:type="dxa"/>
            <w:vAlign w:val="center"/>
          </w:tcPr>
          <w:p w14:paraId="5B07C9AA">
            <w:pPr>
              <w:pStyle w:val="9"/>
              <w:spacing w:before="0" w:beforeAutospacing="0" w:after="0" w:afterAutospacing="0" w:line="360" w:lineRule="auto"/>
              <w:jc w:val="both"/>
              <w:rPr>
                <w:rFonts w:hint="eastAsia" w:cs="Times New Roman"/>
                <w:b/>
                <w:color w:val="000000"/>
                <w:lang w:eastAsia="zh"/>
              </w:rPr>
            </w:pPr>
            <w:r>
              <w:rPr>
                <w:rFonts w:hint="eastAsia" w:cs="Times New Roman"/>
                <w:b/>
                <w:color w:val="000000"/>
                <w:lang w:eastAsia="zh"/>
              </w:rPr>
              <w:t>大纲编写、全文总结与展望</w:t>
            </w:r>
          </w:p>
        </w:tc>
        <w:tc>
          <w:tcPr>
            <w:tcW w:w="2769" w:type="dxa"/>
            <w:vAlign w:val="center"/>
          </w:tcPr>
          <w:p w14:paraId="54D070F3">
            <w:pPr>
              <w:pStyle w:val="9"/>
              <w:spacing w:before="0" w:beforeAutospacing="0" w:after="0" w:afterAutospacing="0" w:line="360" w:lineRule="auto"/>
              <w:jc w:val="center"/>
              <w:rPr>
                <w:rFonts w:hint="eastAsia" w:cs="Times New Roman"/>
                <w:b/>
                <w:color w:val="000000"/>
              </w:rPr>
            </w:pPr>
            <w:r>
              <w:rPr>
                <w:rFonts w:cs="Times New Roman"/>
                <w:b/>
                <w:color w:val="000000"/>
              </w:rPr>
              <w:drawing>
                <wp:inline distT="0" distB="0" distL="0" distR="0">
                  <wp:extent cx="506095" cy="1307465"/>
                  <wp:effectExtent l="0" t="635" r="7620" b="7620"/>
                  <wp:docPr id="393831430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3831430" name="图片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 rot="16200000">
                            <a:off x="0" y="0"/>
                            <a:ext cx="513519" cy="132591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5E1F47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20" w:hRule="atLeast"/>
        </w:trPr>
        <w:tc>
          <w:tcPr>
            <w:tcW w:w="2768" w:type="dxa"/>
            <w:vAlign w:val="center"/>
          </w:tcPr>
          <w:p w14:paraId="555E8078">
            <w:pPr>
              <w:pStyle w:val="9"/>
              <w:spacing w:before="0" w:beforeAutospacing="0" w:after="0" w:afterAutospacing="0" w:line="360" w:lineRule="auto"/>
              <w:jc w:val="center"/>
              <w:rPr>
                <w:rFonts w:hint="eastAsia" w:cs="Times New Roman"/>
                <w:b/>
                <w:color w:val="000000"/>
                <w:lang w:eastAsia="zh"/>
              </w:rPr>
            </w:pPr>
            <w:r>
              <w:rPr>
                <w:rFonts w:hint="eastAsia" w:cs="Times New Roman"/>
                <w:b/>
                <w:color w:val="000000"/>
                <w:lang w:eastAsia="zh"/>
              </w:rPr>
              <w:t>高济祺</w:t>
            </w:r>
          </w:p>
        </w:tc>
        <w:tc>
          <w:tcPr>
            <w:tcW w:w="2769" w:type="dxa"/>
            <w:vAlign w:val="center"/>
          </w:tcPr>
          <w:p w14:paraId="2573507D">
            <w:pPr>
              <w:pStyle w:val="9"/>
              <w:spacing w:before="0" w:beforeAutospacing="0" w:after="0" w:afterAutospacing="0" w:line="360" w:lineRule="auto"/>
              <w:jc w:val="both"/>
              <w:rPr>
                <w:rFonts w:hint="eastAsia" w:cs="Times New Roman"/>
                <w:b/>
                <w:color w:val="000000"/>
                <w:lang w:eastAsia="zh"/>
              </w:rPr>
            </w:pPr>
            <w:r>
              <w:rPr>
                <w:rFonts w:hint="eastAsia" w:cs="Times New Roman"/>
                <w:b/>
                <w:color w:val="000000"/>
              </w:rPr>
              <w:t>调研背景与意义</w:t>
            </w:r>
            <w:r>
              <w:rPr>
                <w:rFonts w:hint="eastAsia" w:cs="Times New Roman"/>
                <w:b/>
                <w:color w:val="000000"/>
                <w:lang w:eastAsia="zh"/>
              </w:rPr>
              <w:t>、青少年红色文化认知与价值观现状分析</w:t>
            </w:r>
          </w:p>
        </w:tc>
        <w:tc>
          <w:tcPr>
            <w:tcW w:w="2769" w:type="dxa"/>
            <w:vAlign w:val="center"/>
          </w:tcPr>
          <w:p w14:paraId="53E39D88">
            <w:pPr>
              <w:pStyle w:val="9"/>
              <w:spacing w:before="0" w:beforeAutospacing="0" w:after="0" w:afterAutospacing="0" w:line="360" w:lineRule="auto"/>
              <w:jc w:val="center"/>
              <w:rPr>
                <w:rFonts w:hint="eastAsia" w:cs="Times New Roman"/>
                <w:b/>
                <w:color w:val="000000"/>
                <w:lang w:eastAsia="zh"/>
              </w:rPr>
            </w:pPr>
            <w:r>
              <w:rPr>
                <w:rFonts w:hint="eastAsia" w:cs="Times New Roman"/>
                <w:b/>
                <w:color w:val="000000"/>
                <w:lang w:eastAsia="zh"/>
              </w:rPr>
              <w:drawing>
                <wp:inline distT="0" distB="0" distL="114300" distR="114300">
                  <wp:extent cx="1114425" cy="557530"/>
                  <wp:effectExtent l="0" t="0" r="9525" b="13970"/>
                  <wp:docPr id="3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图片 3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14425" cy="5575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24D4E5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8" w:type="dxa"/>
            <w:vAlign w:val="center"/>
          </w:tcPr>
          <w:p w14:paraId="70FCF162">
            <w:pPr>
              <w:pStyle w:val="9"/>
              <w:spacing w:before="0" w:beforeAutospacing="0" w:after="0" w:afterAutospacing="0" w:line="360" w:lineRule="auto"/>
              <w:jc w:val="center"/>
              <w:rPr>
                <w:rFonts w:hint="eastAsia" w:cs="Times New Roman"/>
                <w:b/>
                <w:color w:val="000000"/>
                <w:lang w:eastAsia="zh"/>
              </w:rPr>
            </w:pPr>
            <w:r>
              <w:rPr>
                <w:rFonts w:hint="eastAsia" w:cs="Times New Roman"/>
                <w:b/>
                <w:color w:val="000000"/>
                <w:lang w:eastAsia="zh"/>
              </w:rPr>
              <w:t>刘欣语</w:t>
            </w:r>
          </w:p>
        </w:tc>
        <w:tc>
          <w:tcPr>
            <w:tcW w:w="2769" w:type="dxa"/>
            <w:vAlign w:val="center"/>
          </w:tcPr>
          <w:p w14:paraId="32C530F7">
            <w:pPr>
              <w:pStyle w:val="9"/>
              <w:spacing w:before="0" w:beforeAutospacing="0" w:after="0" w:afterAutospacing="0" w:line="360" w:lineRule="auto"/>
              <w:jc w:val="both"/>
              <w:rPr>
                <w:rFonts w:hint="eastAsia" w:cs="Times New Roman"/>
                <w:b/>
                <w:color w:val="000000"/>
              </w:rPr>
            </w:pPr>
            <w:r>
              <w:rPr>
                <w:rFonts w:hint="eastAsia" w:cs="Times New Roman"/>
                <w:b/>
                <w:color w:val="000000"/>
                <w:lang w:eastAsia="zh"/>
              </w:rPr>
              <w:t>教育形式的有效性解构：从单向传递到多维互动、红色文化赋能青少年价值观塑造的优化路径</w:t>
            </w:r>
          </w:p>
        </w:tc>
        <w:tc>
          <w:tcPr>
            <w:tcW w:w="2769" w:type="dxa"/>
            <w:vAlign w:val="center"/>
          </w:tcPr>
          <w:p w14:paraId="51F45104">
            <w:pPr>
              <w:pStyle w:val="9"/>
              <w:spacing w:before="0" w:beforeAutospacing="0" w:after="0" w:afterAutospacing="0" w:line="360" w:lineRule="auto"/>
              <w:jc w:val="center"/>
              <w:rPr>
                <w:rFonts w:hint="eastAsia" w:cs="Times New Roman"/>
                <w:b/>
                <w:color w:val="000000"/>
                <w:lang w:eastAsia="zh"/>
              </w:rPr>
            </w:pPr>
            <w:r>
              <w:rPr>
                <w:rFonts w:hint="eastAsia" w:cs="Times New Roman"/>
                <w:b/>
                <w:color w:val="000000"/>
                <w:sz w:val="84"/>
                <w:szCs w:val="84"/>
                <w:lang w:eastAsia="zh"/>
              </w:rPr>
              <w:drawing>
                <wp:inline distT="0" distB="0" distL="114300" distR="114300">
                  <wp:extent cx="647065" cy="1116330"/>
                  <wp:effectExtent l="0" t="0" r="7620" b="635"/>
                  <wp:docPr id="2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图片 2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 rot="16200000">
                            <a:off x="0" y="0"/>
                            <a:ext cx="647065" cy="11163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67F457B">
      <w:pPr>
        <w:pStyle w:val="9"/>
        <w:shd w:val="clear" w:color="auto" w:fill="FFFFFF"/>
        <w:spacing w:before="0" w:beforeAutospacing="0" w:after="0" w:afterAutospacing="0" w:line="360" w:lineRule="auto"/>
        <w:ind w:firstLine="482" w:firstLineChars="200"/>
        <w:jc w:val="both"/>
        <w:rPr>
          <w:rFonts w:hint="eastAsia" w:cs="Times New Roman"/>
          <w:b/>
          <w:color w:val="000000"/>
        </w:rPr>
      </w:pPr>
    </w:p>
    <w:p w14:paraId="2B9938C8">
      <w:pPr>
        <w:rPr>
          <w:b/>
          <w:color w:val="000000"/>
        </w:rPr>
      </w:pPr>
    </w:p>
    <w:p w14:paraId="302413DE">
      <w:pPr>
        <w:pStyle w:val="9"/>
        <w:shd w:val="clear" w:color="auto" w:fill="FFFFFF"/>
        <w:spacing w:before="0" w:beforeAutospacing="0" w:after="0" w:afterAutospacing="0" w:line="360" w:lineRule="auto"/>
        <w:ind w:firstLine="482" w:firstLineChars="200"/>
        <w:jc w:val="both"/>
        <w:rPr>
          <w:rFonts w:hint="eastAsia" w:cs="Times New Roman"/>
          <w:b/>
          <w:color w:val="000000"/>
        </w:rPr>
      </w:pPr>
    </w:p>
    <w:p w14:paraId="731B02DD">
      <w:pPr>
        <w:pStyle w:val="9"/>
        <w:shd w:val="clear" w:color="auto" w:fill="FFFFFF"/>
        <w:spacing w:before="0" w:beforeAutospacing="0" w:after="0" w:afterAutospacing="0" w:line="360" w:lineRule="auto"/>
        <w:ind w:firstLine="482" w:firstLineChars="200"/>
        <w:jc w:val="both"/>
        <w:rPr>
          <w:rFonts w:hint="eastAsia" w:cs="Times New Roman"/>
          <w:b/>
          <w:color w:val="000000"/>
        </w:rPr>
      </w:pPr>
    </w:p>
    <w:p w14:paraId="6E49C29B">
      <w:pPr>
        <w:pStyle w:val="9"/>
        <w:shd w:val="clear" w:color="auto" w:fill="FFFFFF"/>
        <w:spacing w:before="0" w:beforeAutospacing="0" w:after="0" w:afterAutospacing="0" w:line="360" w:lineRule="auto"/>
        <w:ind w:firstLine="482" w:firstLineChars="200"/>
        <w:jc w:val="both"/>
        <w:rPr>
          <w:rFonts w:hint="eastAsia" w:cs="Times New Roman"/>
          <w:b/>
          <w:color w:val="000000"/>
        </w:rPr>
      </w:pPr>
    </w:p>
    <w:p w14:paraId="1EBBAAEC">
      <w:pPr>
        <w:pStyle w:val="9"/>
        <w:shd w:val="clear" w:color="auto" w:fill="FFFFFF"/>
        <w:spacing w:before="0" w:beforeAutospacing="0" w:after="0" w:afterAutospacing="0" w:line="360" w:lineRule="auto"/>
        <w:ind w:firstLine="482" w:firstLineChars="200"/>
        <w:jc w:val="both"/>
        <w:rPr>
          <w:rFonts w:hint="eastAsia" w:cs="Times New Roman"/>
          <w:b/>
          <w:color w:val="000000"/>
        </w:rPr>
      </w:pPr>
    </w:p>
    <w:p w14:paraId="2098E7E4">
      <w:pPr>
        <w:pStyle w:val="9"/>
        <w:shd w:val="clear" w:color="auto" w:fill="FFFFFF"/>
        <w:spacing w:before="0" w:beforeAutospacing="0" w:after="0" w:afterAutospacing="0" w:line="360" w:lineRule="auto"/>
        <w:ind w:firstLine="482" w:firstLineChars="200"/>
        <w:jc w:val="both"/>
        <w:rPr>
          <w:rFonts w:hint="eastAsia" w:cs="Times New Roman"/>
          <w:b/>
          <w:color w:val="000000"/>
        </w:rPr>
      </w:pPr>
    </w:p>
    <w:p w14:paraId="2504EC99">
      <w:pPr>
        <w:pStyle w:val="9"/>
        <w:shd w:val="clear" w:color="auto" w:fill="FFFFFF"/>
        <w:spacing w:before="0" w:beforeAutospacing="0" w:after="0" w:afterAutospacing="0" w:line="360" w:lineRule="auto"/>
        <w:ind w:firstLine="482" w:firstLineChars="200"/>
        <w:jc w:val="both"/>
        <w:rPr>
          <w:rFonts w:hint="eastAsia" w:cs="Times New Roman"/>
          <w:b/>
          <w:color w:val="000000"/>
        </w:rPr>
      </w:pPr>
    </w:p>
    <w:p w14:paraId="48F56A18">
      <w:pPr>
        <w:pStyle w:val="9"/>
        <w:shd w:val="clear" w:color="auto" w:fill="FFFFFF"/>
        <w:spacing w:before="0" w:beforeAutospacing="0" w:after="0" w:afterAutospacing="0" w:line="360" w:lineRule="auto"/>
        <w:ind w:firstLine="482" w:firstLineChars="200"/>
        <w:jc w:val="both"/>
        <w:rPr>
          <w:rFonts w:hint="eastAsia" w:cs="Times New Roman"/>
          <w:b/>
          <w:color w:val="000000"/>
        </w:rPr>
      </w:pPr>
    </w:p>
    <w:p w14:paraId="09F4039F">
      <w:pPr>
        <w:pStyle w:val="9"/>
        <w:shd w:val="clear" w:color="auto" w:fill="FFFFFF"/>
        <w:spacing w:before="0" w:beforeAutospacing="0" w:after="0" w:afterAutospacing="0" w:line="360" w:lineRule="auto"/>
        <w:ind w:firstLine="482" w:firstLineChars="200"/>
        <w:jc w:val="both"/>
        <w:rPr>
          <w:rFonts w:hint="eastAsia" w:cs="Times New Roman"/>
          <w:b/>
          <w:color w:val="000000"/>
        </w:rPr>
      </w:pPr>
    </w:p>
    <w:p w14:paraId="713BA9A0">
      <w:pPr>
        <w:pStyle w:val="9"/>
        <w:shd w:val="clear" w:color="auto" w:fill="FFFFFF"/>
        <w:spacing w:before="0" w:beforeAutospacing="0" w:after="0" w:afterAutospacing="0" w:line="360" w:lineRule="auto"/>
        <w:ind w:firstLine="482" w:firstLineChars="200"/>
        <w:jc w:val="both"/>
        <w:rPr>
          <w:rFonts w:hint="eastAsia" w:cs="Times New Roman"/>
          <w:b/>
          <w:color w:val="000000"/>
        </w:rPr>
      </w:pPr>
    </w:p>
    <w:p w14:paraId="18E7482D">
      <w:pPr>
        <w:pStyle w:val="9"/>
        <w:shd w:val="clear" w:color="auto" w:fill="FFFFFF"/>
        <w:spacing w:before="0" w:beforeAutospacing="0" w:after="0" w:afterAutospacing="0" w:line="360" w:lineRule="auto"/>
        <w:ind w:firstLine="482" w:firstLineChars="200"/>
        <w:jc w:val="both"/>
        <w:rPr>
          <w:rFonts w:hint="eastAsia" w:cs="Times New Roman"/>
          <w:b/>
          <w:color w:val="000000"/>
        </w:rPr>
      </w:pPr>
    </w:p>
    <w:p w14:paraId="7BC8B34C">
      <w:pPr>
        <w:pStyle w:val="9"/>
        <w:shd w:val="clear" w:color="auto" w:fill="FFFFFF"/>
        <w:spacing w:before="0" w:beforeAutospacing="0" w:after="0" w:afterAutospacing="0" w:line="360" w:lineRule="auto"/>
        <w:ind w:firstLine="482" w:firstLineChars="200"/>
        <w:jc w:val="both"/>
        <w:rPr>
          <w:rFonts w:hint="eastAsia" w:cs="Times New Roman"/>
          <w:b/>
          <w:color w:val="000000"/>
        </w:rPr>
      </w:pPr>
    </w:p>
    <w:p w14:paraId="5D93595A">
      <w:pPr>
        <w:pStyle w:val="9"/>
        <w:shd w:val="clear" w:color="auto" w:fill="FFFFFF"/>
        <w:spacing w:before="0" w:beforeAutospacing="0" w:after="0" w:afterAutospacing="0" w:line="360" w:lineRule="auto"/>
        <w:ind w:firstLine="482" w:firstLineChars="200"/>
        <w:jc w:val="both"/>
        <w:rPr>
          <w:rFonts w:hint="eastAsia" w:cs="Times New Roman"/>
          <w:b/>
          <w:color w:val="000000"/>
        </w:rPr>
      </w:pPr>
    </w:p>
    <w:p w14:paraId="78D7BD84">
      <w:pPr>
        <w:pStyle w:val="9"/>
        <w:shd w:val="clear" w:color="auto" w:fill="FFFFFF"/>
        <w:spacing w:before="0" w:beforeAutospacing="0" w:after="0" w:afterAutospacing="0" w:line="360" w:lineRule="auto"/>
        <w:ind w:firstLine="482" w:firstLineChars="200"/>
        <w:jc w:val="both"/>
        <w:rPr>
          <w:rFonts w:hint="eastAsia" w:cs="Times New Roman"/>
          <w:b/>
          <w:color w:val="000000"/>
        </w:rPr>
      </w:pPr>
    </w:p>
    <w:p w14:paraId="078E5968">
      <w:pPr>
        <w:pStyle w:val="9"/>
        <w:shd w:val="clear" w:color="auto" w:fill="FFFFFF"/>
        <w:spacing w:before="0" w:beforeAutospacing="0" w:after="0" w:afterAutospacing="0" w:line="360" w:lineRule="auto"/>
        <w:ind w:firstLine="482" w:firstLineChars="200"/>
        <w:jc w:val="both"/>
        <w:rPr>
          <w:rFonts w:hint="eastAsia" w:cs="Times New Roman"/>
          <w:b/>
          <w:color w:val="000000"/>
        </w:rPr>
      </w:pPr>
    </w:p>
    <w:p w14:paraId="7B08A659">
      <w:pPr>
        <w:widowControl/>
        <w:adjustRightInd w:val="0"/>
        <w:snapToGrid w:val="0"/>
        <w:spacing w:after="200" w:line="480" w:lineRule="auto"/>
        <w:ind w:right="680"/>
        <w:jc w:val="left"/>
        <w:rPr>
          <w:rFonts w:hint="eastAsia" w:ascii="宋体" w:hAnsi="宋体"/>
          <w:b/>
          <w:bCs/>
          <w:kern w:val="0"/>
          <w:sz w:val="24"/>
          <w:szCs w:val="24"/>
        </w:rPr>
      </w:pPr>
    </w:p>
    <w:p w14:paraId="15E28DAF">
      <w:pPr>
        <w:jc w:val="center"/>
        <w:rPr>
          <w:rFonts w:ascii="黑体" w:hAnsi="黑体" w:eastAsia="黑体" w:cs="黑体"/>
          <w:b/>
          <w:bCs/>
          <w:sz w:val="28"/>
          <w:szCs w:val="28"/>
        </w:rPr>
      </w:pPr>
      <w:r>
        <w:rPr>
          <w:rFonts w:hint="eastAsia" w:ascii="黑体" w:hAnsi="黑体" w:eastAsia="黑体" w:cs="黑体"/>
          <w:b/>
          <w:bCs/>
          <w:sz w:val="28"/>
          <w:szCs w:val="28"/>
        </w:rPr>
        <w:t>红色文化在青少年价值观塑造中的作用调查</w:t>
      </w:r>
    </w:p>
    <w:p w14:paraId="2F623509">
      <w:pPr>
        <w:jc w:val="center"/>
        <w:rPr>
          <w:rFonts w:ascii="黑体" w:hAnsi="黑体" w:eastAsia="黑体" w:cs="黑体"/>
          <w:b/>
          <w:bCs/>
          <w:sz w:val="28"/>
          <w:szCs w:val="28"/>
        </w:rPr>
      </w:pPr>
      <w:r>
        <w:rPr>
          <w:rFonts w:hint="eastAsia" w:ascii="黑体" w:hAnsi="黑体" w:eastAsia="黑体" w:cs="黑体"/>
          <w:b/>
          <w:bCs/>
          <w:sz w:val="28"/>
          <w:szCs w:val="28"/>
        </w:rPr>
        <w:t>——以南京市雨花台烈士陵园参观体验为例</w:t>
      </w:r>
    </w:p>
    <w:p w14:paraId="65997887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 </w:t>
      </w:r>
    </w:p>
    <w:p w14:paraId="4BB1C037">
      <w:pPr>
        <w:rPr>
          <w:rFonts w:ascii="黑体" w:hAnsi="黑体" w:eastAsia="黑体" w:cs="黑体"/>
          <w:b/>
          <w:bCs/>
          <w:sz w:val="24"/>
          <w:szCs w:val="24"/>
        </w:rPr>
      </w:pPr>
      <w:r>
        <w:rPr>
          <w:rFonts w:hint="eastAsia" w:ascii="黑体" w:hAnsi="黑体" w:eastAsia="黑体" w:cs="黑体"/>
          <w:b/>
          <w:bCs/>
          <w:sz w:val="24"/>
          <w:szCs w:val="24"/>
        </w:rPr>
        <w:t>一、调研背景与意义</w:t>
      </w:r>
    </w:p>
    <w:p w14:paraId="7D27CA67">
      <w:pPr>
        <w:rPr>
          <w:rFonts w:hint="eastAsia" w:ascii="宋体" w:hAnsi="宋体" w:cs="宋体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</w:rPr>
        <w:t xml:space="preserve"> </w:t>
      </w:r>
    </w:p>
    <w:p w14:paraId="7A8CDC1B">
      <w:pPr>
        <w:rPr>
          <w:rFonts w:hint="eastAsia" w:ascii="宋体" w:hAnsi="宋体" w:cs="宋体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</w:rPr>
        <w:t>（一）时代背景与政策导向</w:t>
      </w:r>
    </w:p>
    <w:p w14:paraId="08E50068">
      <w:pPr>
        <w:rPr>
          <w:rFonts w:hint="eastAsia" w:ascii="宋体" w:hAnsi="宋体" w:cs="宋体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</w:rPr>
        <w:t xml:space="preserve"> </w:t>
      </w:r>
    </w:p>
    <w:p w14:paraId="544D4E5A">
      <w:pPr>
        <w:ind w:firstLine="480" w:firstLineChars="200"/>
        <w:rPr>
          <w:rFonts w:hint="eastAsia" w:ascii="宋体" w:hAnsi="宋体" w:cs="宋体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</w:rPr>
        <w:t>习近平总书记指出：“红色资源是我们党艰辛而辉煌奋斗历程的见证，是最宝贵的精神财富。”</w:t>
      </w:r>
      <w:bookmarkStart w:id="0" w:name="_GoBack"/>
      <w:bookmarkEnd w:id="0"/>
      <w:r>
        <w:rPr>
          <w:rStyle w:val="8"/>
          <w:rFonts w:hint="eastAsia" w:ascii="宋体" w:hAnsi="宋体" w:cs="宋体"/>
          <w:sz w:val="24"/>
          <w:szCs w:val="24"/>
        </w:rPr>
        <w:t>[</w:t>
      </w:r>
      <w:r>
        <w:rPr>
          <w:rStyle w:val="8"/>
          <w:rFonts w:hint="eastAsia" w:ascii="宋体" w:hAnsi="宋体" w:cs="宋体"/>
          <w:sz w:val="24"/>
          <w:szCs w:val="24"/>
        </w:rPr>
        <w:endnoteReference w:id="0"/>
      </w:r>
      <w:r>
        <w:rPr>
          <w:rStyle w:val="8"/>
          <w:rFonts w:hint="eastAsia" w:ascii="宋体" w:hAnsi="宋体" w:cs="宋体"/>
          <w:sz w:val="24"/>
          <w:szCs w:val="24"/>
        </w:rPr>
        <w:t>]</w:t>
      </w:r>
      <w:r>
        <w:rPr>
          <w:rFonts w:hint="eastAsia" w:ascii="宋体" w:hAnsi="宋体" w:cs="宋体"/>
          <w:sz w:val="24"/>
          <w:szCs w:val="24"/>
        </w:rPr>
        <w:t>在数字技术重塑认知生态的今天，红色文化作为中国共产党在革命、建设和改革进程中凝练的精神标识，承载着爱国主义、集体主义、艰苦奋斗等核心价值理念，成为新时代青少年价值观培育的重要精神坐标。党的二十大报告明确提出“用好红色资源，弘扬革命文化，传承红色基因”，为青少年思想政治教育锚定了行动方向</w:t>
      </w:r>
      <w:r>
        <w:rPr>
          <w:rFonts w:hint="eastAsia" w:ascii="宋体" w:hAnsi="宋体" w:cs="宋体"/>
          <w:sz w:val="24"/>
          <w:szCs w:val="24"/>
          <w:lang w:eastAsia="zh"/>
        </w:rPr>
        <w:t>。</w:t>
      </w:r>
      <w:r>
        <w:rPr>
          <w:rFonts w:hint="eastAsia" w:ascii="宋体" w:hAnsi="宋体" w:cs="宋体"/>
          <w:sz w:val="24"/>
          <w:szCs w:val="24"/>
        </w:rPr>
        <w:t>雨花台烈士陵园作为承载革命记忆的重要</w:t>
      </w:r>
      <w:r>
        <w:rPr>
          <w:rFonts w:hint="eastAsia" w:ascii="宋体" w:hAnsi="宋体" w:cs="宋体"/>
          <w:sz w:val="24"/>
          <w:szCs w:val="24"/>
          <w:lang w:eastAsia="zh"/>
        </w:rPr>
        <w:t>地点</w:t>
      </w:r>
      <w:r>
        <w:rPr>
          <w:rFonts w:hint="eastAsia" w:ascii="宋体" w:hAnsi="宋体" w:cs="宋体"/>
          <w:sz w:val="24"/>
          <w:szCs w:val="24"/>
        </w:rPr>
        <w:t>，其教育实践正成为解码红色文化当代价值的关键切口。</w:t>
      </w:r>
    </w:p>
    <w:p w14:paraId="34C3B1DB">
      <w:pPr>
        <w:rPr>
          <w:rFonts w:hint="eastAsia" w:ascii="宋体" w:hAnsi="宋体" w:cs="宋体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</w:rPr>
        <w:t xml:space="preserve"> </w:t>
      </w:r>
    </w:p>
    <w:p w14:paraId="528AEC42">
      <w:pPr>
        <w:rPr>
          <w:rFonts w:hint="eastAsia" w:ascii="宋体" w:hAnsi="宋体" w:cs="宋体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</w:rPr>
        <w:t>（二）青少年价值观塑造的现实需求</w:t>
      </w:r>
    </w:p>
    <w:p w14:paraId="369687AE">
      <w:pPr>
        <w:rPr>
          <w:rFonts w:hint="eastAsia" w:ascii="宋体" w:hAnsi="宋体" w:cs="宋体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</w:rPr>
        <w:t xml:space="preserve"> </w:t>
      </w:r>
    </w:p>
    <w:p w14:paraId="47DFE0AC">
      <w:pPr>
        <w:ind w:firstLine="480" w:firstLineChars="200"/>
        <w:rPr>
          <w:rFonts w:hint="eastAsia" w:ascii="宋体" w:hAnsi="宋体" w:cs="宋体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</w:rPr>
        <w:t>在社交媒体深度嵌入生活的当下，青少年群体正经历着价值观念的多元碰撞：从西方个人主义思潮的隐性渗透到消费主义对意义世界的符号解构，历史虚无主义的暗流正试图消解红色记忆的精神根基</w:t>
      </w:r>
      <w:r>
        <w:rPr>
          <w:rFonts w:hint="eastAsia" w:ascii="宋体" w:hAnsi="宋体" w:cs="宋体"/>
          <w:sz w:val="24"/>
          <w:szCs w:val="24"/>
          <w:lang w:eastAsia="zh"/>
        </w:rPr>
        <w:t>。</w:t>
      </w:r>
      <w:r>
        <w:rPr>
          <w:rStyle w:val="8"/>
          <w:rFonts w:hint="eastAsia" w:ascii="宋体" w:hAnsi="宋体" w:cs="宋体"/>
          <w:sz w:val="24"/>
          <w:szCs w:val="24"/>
        </w:rPr>
        <w:t>[</w:t>
      </w:r>
      <w:r>
        <w:rPr>
          <w:rStyle w:val="8"/>
          <w:rFonts w:hint="eastAsia" w:ascii="宋体" w:hAnsi="宋体" w:cs="宋体"/>
          <w:sz w:val="24"/>
          <w:szCs w:val="24"/>
        </w:rPr>
        <w:endnoteReference w:id="1"/>
      </w:r>
      <w:r>
        <w:rPr>
          <w:rStyle w:val="8"/>
          <w:rFonts w:hint="eastAsia" w:ascii="宋体" w:hAnsi="宋体" w:cs="宋体"/>
          <w:sz w:val="24"/>
          <w:szCs w:val="24"/>
        </w:rPr>
        <w:t>]</w:t>
      </w:r>
      <w:r>
        <w:rPr>
          <w:rFonts w:hint="eastAsia" w:ascii="宋体" w:hAnsi="宋体" w:cs="宋体"/>
          <w:sz w:val="24"/>
          <w:szCs w:val="24"/>
        </w:rPr>
        <w:t>调研发现，部分青少年存在历史认知碎片化、责任意识淡薄、价值取向功利化等问题。而红色文化以其独特的历史在场性与精神感染力，恰似一剂“精神钙片”，为青少年构筑起抵御不良思潮的思想防线。</w:t>
      </w:r>
    </w:p>
    <w:p w14:paraId="72BB04BE">
      <w:pPr>
        <w:rPr>
          <w:rFonts w:hint="eastAsia" w:ascii="宋体" w:hAnsi="宋体" w:cs="宋体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</w:rPr>
        <w:t xml:space="preserve">  </w:t>
      </w:r>
    </w:p>
    <w:p w14:paraId="0BB1DA33">
      <w:pPr>
        <w:rPr>
          <w:rFonts w:ascii="黑体" w:hAnsi="黑体" w:eastAsia="黑体" w:cs="黑体"/>
          <w:b/>
          <w:bCs/>
          <w:sz w:val="24"/>
          <w:szCs w:val="24"/>
        </w:rPr>
      </w:pPr>
      <w:r>
        <w:rPr>
          <w:rFonts w:hint="eastAsia" w:ascii="黑体" w:hAnsi="黑体" w:eastAsia="黑体" w:cs="黑体"/>
          <w:b/>
          <w:bCs/>
          <w:sz w:val="24"/>
          <w:szCs w:val="24"/>
        </w:rPr>
        <w:t>二、青少年红色文化认知与价值观现状分析</w:t>
      </w:r>
    </w:p>
    <w:p w14:paraId="410C7CAB">
      <w:pPr>
        <w:rPr>
          <w:rFonts w:ascii="黑体" w:hAnsi="黑体" w:eastAsia="黑体" w:cs="黑体"/>
          <w:b/>
          <w:bCs/>
          <w:sz w:val="24"/>
          <w:szCs w:val="24"/>
        </w:rPr>
      </w:pPr>
      <w:r>
        <w:rPr>
          <w:rFonts w:hint="eastAsia" w:ascii="黑体" w:hAnsi="黑体" w:eastAsia="黑体" w:cs="黑体"/>
          <w:b/>
          <w:bCs/>
          <w:sz w:val="24"/>
          <w:szCs w:val="24"/>
        </w:rPr>
        <w:t xml:space="preserve"> </w:t>
      </w:r>
    </w:p>
    <w:p w14:paraId="1717710F">
      <w:pPr>
        <w:rPr>
          <w:rFonts w:hint="eastAsia" w:ascii="宋体" w:hAnsi="宋体" w:cs="宋体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</w:rPr>
        <w:t>（一）参观前：认知的“碎片化”与“符号化”困境</w:t>
      </w:r>
    </w:p>
    <w:p w14:paraId="7959041E">
      <w:pPr>
        <w:rPr>
          <w:rFonts w:hint="eastAsia" w:ascii="宋体" w:hAnsi="宋体" w:cs="宋体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</w:rPr>
        <w:t xml:space="preserve"> </w:t>
      </w:r>
    </w:p>
    <w:p w14:paraId="66FFF186">
      <w:pPr>
        <w:ind w:firstLine="480" w:firstLineChars="200"/>
        <w:rPr>
          <w:rFonts w:hint="eastAsia" w:ascii="宋体" w:hAnsi="宋体" w:cs="宋体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</w:rPr>
        <w:t>问卷数据揭示出青少年红色文化认知的结构性偏差：当被问及“说出三位雨花英烈姓名”时，仅有23.7%的青少年能完整列举恽代英、邓中夏等先烈，超六成学生将红色文化简化为“课本里的战争故事”。这种认知局限呈现两大特征：</w:t>
      </w:r>
    </w:p>
    <w:p w14:paraId="03E1A0FD">
      <w:pPr>
        <w:ind w:firstLine="480" w:firstLineChars="200"/>
        <w:rPr>
          <w:rFonts w:hint="eastAsia" w:ascii="宋体" w:hAnsi="宋体" w:cs="宋体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</w:rPr>
        <w:t xml:space="preserve"> </w:t>
      </w:r>
    </w:p>
    <w:p w14:paraId="01E9AE54">
      <w:pPr>
        <w:ind w:firstLine="480" w:firstLineChars="200"/>
        <w:rPr>
          <w:rFonts w:hint="eastAsia" w:ascii="宋体" w:hAnsi="宋体" w:cs="宋体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</w:rPr>
        <w:t>信息来源的单一化依赖：72.3%的信息摄取源于学校课本，仅15.6%通过长辈讲述或自主阅读红色书籍获取，导致对红色文化的理解停留在“知识点”层面，缺乏立体的历史情境建构。</w:t>
      </w:r>
    </w:p>
    <w:p w14:paraId="7CD18AA1">
      <w:pPr>
        <w:ind w:firstLine="480" w:firstLineChars="200"/>
        <w:rPr>
          <w:rFonts w:hint="eastAsia" w:ascii="宋体" w:hAnsi="宋体" w:cs="宋体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</w:rPr>
        <w:t>情感连接的代际断层：仅31.2%的青少年表示“对红色文化感兴趣”，部分学生直言“红色故事像‘博物馆里的老照片’，与现实生活存在时空隔膜”，暴露出历史叙事与青少年生活经验的断裂。</w:t>
      </w:r>
    </w:p>
    <w:p w14:paraId="0DC03296">
      <w:pPr>
        <w:rPr>
          <w:rFonts w:hint="eastAsia" w:ascii="宋体" w:hAnsi="宋体" w:cs="宋体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</w:rPr>
        <w:t xml:space="preserve"> </w:t>
      </w:r>
    </w:p>
    <w:p w14:paraId="216164DC">
      <w:pPr>
        <w:rPr>
          <w:rFonts w:hint="eastAsia" w:ascii="宋体" w:hAnsi="宋体" w:cs="宋体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</w:rPr>
        <w:t>（二）参观后：认知与情感的“立体化”跃迁</w:t>
      </w:r>
    </w:p>
    <w:p w14:paraId="30670086">
      <w:pPr>
        <w:rPr>
          <w:rFonts w:hint="eastAsia" w:ascii="宋体" w:hAnsi="宋体" w:cs="宋体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</w:rPr>
        <w:t xml:space="preserve"> </w:t>
      </w:r>
    </w:p>
    <w:p w14:paraId="7A8BDBC9">
      <w:pPr>
        <w:ind w:firstLine="480" w:firstLineChars="200"/>
        <w:rPr>
          <w:rFonts w:hint="eastAsia" w:ascii="宋体" w:hAnsi="宋体" w:cs="宋体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</w:rPr>
        <w:t>实地调研显示，烈士陵园的现场教育成为价值观塑造的关键转折点，具体表现为三重维度的提升：</w:t>
      </w:r>
    </w:p>
    <w:p w14:paraId="627B9651">
      <w:pPr>
        <w:ind w:firstLine="480" w:firstLineChars="200"/>
        <w:rPr>
          <w:rFonts w:hint="eastAsia" w:ascii="宋体" w:hAnsi="宋体" w:cs="宋体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</w:rPr>
        <w:t xml:space="preserve"> </w:t>
      </w:r>
    </w:p>
    <w:p w14:paraId="3A429BA2">
      <w:pPr>
        <w:ind w:firstLine="480" w:firstLineChars="200"/>
        <w:rPr>
          <w:rFonts w:hint="eastAsia" w:ascii="宋体" w:hAnsi="宋体" w:cs="宋体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</w:rPr>
        <w:t>92.4%的学生坦言“第一次触摸到革命先烈的真实人生”——恽代英随身携带的笔记本上，密密麻麻记录着马克思主义学习心得；丁香烈士的结婚照定格了22岁的青春容颜，却在次年为革命献出生命；史砚芬写给弟妹的遗书里，“我们临死以前的话，不是悲叹，而是革命的凯歌”的字迹依然清晰。某高中生在访谈中感慨：“看到烈士牺牲时平均年龄只有29岁，比我哥哥还小，突然明白‘青春’可以与‘理想’‘牺牲’如此紧密地交织。”</w:t>
      </w:r>
    </w:p>
    <w:p w14:paraId="28597982">
      <w:pPr>
        <w:ind w:firstLine="480" w:firstLineChars="200"/>
        <w:rPr>
          <w:rFonts w:hint="eastAsia" w:ascii="宋体" w:hAnsi="宋体" w:cs="宋体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</w:rPr>
        <w:t>参观后，85.7%的学生表示“爱国情感有了更灼热的温度”，76.3%主动关注红色文化公众号或阅读相关书籍。陵园内的“献花仪式”“集体宣誓”等仪式化活动成为情感升华的催化剂——90%的学生认为“当手捧白菊走向纪念碑时，历史不再是课本上的铅字，而是融入血脉的精神传承”。这种具身化的情感体验，打破了传统课堂的抽象说教，建立起“历史人物—现实自我”的情感纽带。</w:t>
      </w:r>
    </w:p>
    <w:p w14:paraId="0B973A09">
      <w:pPr>
        <w:ind w:firstLine="480" w:firstLineChars="200"/>
        <w:rPr>
          <w:rFonts w:hint="eastAsia" w:ascii="宋体" w:hAnsi="宋体" w:cs="宋体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</w:rPr>
        <w:t>在“参观后对自己影响最大的方面”一题中，45.2%选择“更重视集体利益”，32.8%关注“奋斗的意义”。某校学生在研学日记中写道：“恽代英放弃优渥家境，在狱中仍坚持翻译《英特纳雄耐尔》；冷少农写给儿子的信中说‘个人利益是暂时的，民族和大众的利益才是永久的’。他们让我重新思考‘幸福’的定义——真正的价值不在于物质享受，而在于为他人和社会照亮前路。”</w:t>
      </w:r>
    </w:p>
    <w:p w14:paraId="439A1B86">
      <w:pPr>
        <w:rPr>
          <w:rFonts w:hint="eastAsia" w:ascii="宋体" w:hAnsi="宋体" w:cs="宋体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</w:rPr>
        <w:t xml:space="preserve"> </w:t>
      </w:r>
    </w:p>
    <w:p w14:paraId="0A1EBCA0">
      <w:pPr>
        <w:rPr>
          <w:rFonts w:ascii="黑体" w:hAnsi="黑体" w:eastAsia="黑体" w:cs="黑体"/>
          <w:b/>
          <w:bCs/>
          <w:sz w:val="24"/>
          <w:szCs w:val="24"/>
        </w:rPr>
      </w:pPr>
      <w:r>
        <w:rPr>
          <w:rFonts w:hint="eastAsia" w:ascii="黑体" w:hAnsi="黑体" w:eastAsia="黑体" w:cs="黑体"/>
          <w:b/>
          <w:bCs/>
          <w:sz w:val="24"/>
          <w:szCs w:val="24"/>
        </w:rPr>
        <w:t>三、教育形式的有效性解构：从单向传递到多维互动</w:t>
      </w:r>
    </w:p>
    <w:p w14:paraId="5836EA8A">
      <w:pPr>
        <w:rPr>
          <w:rFonts w:hint="eastAsia" w:ascii="宋体" w:hAnsi="宋体" w:cs="宋体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</w:rPr>
        <w:t xml:space="preserve"> </w:t>
      </w:r>
    </w:p>
    <w:p w14:paraId="4DD0949C">
      <w:pPr>
        <w:ind w:firstLine="480" w:firstLineChars="200"/>
        <w:rPr>
          <w:rFonts w:hint="eastAsia" w:ascii="宋体" w:hAnsi="宋体" w:cs="宋体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</w:rPr>
        <w:t>雨花台烈士陵园构建的“场景营造+多元载体”教育体系，在实践中呈现出不同的效能维度，也暴露出亟待优化的现实问题。</w:t>
      </w:r>
    </w:p>
    <w:p w14:paraId="55E214C3">
      <w:pPr>
        <w:ind w:firstLine="480" w:firstLineChars="200"/>
        <w:rPr>
          <w:rFonts w:hint="eastAsia" w:ascii="宋体" w:hAnsi="宋体" w:cs="宋体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</w:rPr>
        <w:t xml:space="preserve"> </w:t>
      </w:r>
    </w:p>
    <w:p w14:paraId="5D4372DA">
      <w:pPr>
        <w:rPr>
          <w:rFonts w:hint="eastAsia" w:ascii="宋体" w:hAnsi="宋体" w:cs="宋体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</w:rPr>
        <w:t>（一）现有教育形式的效能分析</w:t>
      </w:r>
    </w:p>
    <w:p w14:paraId="7F99F241">
      <w:pPr>
        <w:rPr>
          <w:rFonts w:hint="eastAsia" w:ascii="宋体" w:hAnsi="宋体" w:cs="宋体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</w:rPr>
        <w:t xml:space="preserve"> </w:t>
      </w:r>
    </w:p>
    <w:p w14:paraId="4FEF9861">
      <w:pPr>
        <w:ind w:firstLine="480" w:firstLineChars="200"/>
        <w:rPr>
          <w:rFonts w:hint="eastAsia" w:ascii="宋体" w:hAnsi="宋体" w:cs="宋体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</w:rPr>
        <w:t>常规讲解以“时间线+人物事迹”为脉络，讲解员通过还原烈士生平与革命事件，帮助78.6%的学生“理清了历史脉络”。然而，43.2%的学生指出“讲解偏重史实罗列，如流水账般缺乏情感张力”，尤其对“烈士精神如何回应当代青年困惑”语焉不详，导致历史认知停留在“知其然”而非“知其所以然”的层面。</w:t>
      </w:r>
    </w:p>
    <w:p w14:paraId="35B5A951">
      <w:pPr>
        <w:ind w:firstLine="480" w:firstLineChars="200"/>
        <w:rPr>
          <w:rFonts w:hint="eastAsia" w:ascii="宋体" w:hAnsi="宋体" w:cs="宋体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</w:rPr>
        <w:t>情景党课《最后的家书》中，演员化身烈士朗读狱中书信，泪光在观众席间传递；沉浸式演出《雨花台》利用光影技术重现刑场场景，枪声与呐喊声交织，让91.3%的学生“仿佛置身历史现场”。这种多感官调动的叙事方式，将抽象的“信仰”转化为可感知的“疼痛与热血”，实现了从“旁观者”到“亲历者”的情感角色转换。</w:t>
      </w:r>
    </w:p>
    <w:p w14:paraId="152D475E">
      <w:pPr>
        <w:ind w:firstLine="480" w:firstLineChars="200"/>
        <w:rPr>
          <w:rFonts w:hint="eastAsia" w:ascii="宋体" w:hAnsi="宋体" w:cs="宋体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</w:rPr>
        <w:t>“为烈士描碑文”活动中，某初中学生因用力过猛划破手指，却坚持完成描红：“笔尖划过碑刻的触感，让我突然懂了‘刻进历史’的分量。”数据显示，参与过互动项目的学生中，82.7%表示“更愿意主动传播红色文化”。这种“认知—情感—行动”的闭环建构，印证了实践哲学的核心观点：价值认同唯有通过具身参与，才能真正内化为精神自觉。</w:t>
      </w:r>
    </w:p>
    <w:p w14:paraId="0517AACF">
      <w:pPr>
        <w:rPr>
          <w:rFonts w:hint="eastAsia" w:ascii="宋体" w:hAnsi="宋体" w:cs="宋体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</w:rPr>
        <w:t xml:space="preserve"> </w:t>
      </w:r>
    </w:p>
    <w:p w14:paraId="78006983">
      <w:pPr>
        <w:rPr>
          <w:rFonts w:hint="eastAsia" w:ascii="宋体" w:hAnsi="宋体" w:cs="宋体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</w:rPr>
        <w:t>（二）现存问题的深层检视</w:t>
      </w:r>
    </w:p>
    <w:p w14:paraId="42DCCE23">
      <w:pPr>
        <w:rPr>
          <w:rFonts w:hint="eastAsia" w:ascii="宋体" w:hAnsi="宋体" w:cs="宋体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</w:rPr>
        <w:t xml:space="preserve"> </w:t>
      </w:r>
    </w:p>
    <w:p w14:paraId="2BDCDED2">
      <w:pPr>
        <w:ind w:firstLine="480" w:firstLineChars="200"/>
        <w:rPr>
          <w:rFonts w:hint="eastAsia" w:ascii="宋体" w:hAnsi="宋体" w:cs="宋体"/>
          <w:sz w:val="24"/>
          <w:szCs w:val="24"/>
          <w:lang w:eastAsia="zh"/>
        </w:rPr>
      </w:pPr>
      <w:r>
        <w:rPr>
          <w:rFonts w:hint="eastAsia" w:ascii="宋体" w:hAnsi="宋体" w:cs="宋体"/>
          <w:sz w:val="24"/>
          <w:szCs w:val="24"/>
        </w:rPr>
        <w:t>初中、高中、大学生的认知水平与兴趣点存在显著差异，却面临同质化的教育内容：初中生抱怨“讲解中的历史术语像听天书”，大学生则认为“缺乏对马克思主义中国化早期实践的理论深挖”，暴露出教育设计对皮亚杰认知发展理论的忽视——未将内容划分为适合具体运算阶段的具象感知、形式运算阶段的抽象思维、后形式运算阶段的理论建构三层体系。</w:t>
      </w:r>
      <w:r>
        <w:rPr>
          <w:rStyle w:val="8"/>
          <w:rFonts w:hint="eastAsia" w:ascii="宋体" w:hAnsi="宋体" w:cs="宋体"/>
          <w:sz w:val="24"/>
          <w:szCs w:val="24"/>
          <w:lang w:eastAsia="zh"/>
        </w:rPr>
        <w:t>[</w:t>
      </w:r>
      <w:r>
        <w:rPr>
          <w:rStyle w:val="8"/>
          <w:rFonts w:hint="eastAsia" w:ascii="宋体" w:hAnsi="宋体" w:cs="宋体"/>
          <w:sz w:val="24"/>
          <w:szCs w:val="24"/>
          <w:lang w:eastAsia="zh"/>
        </w:rPr>
        <w:endnoteReference w:id="2"/>
      </w:r>
      <w:r>
        <w:rPr>
          <w:rStyle w:val="8"/>
          <w:rFonts w:hint="eastAsia" w:ascii="宋体" w:hAnsi="宋体" w:cs="宋体"/>
          <w:sz w:val="24"/>
          <w:szCs w:val="24"/>
          <w:lang w:eastAsia="zh"/>
        </w:rPr>
        <w:t>]</w:t>
      </w:r>
    </w:p>
    <w:p w14:paraId="535CEA6A">
      <w:pPr>
        <w:ind w:firstLine="480" w:firstLineChars="200"/>
        <w:rPr>
          <w:rFonts w:hint="eastAsia" w:ascii="宋体" w:hAnsi="宋体" w:cs="宋体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</w:rPr>
        <w:t>70%的学生仅参观过1-2次红色基地，学校组织的活动多为“一次性打卡”，缺乏后续跟进。某德育教师坦言：“参观时学生深受触动，回校后若不通过主题班会、社会实践持续强化，感动很快就会褪色。”这种“热在一时、冷在长期”的现象，凸显了“体验—内化—践行”链条的断裂。</w:t>
      </w:r>
    </w:p>
    <w:p w14:paraId="2E99D354">
      <w:pPr>
        <w:ind w:firstLine="480" w:firstLineChars="200"/>
        <w:rPr>
          <w:rFonts w:hint="eastAsia" w:ascii="宋体" w:hAnsi="宋体" w:cs="宋体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</w:rPr>
        <w:t>尽管陵园推出VR展厅、线上讲解等产品，但仅有21.5%的学生使用过。从传播学“使用与满足”理论视角分析，Z世代对媒介的需求已从单向信息获取转向社交互动，而现有数字化产品局限于“线上浏览”，缺乏UGC（用户生成内容）功能——例如，无法让青少年在虚拟空间为烈士“留言”“点赞”，难以激活其作为“数字原住民”的参与热情。</w:t>
      </w:r>
    </w:p>
    <w:p w14:paraId="5E4D09CB">
      <w:pPr>
        <w:rPr>
          <w:rFonts w:hint="eastAsia" w:ascii="宋体" w:hAnsi="宋体" w:cs="宋体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</w:rPr>
        <w:t xml:space="preserve"> </w:t>
      </w:r>
    </w:p>
    <w:p w14:paraId="4C7D8723">
      <w:pPr>
        <w:rPr>
          <w:rFonts w:ascii="黑体" w:hAnsi="黑体" w:eastAsia="黑体" w:cs="黑体"/>
          <w:b/>
          <w:bCs/>
          <w:sz w:val="24"/>
          <w:szCs w:val="24"/>
        </w:rPr>
      </w:pPr>
      <w:r>
        <w:rPr>
          <w:rFonts w:hint="eastAsia" w:ascii="黑体" w:hAnsi="黑体" w:eastAsia="黑体" w:cs="黑体"/>
          <w:b/>
          <w:bCs/>
          <w:sz w:val="24"/>
          <w:szCs w:val="24"/>
        </w:rPr>
        <w:t>四、红色文化赋能青少年价值观塑造的优化路径</w:t>
      </w:r>
    </w:p>
    <w:p w14:paraId="06B6341E">
      <w:pPr>
        <w:rPr>
          <w:rFonts w:hint="eastAsia" w:ascii="宋体" w:hAnsi="宋体" w:cs="宋体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</w:rPr>
        <w:t xml:space="preserve"> </w:t>
      </w:r>
    </w:p>
    <w:p w14:paraId="16FA13AE">
      <w:pPr>
        <w:rPr>
          <w:rFonts w:hint="eastAsia" w:ascii="宋体" w:hAnsi="宋体" w:cs="宋体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</w:rPr>
        <w:t>（一）构建差异化教育体系，对接认知发展规律</w:t>
      </w:r>
    </w:p>
    <w:p w14:paraId="12D1B735">
      <w:pPr>
        <w:rPr>
          <w:rFonts w:hint="eastAsia" w:ascii="宋体" w:hAnsi="宋体" w:cs="宋体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</w:rPr>
        <w:t xml:space="preserve"> </w:t>
      </w:r>
    </w:p>
    <w:p w14:paraId="126E1A30">
      <w:pPr>
        <w:ind w:firstLine="480" w:firstLineChars="200"/>
        <w:rPr>
          <w:rFonts w:hint="eastAsia" w:ascii="宋体" w:hAnsi="宋体" w:cs="宋体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</w:rPr>
        <w:t>开发动画短片《少年恽代英的求学日记》，通过漫画手册呈现烈士青年时期的困惑与选择；组织“烈士书信配音秀”，让学生为史砚芬、冷少农的家书配音，在声音模仿中感受革命情怀。这种“故事化+体验化”的设计，帮助处于具体运算阶段的初中生建立直观的情感连接。</w:t>
      </w:r>
    </w:p>
    <w:p w14:paraId="24EF642D">
      <w:pPr>
        <w:ind w:firstLine="480" w:firstLineChars="200"/>
        <w:rPr>
          <w:rFonts w:hint="eastAsia" w:ascii="宋体" w:hAnsi="宋体" w:cs="宋体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</w:rPr>
        <w:t>开展“假如我是雨花英烈”辩论会，设置“当理想与现实冲突时，该如何选择？”“个人价值与国家责任如何平衡？”等辩题；组织“烈士遗物解码”工作坊，让学生通过分析恽代英的笔记本、丁香的结婚照，撰写“文物背后的信仰”小论文，引导处于形式运算阶段的高中生进行抽象逻辑推理。</w:t>
      </w:r>
    </w:p>
    <w:p w14:paraId="0EE2E9CB">
      <w:pPr>
        <w:ind w:firstLine="480" w:firstLineChars="200"/>
        <w:rPr>
          <w:rFonts w:hint="eastAsia" w:ascii="宋体" w:hAnsi="宋体" w:cs="宋体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</w:rPr>
        <w:t>开设“马克思主义在中国的早期传播——雨花英烈的信仰之源”专题讲座，结合《实践论》《矛盾论》解析烈士思想；组织“红色文化与当代社会”调研，让学生探究恽代英关于青年成长的论述（“青年最要紧的精神，是要与命运奋斗”）如何回应“躺平”“内卷”等现实议题，满足其理论建构与批判思考的需求。</w:t>
      </w:r>
    </w:p>
    <w:p w14:paraId="322FC340">
      <w:pPr>
        <w:rPr>
          <w:rFonts w:hint="eastAsia" w:ascii="宋体" w:hAnsi="宋体" w:cs="宋体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</w:rPr>
        <w:t xml:space="preserve"> </w:t>
      </w:r>
    </w:p>
    <w:p w14:paraId="6D62320F">
      <w:pPr>
        <w:rPr>
          <w:rFonts w:hint="eastAsia" w:ascii="宋体" w:hAnsi="宋体" w:cs="宋体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</w:rPr>
        <w:t>（二）创新教育载体，构建“体验—内化—践行”长效机制</w:t>
      </w:r>
    </w:p>
    <w:p w14:paraId="6B27520C">
      <w:pPr>
        <w:rPr>
          <w:rFonts w:hint="eastAsia" w:ascii="宋体" w:hAnsi="宋体" w:cs="宋体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</w:rPr>
        <w:t xml:space="preserve"> </w:t>
      </w:r>
    </w:p>
    <w:p w14:paraId="5E838613">
      <w:pPr>
        <w:ind w:firstLine="480" w:firstLineChars="200"/>
        <w:rPr>
          <w:rFonts w:hint="eastAsia" w:ascii="宋体" w:hAnsi="宋体" w:cs="宋体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</w:rPr>
        <w:t>开发“红色剧本杀”《雨花密信》，学生扮演不同角色传递情报，在解密过程中理解革命年代的信息战智慧；组织“重走烈士之路”徒步活动，沿着恽代英被捕前的活动路线，邀请党史专家现场解读“城市地下斗争的战略意义”。同时，推动学校与陵园共建校本课程，如“烈士书信中的家国情怀”写作课、“红色文物修复”劳动实践课，将单次参观转化为贯穿学期的教育项目。</w:t>
      </w:r>
    </w:p>
    <w:p w14:paraId="76BB8082">
      <w:pPr>
        <w:ind w:firstLine="480" w:firstLineChars="200"/>
        <w:rPr>
          <w:rFonts w:hint="eastAsia" w:ascii="宋体" w:hAnsi="宋体" w:cs="宋体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</w:rPr>
        <w:t>搭建“红色元宇宙”平台，允许学生创建虚拟形象参观陵园，与“数字烈士”进行问答互动——例如，向“数字恽代英”提问“当代青年如何克服焦虑”；制作“雨花英烈朋友圈”系列短视频，虚构先烈使用社交媒体的场景（如“恽代英发朋友圈分享《共产主义ABC》阅读心得”），用年轻化语言重构历史叙事。发起“红色打卡挑战”“我为烈士写回信”等线上活动，借助抖音、B站的裂变传播，让红色文化从“严肃说教”变为“社交货币”。</w:t>
      </w:r>
    </w:p>
    <w:p w14:paraId="123DF3DD">
      <w:pPr>
        <w:rPr>
          <w:rFonts w:hint="eastAsia" w:ascii="宋体" w:hAnsi="宋体" w:cs="宋体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</w:rPr>
        <w:t xml:space="preserve"> </w:t>
      </w:r>
    </w:p>
    <w:p w14:paraId="6DC129D8">
      <w:pPr>
        <w:rPr>
          <w:rFonts w:hint="eastAsia" w:ascii="宋体" w:hAnsi="宋体" w:cs="宋体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</w:rPr>
        <w:t>（三）链接现实议题，实现红色价值的当代转化</w:t>
      </w:r>
    </w:p>
    <w:p w14:paraId="266F2507">
      <w:pPr>
        <w:rPr>
          <w:rFonts w:hint="eastAsia" w:ascii="宋体" w:hAnsi="宋体" w:cs="宋体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</w:rPr>
        <w:t xml:space="preserve"> </w:t>
      </w:r>
    </w:p>
    <w:p w14:paraId="10EC4434">
      <w:pPr>
        <w:ind w:firstLine="480" w:firstLineChars="200"/>
        <w:rPr>
          <w:rFonts w:hint="eastAsia" w:ascii="宋体" w:hAnsi="宋体" w:cs="宋体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</w:rPr>
        <w:t>在讲解中建立“历史—现实”对话：讲述恽代英批判“读书做官论”的观点时，联系当下“职业选择与人生意义”的讨论；解读烈士对“公平正义”的追求时，结合共同富裕政策与社会治理创新，让青少年意识到“先烈的理想正在当代中国的实践中延续”。</w:t>
      </w:r>
    </w:p>
    <w:p w14:paraId="53013D61">
      <w:pPr>
        <w:ind w:firstLine="480" w:firstLineChars="200"/>
        <w:rPr>
          <w:rFonts w:hint="eastAsia" w:ascii="宋体" w:hAnsi="宋体" w:cs="宋体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</w:rPr>
        <w:t>开展“新时代雨花传人”评选，表彰在志愿服务、科技创新、乡村振兴等领域践行红色精神的青少年典型——如坚持为社区老人义务讲解红色故事的中学生、投身公益创业帮助留守儿童的大学生。通过“身边人讲身边事”，让红色价值从“历史人物”转化为“可模仿、可追赶”的现实标杆。</w:t>
      </w:r>
    </w:p>
    <w:p w14:paraId="719C9ECF">
      <w:pPr>
        <w:rPr>
          <w:rFonts w:hint="eastAsia" w:ascii="宋体" w:hAnsi="宋体" w:cs="宋体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</w:rPr>
        <w:t xml:space="preserve"> </w:t>
      </w:r>
    </w:p>
    <w:p w14:paraId="20854C9C">
      <w:pPr>
        <w:rPr>
          <w:rFonts w:ascii="黑体" w:hAnsi="黑体" w:eastAsia="黑体" w:cs="黑体"/>
          <w:b/>
          <w:bCs/>
          <w:sz w:val="24"/>
          <w:szCs w:val="24"/>
        </w:rPr>
      </w:pPr>
      <w:r>
        <w:rPr>
          <w:rFonts w:hint="eastAsia" w:ascii="黑体" w:hAnsi="黑体" w:eastAsia="黑体" w:cs="黑体"/>
          <w:b/>
          <w:bCs/>
          <w:sz w:val="24"/>
          <w:szCs w:val="24"/>
        </w:rPr>
        <w:t>五、结论与展望</w:t>
      </w:r>
    </w:p>
    <w:p w14:paraId="34D8B53E">
      <w:pPr>
        <w:rPr>
          <w:rFonts w:hint="eastAsia" w:ascii="宋体" w:hAnsi="宋体" w:cs="宋体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</w:rPr>
        <w:t xml:space="preserve"> </w:t>
      </w:r>
    </w:p>
    <w:p w14:paraId="78ADEAAE">
      <w:pPr>
        <w:rPr>
          <w:rFonts w:hint="eastAsia" w:ascii="宋体" w:hAnsi="宋体" w:cs="宋体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</w:rPr>
        <w:t>（一）核心结论</w:t>
      </w:r>
    </w:p>
    <w:p w14:paraId="43110946">
      <w:pPr>
        <w:spacing w:line="120" w:lineRule="auto"/>
        <w:ind w:firstLine="480" w:firstLineChars="200"/>
        <w:rPr>
          <w:rFonts w:hint="eastAsia" w:ascii="宋体" w:hAnsi="宋体" w:cs="宋体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</w:rPr>
        <w:t xml:space="preserve"> </w:t>
      </w:r>
    </w:p>
    <w:p w14:paraId="7F9DAA34">
      <w:pPr>
        <w:spacing w:line="120" w:lineRule="auto"/>
        <w:ind w:firstLine="480" w:firstLineChars="200"/>
        <w:jc w:val="left"/>
        <w:rPr>
          <w:rFonts w:hint="eastAsia" w:ascii="宋体" w:hAnsi="宋体" w:cs="宋体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</w:rPr>
        <w:t>雨花台烈士陵园的实践表明，通过具象化的历史场景、仪式化的情感体验、参与式的价值践行，红色文化能有效提升青少年的历史认同、爱国情感和责任意识，弥补课堂教学中“去情境化”教育的不足。</w:t>
      </w:r>
    </w:p>
    <w:p w14:paraId="5E977CAF">
      <w:pPr>
        <w:spacing w:line="120" w:lineRule="auto"/>
        <w:ind w:firstLine="480" w:firstLineChars="200"/>
        <w:rPr>
          <w:rFonts w:hint="eastAsia" w:ascii="宋体" w:hAnsi="宋体" w:cs="宋体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</w:rPr>
        <w:t>从“单向灌输”到“多维互动”、从“物理参观”到“精神共鸣”，红色教育的效能提升依赖于对青少年认知规律、媒介习惯、价值困惑的深度把握，唯有打破传统叙事框架，才能实现“入脑”到“入心”的跨越。</w:t>
      </w:r>
    </w:p>
    <w:p w14:paraId="74971FB6">
      <w:pPr>
        <w:spacing w:line="120" w:lineRule="auto"/>
        <w:ind w:firstLine="480" w:firstLineChars="200"/>
        <w:rPr>
          <w:rFonts w:hint="eastAsia" w:ascii="宋体" w:hAnsi="宋体" w:cs="宋体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  <w:lang w:eastAsia="zh"/>
        </w:rPr>
        <w:t>高校肩负着将红色基因深度融入人才培养全流程的重要使命,这与中国特色社会主义红色文化的传承弘扬息息相关。</w:t>
      </w:r>
      <w:r>
        <w:rPr>
          <w:rStyle w:val="8"/>
          <w:rFonts w:hint="eastAsia" w:ascii="宋体" w:hAnsi="宋体" w:cs="宋体"/>
          <w:sz w:val="24"/>
          <w:szCs w:val="24"/>
          <w:lang w:eastAsia="zh"/>
        </w:rPr>
        <w:t>[</w:t>
      </w:r>
      <w:r>
        <w:rPr>
          <w:rStyle w:val="8"/>
          <w:rFonts w:hint="eastAsia" w:ascii="宋体" w:hAnsi="宋体" w:cs="宋体"/>
          <w:sz w:val="24"/>
          <w:szCs w:val="24"/>
          <w:lang w:eastAsia="zh"/>
        </w:rPr>
        <w:endnoteReference w:id="3"/>
      </w:r>
      <w:r>
        <w:rPr>
          <w:rStyle w:val="8"/>
          <w:rFonts w:hint="eastAsia" w:ascii="宋体" w:hAnsi="宋体" w:cs="宋体"/>
          <w:sz w:val="24"/>
          <w:szCs w:val="24"/>
          <w:lang w:eastAsia="zh"/>
        </w:rPr>
        <w:t>]</w:t>
      </w:r>
      <w:r>
        <w:rPr>
          <w:rFonts w:hint="eastAsia" w:ascii="宋体" w:hAnsi="宋体" w:cs="宋体"/>
          <w:sz w:val="24"/>
          <w:szCs w:val="24"/>
        </w:rPr>
        <w:t>红色文化传承需要构建“基地—学校—家庭”三位一体的长效机制——陵园提供沉浸式体验场景，学校负责理论深化与后续延伸，家庭发挥情感纽带作用，共同推动红色基因从“短期感动”转化为“长期信仰”。</w:t>
      </w:r>
    </w:p>
    <w:p w14:paraId="64A876A9">
      <w:pPr>
        <w:rPr>
          <w:rFonts w:hint="eastAsia" w:ascii="宋体" w:hAnsi="宋体" w:cs="宋体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</w:rPr>
        <w:t xml:space="preserve"> </w:t>
      </w:r>
    </w:p>
    <w:p w14:paraId="2DDD20D0">
      <w:pPr>
        <w:rPr>
          <w:rFonts w:hint="eastAsia" w:ascii="宋体" w:hAnsi="宋体" w:cs="宋体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</w:rPr>
        <w:t>（二）未来展望</w:t>
      </w:r>
    </w:p>
    <w:p w14:paraId="1740A93A">
      <w:pPr>
        <w:rPr>
          <w:rFonts w:hint="eastAsia" w:ascii="宋体" w:hAnsi="宋体" w:cs="宋体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</w:rPr>
        <w:t xml:space="preserve"> </w:t>
      </w:r>
    </w:p>
    <w:p w14:paraId="26A8CB7F">
      <w:pPr>
        <w:ind w:firstLine="480" w:firstLineChars="200"/>
        <w:rPr>
          <w:rFonts w:hint="eastAsia" w:ascii="宋体" w:hAnsi="宋体" w:cs="宋体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  <w:lang w:eastAsia="zh"/>
        </w:rPr>
        <w:t>红色文化是中华民族的灵魂,是刻入亿万百姓血液中不可磨灭的传承基因。</w:t>
      </w:r>
      <w:r>
        <w:rPr>
          <w:rStyle w:val="8"/>
          <w:rFonts w:hint="eastAsia" w:ascii="宋体" w:hAnsi="宋体" w:cs="宋体"/>
          <w:sz w:val="24"/>
          <w:szCs w:val="24"/>
        </w:rPr>
        <w:t>[</w:t>
      </w:r>
      <w:r>
        <w:rPr>
          <w:rStyle w:val="8"/>
          <w:rFonts w:hint="eastAsia" w:ascii="宋体" w:hAnsi="宋体" w:cs="宋体"/>
          <w:sz w:val="24"/>
          <w:szCs w:val="24"/>
        </w:rPr>
        <w:endnoteReference w:id="4"/>
      </w:r>
      <w:r>
        <w:rPr>
          <w:rStyle w:val="8"/>
          <w:rFonts w:hint="eastAsia" w:ascii="宋体" w:hAnsi="宋体" w:cs="宋体"/>
          <w:sz w:val="24"/>
          <w:szCs w:val="24"/>
        </w:rPr>
        <w:t>]</w:t>
      </w:r>
      <w:r>
        <w:rPr>
          <w:rFonts w:hint="eastAsia" w:ascii="宋体" w:hAnsi="宋体" w:cs="宋体"/>
          <w:sz w:val="24"/>
          <w:szCs w:val="24"/>
        </w:rPr>
        <w:t>红色文化的当代传承，绝非历史场景的机械复刻，而是需要在Z世代的认知语境中实现创造性转化。当青少年能够通过“红色元宇宙”与先烈“对话”，在“烈士朋友圈”中触摸信仰的温度，在“重走革命路”时感受理想的重量，历史便不再是尘封的记忆，而是与当代青年血脉相连的精神图谱。正如雨花台烈士陵园讲解员所言：“我们讲述过去的故事，不是为了让孩子们记住牺牲，而是要让他们知道，今天的奋斗正是先烈理想的延续——这，才是红色文化最动人的传承。”</w:t>
      </w:r>
    </w:p>
    <w:p w14:paraId="34938E2B">
      <w:pPr>
        <w:rPr>
          <w:rFonts w:hint="eastAsia" w:ascii="宋体" w:hAnsi="宋体" w:cs="宋体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</w:rPr>
        <w:t xml:space="preserve"> </w:t>
      </w:r>
    </w:p>
    <w:sectPr>
      <w:footerReference r:id="rId4" w:type="default"/>
      <w:endnotePr>
        <w:numFmt w:val="decimal"/>
      </w:endnotePr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10">
    <w:p>
      <w:r>
        <w:separator/>
      </w:r>
    </w:p>
  </w:endnote>
  <w:endnote w:type="continuationSeparator" w:id="11">
    <w:p>
      <w:r>
        <w:continuationSeparator/>
      </w:r>
    </w:p>
  </w:endnote>
  <w:endnote w:id="0">
    <w:p w14:paraId="48AD48CD">
      <w:pPr>
        <w:pStyle w:val="3"/>
        <w:snapToGrid w:val="0"/>
      </w:pPr>
      <w:r>
        <w:rPr>
          <w:rStyle w:val="8"/>
        </w:rPr>
        <w:t>[</w:t>
      </w:r>
      <w:r>
        <w:rPr>
          <w:rStyle w:val="8"/>
        </w:rPr>
        <w:endnoteRef/>
      </w:r>
      <w:r>
        <w:rPr>
          <w:rStyle w:val="8"/>
        </w:rPr>
        <w:t>]</w:t>
      </w:r>
      <w:r>
        <w:t xml:space="preserve"> </w:t>
      </w:r>
      <w:r>
        <w:rPr>
          <w:rFonts w:hint="eastAsia" w:ascii="宋体" w:hAnsi="宋体" w:cs="宋体"/>
          <w:sz w:val="24"/>
          <w:szCs w:val="24"/>
        </w:rPr>
        <w:t>习近平. 在党史学习教育动员大会上的讲话[M]. 北京：人民出版社，2021.</w:t>
      </w:r>
    </w:p>
  </w:endnote>
  <w:endnote w:id="1">
    <w:p w14:paraId="74E0DF0E">
      <w:pPr>
        <w:rPr>
          <w:rFonts w:hint="eastAsia" w:ascii="宋体" w:hAnsi="宋体" w:cs="宋体"/>
          <w:sz w:val="24"/>
          <w:szCs w:val="24"/>
        </w:rPr>
      </w:pPr>
      <w:r>
        <w:rPr>
          <w:rStyle w:val="8"/>
        </w:rPr>
        <w:t>[</w:t>
      </w:r>
      <w:r>
        <w:rPr>
          <w:rStyle w:val="8"/>
        </w:rPr>
        <w:endnoteRef/>
      </w:r>
      <w:r>
        <w:rPr>
          <w:rStyle w:val="8"/>
        </w:rPr>
        <w:t>]</w:t>
      </w:r>
      <w:r>
        <w:t xml:space="preserve"> </w:t>
      </w:r>
      <w:r>
        <w:rPr>
          <w:rFonts w:hint="eastAsia" w:ascii="宋体" w:hAnsi="宋体" w:cs="宋体"/>
          <w:sz w:val="24"/>
          <w:szCs w:val="24"/>
        </w:rPr>
        <w:t>中共中央办公厅. 关于实施中华优秀传统文化传承发展工程的意见[Z]. 2017.</w:t>
      </w:r>
    </w:p>
    <w:p w14:paraId="71DA237B">
      <w:pPr>
        <w:pStyle w:val="3"/>
        <w:rPr>
          <w:rFonts w:hint="eastAsia"/>
        </w:rPr>
      </w:pPr>
    </w:p>
  </w:endnote>
  <w:endnote w:id="2">
    <w:p w14:paraId="58900837">
      <w:pPr>
        <w:rPr>
          <w:rFonts w:hint="eastAsia" w:ascii="宋体" w:hAnsi="宋体" w:cs="宋体"/>
          <w:sz w:val="24"/>
          <w:szCs w:val="24"/>
        </w:rPr>
      </w:pPr>
      <w:r>
        <w:rPr>
          <w:rStyle w:val="8"/>
        </w:rPr>
        <w:t>[</w:t>
      </w:r>
      <w:r>
        <w:rPr>
          <w:rStyle w:val="8"/>
        </w:rPr>
        <w:endnoteRef/>
      </w:r>
      <w:r>
        <w:rPr>
          <w:rStyle w:val="8"/>
        </w:rPr>
        <w:t>]</w:t>
      </w:r>
      <w:r>
        <w:t xml:space="preserve"> </w:t>
      </w:r>
      <w:r>
        <w:rPr>
          <w:rFonts w:hint="eastAsia" w:ascii="宋体" w:hAnsi="宋体" w:cs="宋体"/>
          <w:sz w:val="24"/>
          <w:szCs w:val="24"/>
        </w:rPr>
        <w:t>王小明. 数字时代红色文化传播的范式转换[J]. 中国青年研究, 2024(3): 89-96.</w:t>
      </w:r>
    </w:p>
    <w:p w14:paraId="2897FA6D">
      <w:pPr>
        <w:pStyle w:val="3"/>
        <w:rPr>
          <w:rFonts w:hint="eastAsia"/>
        </w:rPr>
      </w:pPr>
    </w:p>
  </w:endnote>
  <w:endnote w:id="3">
    <w:p w14:paraId="696EF645">
      <w:pPr>
        <w:rPr>
          <w:rFonts w:hint="eastAsia" w:ascii="宋体" w:hAnsi="宋体" w:cs="宋体"/>
          <w:sz w:val="24"/>
          <w:szCs w:val="24"/>
          <w:lang w:eastAsia="zh"/>
        </w:rPr>
      </w:pPr>
      <w:r>
        <w:rPr>
          <w:rStyle w:val="8"/>
        </w:rPr>
        <w:t>[</w:t>
      </w:r>
      <w:r>
        <w:rPr>
          <w:rStyle w:val="8"/>
        </w:rPr>
        <w:endnoteRef/>
      </w:r>
      <w:r>
        <w:rPr>
          <w:rStyle w:val="8"/>
        </w:rPr>
        <w:t>]</w:t>
      </w:r>
      <w:r>
        <w:t xml:space="preserve"> </w:t>
      </w:r>
      <w:r>
        <w:rPr>
          <w:rFonts w:hint="eastAsia" w:ascii="宋体" w:hAnsi="宋体" w:cs="宋体"/>
          <w:sz w:val="24"/>
          <w:szCs w:val="24"/>
          <w:lang w:eastAsia="zh"/>
        </w:rPr>
        <w:t>赖继年,张柏寒. 南京红色文化资源的保护与利用[ J] . 文化创新比较研究,2023,7(09) :70-75.</w:t>
      </w:r>
    </w:p>
    <w:p w14:paraId="60EAAAA1">
      <w:pPr>
        <w:pStyle w:val="3"/>
        <w:rPr>
          <w:rFonts w:hint="eastAsia"/>
        </w:rPr>
      </w:pPr>
    </w:p>
  </w:endnote>
  <w:endnote w:id="4">
    <w:p w14:paraId="25A0BC1B">
      <w:pPr>
        <w:rPr>
          <w:rFonts w:hint="eastAsia" w:ascii="宋体" w:hAnsi="宋体" w:cs="宋体"/>
          <w:sz w:val="24"/>
          <w:szCs w:val="24"/>
          <w:lang w:eastAsia="zh"/>
        </w:rPr>
      </w:pPr>
      <w:r>
        <w:rPr>
          <w:rStyle w:val="8"/>
        </w:rPr>
        <w:t>[</w:t>
      </w:r>
      <w:r>
        <w:rPr>
          <w:rStyle w:val="8"/>
        </w:rPr>
        <w:endnoteRef/>
      </w:r>
      <w:r>
        <w:rPr>
          <w:rStyle w:val="8"/>
        </w:rPr>
        <w:t>]</w:t>
      </w:r>
      <w:r>
        <w:t xml:space="preserve"> </w:t>
      </w:r>
      <w:r>
        <w:rPr>
          <w:rFonts w:hint="eastAsia" w:ascii="宋体" w:hAnsi="宋体" w:cs="宋体"/>
          <w:sz w:val="24"/>
          <w:szCs w:val="24"/>
          <w:lang w:eastAsia="zh"/>
        </w:rPr>
        <w:t>余智莹,冯晓然,汪洋.南京红色文化融入地方高校培育大学生民族精神研究[J].现代商贸工业,2025,(11):81-84.DOI:10.19311/j.cnki.1672-3198.2025.11.027.</w:t>
      </w:r>
    </w:p>
    <w:p w14:paraId="225D1494">
      <w:pPr>
        <w:pStyle w:val="3"/>
        <w:rPr>
          <w:rFonts w:hint="eastAsia"/>
        </w:rPr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14E7308">
    <w:pPr>
      <w:pStyle w:val="4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lang w:val="zh-CN"/>
      </w:rPr>
      <w:t>1</w:t>
    </w:r>
    <w:r>
      <w:fldChar w:fldCharType="end"/>
    </w:r>
  </w:p>
  <w:p w14:paraId="099FB388">
    <w:pPr>
      <w:pStyle w:val="4"/>
    </w:pP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endnotePr>
    <w:numFmt w:val="decimal"/>
    <w:endnote w:id="10"/>
    <w:endnote w:id="1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8B97F6D"/>
    <w:rsid w:val="000D2EA9"/>
    <w:rsid w:val="001B5D45"/>
    <w:rsid w:val="001E38EE"/>
    <w:rsid w:val="00220CA0"/>
    <w:rsid w:val="00270393"/>
    <w:rsid w:val="00402A1A"/>
    <w:rsid w:val="0054223D"/>
    <w:rsid w:val="0068036B"/>
    <w:rsid w:val="00765217"/>
    <w:rsid w:val="00914459"/>
    <w:rsid w:val="0095112A"/>
    <w:rsid w:val="00C65141"/>
    <w:rsid w:val="00E8577F"/>
    <w:rsid w:val="00E97AED"/>
    <w:rsid w:val="00EA4910"/>
    <w:rsid w:val="1ACA7248"/>
    <w:rsid w:val="1CA03585"/>
    <w:rsid w:val="48B97F6D"/>
    <w:rsid w:val="4F100C8C"/>
    <w:rsid w:val="5EC3CC05"/>
    <w:rsid w:val="67EE0233"/>
    <w:rsid w:val="6EFFA84F"/>
    <w:rsid w:val="797BD469"/>
    <w:rsid w:val="AAE623DB"/>
    <w:rsid w:val="AD7F3844"/>
    <w:rsid w:val="B299404F"/>
    <w:rsid w:val="CFFC4318"/>
    <w:rsid w:val="ED7F502A"/>
    <w:rsid w:val="EF925947"/>
    <w:rsid w:val="FFBC8A13"/>
    <w:rsid w:val="FFFFF9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character" w:default="1" w:styleId="7">
    <w:name w:val="Default Paragraph Font"/>
    <w:semiHidden/>
    <w:unhideWhenUsed/>
    <w:uiPriority w:val="1"/>
  </w:style>
  <w:style w:type="table" w:default="1" w:styleId="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annotation text"/>
    <w:basedOn w:val="1"/>
    <w:uiPriority w:val="0"/>
    <w:pPr>
      <w:jc w:val="left"/>
    </w:pPr>
  </w:style>
  <w:style w:type="paragraph" w:styleId="3">
    <w:name w:val="endnote text"/>
    <w:basedOn w:val="1"/>
    <w:uiPriority w:val="0"/>
    <w:pPr>
      <w:snapToGrid w:val="0"/>
      <w:jc w:val="left"/>
    </w:pPr>
  </w:style>
  <w:style w:type="paragraph" w:styleId="4">
    <w:name w:val="footer"/>
    <w:basedOn w:val="1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table" w:styleId="6">
    <w:name w:val="Table Grid"/>
    <w:basedOn w:val="5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8">
    <w:name w:val="endnote reference"/>
    <w:basedOn w:val="7"/>
    <w:uiPriority w:val="0"/>
    <w:rPr>
      <w:vertAlign w:val="superscript"/>
    </w:rPr>
  </w:style>
  <w:style w:type="paragraph" w:customStyle="1" w:styleId="9">
    <w:name w:val="reader-word-layer"/>
    <w:basedOn w:val="1"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image" Target="media/image3.jpeg"/><Relationship Id="rId7" Type="http://schemas.openxmlformats.org/officeDocument/2006/relationships/image" Target="media/image2.png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endnotes" Target="end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E789F9E-8AC8-4A49-8EF6-EE30E712D717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7</Pages>
  <Words>4285</Words>
  <Characters>4427</Characters>
  <Lines>124</Lines>
  <Paragraphs>74</Paragraphs>
  <TotalTime>2</TotalTime>
  <ScaleCrop>false</ScaleCrop>
  <LinksUpToDate>false</LinksUpToDate>
  <CharactersWithSpaces>4459</CharactersWithSpaces>
  <Application>WPS Office_12.1.0.20305_F1E327BC-269C-435d-A152-05C5408002CA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2025-05-12T11:44:00Z</dcterms:created>
  <dc:creator>ting</dc:creator>
  <cp:lastModifiedBy>刘欣语</cp:lastModifiedBy>
  <dcterms:modified xsi:type="dcterms:W3CDTF">2025-05-12T11:48:35Z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2052-12.1.0.20305</vt:lpwstr>
  </property>
  <property fmtid="{D5CDD505-2E9C-101B-9397-08002B2CF9AE}" pid="3" name="ICV">
    <vt:lpwstr>AAAC0DFA228E4CF49FE905BBEB3F2842_13</vt:lpwstr>
  </property>
  <property fmtid="{D5CDD505-2E9C-101B-9397-08002B2CF9AE}" pid="4" name="KSOTemplateDocerSaveRecord">
    <vt:lpwstr>eyJoZGlkIjoiOTJjOTg4NDQzYzUyNjY2ZDRlOWEzNmUxZTViNWQ4NzMiLCJ1c2VySWQiOiIxNjQ1MTg5NDQzIn0=</vt:lpwstr>
  </property>
</Properties>
</file>