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某医院信息化运维服务项目投标书</w:t>
      </w:r>
    </w:p>
    <w:p>
      <w:pPr>
        <w:pStyle w:val="Heading1"/>
      </w:pPr>
      <w:r>
        <w:t>一、公司简介</w:t>
      </w:r>
    </w:p>
    <w:p>
      <w:r>
        <w:t>我公司成立于2018年，专注于医疗行业信息化运维，拥有ISO9001与软件企业认定资质。</w:t>
      </w:r>
    </w:p>
    <w:p>
      <w:pPr>
        <w:pStyle w:val="Heading1"/>
      </w:pPr>
      <w:r>
        <w:t>二、类似业绩</w:t>
      </w:r>
    </w:p>
    <w:p>
      <w:r>
        <w:t>近三年完成三甲医院运维项目5个，客户满意度98%。</w:t>
      </w:r>
    </w:p>
    <w:p>
      <w:pPr>
        <w:pStyle w:val="Heading1"/>
      </w:pPr>
      <w:r>
        <w:t>三、技术方案</w:t>
      </w:r>
    </w:p>
    <w:p>
      <w:r>
        <w:t>采用7x24小时驻场+远程双保障模式，建立巡检-预警-处置闭环。</w:t>
      </w:r>
    </w:p>
    <w:p>
      <w:pPr>
        <w:pStyle w:val="Heading1"/>
      </w:pPr>
      <w:r>
        <w:t>四、报价一览表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单价(万)</w:t>
            </w:r>
          </w:p>
        </w:tc>
      </w:tr>
      <w:tr>
        <w:tc>
          <w:tcPr>
            <w:tcW w:type="dxa" w:w="2880"/>
          </w:tcPr>
          <w:p>
            <w:r>
              <w:t>运维服务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