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B4339"/>
          <w:sz w:val="44"/>
        </w:rPr>
        <w:t>JOYNOB AKHTER TASPIA</w:t>
      </w:r>
    </w:p>
    <w:p>
      <w:pPr>
        <w:spacing w:before="0" w:after="40"/>
        <w:jc w:val="center"/>
      </w:pPr>
      <w:r>
        <w:rPr>
          <w:rFonts w:ascii="Calibri" w:hAnsi="Calibri"/>
          <w:b w:val="0"/>
          <w:i w:val="0"/>
          <w:color w:val="497065"/>
          <w:sz w:val="21"/>
        </w:rPr>
        <w:t>Frontend Web Developer  ·  Market Research Analyst  ·  Digital Operations</w:t>
      </w:r>
    </w:p>
    <w:p>
      <w:pPr>
        <w:spacing w:before="20" w:after="120"/>
        <w:jc w:val="center"/>
      </w:pPr>
      <w:r>
        <w:rPr>
          <w:rFonts w:ascii="Calibri" w:hAnsi="Calibri"/>
          <w:b w:val="0"/>
          <w:i w:val="0"/>
          <w:color w:val="63716B"/>
          <w:sz w:val="19"/>
        </w:rPr>
        <w:t>Moulvibazar, Bangladesh  ·  +880 1706 843026  ·  joy02taspi@gmail.com</w:t>
      </w:r>
    </w:p>
    <w:tbl>
      <w:tblPr>
        <w:tblStyle w:val="TableGrid"/>
        <w:tblW w:type="auto" w:w="0"/>
        <w:tblLook w:firstColumn="1" w:firstRow="1" w:lastColumn="0" w:lastRow="0" w:noHBand="0" w:noVBand="1" w:val="04A0"/>
      </w:tblPr>
      <w:tblGrid>
        <w:gridCol w:w="10086"/>
      </w:tblGrid>
      <w:tr>
        <w:tc>
          <w:tcPr>
            <w:tcW w:type="dxa" w:w="10086"/>
            <w:shd w:val="clear" w:color="auto" w:fill="254F42"/>
            <w:tcBorders>
              <w:top w:val="none"/>
              <w:left w:val="none"/>
              <w:bottom w:val="none"/>
              <w:right w:val="none"/>
              <w:insideH w:val="none"/>
              <w:insideV w:val="none"/>
            </w:tcBorders>
            <w:tcMar>
              <w:top w:w="80" w:type="dxa"/>
              <w:left w:w="80" w:type="dxa"/>
              <w:bottom w:w="80" w:type="dxa"/>
              <w:right w:w="80" w:type="dxa"/>
            </w:tcMar>
          </w:tcPr>
          <w:p>
            <w:pPr>
              <w:spacing w:before="0" w:after="0"/>
              <w:jc w:val="left"/>
            </w:pPr>
            <w:r>
              <w:rPr>
                <w:rFonts w:ascii="Calibri" w:hAnsi="Calibri"/>
                <w:b/>
                <w:i w:val="0"/>
                <w:color w:val="FFFFFF"/>
                <w:sz w:val="19"/>
              </w:rPr>
              <w:t>PROFESSIONAL PROFILE</w:t>
            </w:r>
          </w:p>
        </w:tc>
      </w:tr>
    </w:tbl>
    <w:p>
      <w:pPr>
        <w:spacing w:before="40" w:after="0"/>
      </w:pPr>
    </w:p>
    <w:p>
      <w:pPr>
        <w:spacing w:before="60" w:after="120"/>
      </w:pPr>
      <w:r>
        <w:rPr>
          <w:rFonts w:ascii="Calibri" w:hAnsi="Calibri"/>
          <w:b w:val="0"/>
          <w:i w:val="0"/>
          <w:color w:val="63716B"/>
          <w:sz w:val="19"/>
        </w:rPr>
        <w:t>Early-career web developer and market research analyst with remote experience spanning frontend web development, educational consultancy, and digital marketing. Combines a strong academic foundation in Economics with hands-on skills in building clean, responsive web interfaces (HTML5, CSS3, JavaScript), conducting structured market and competitor research, and managing digital operations. Comfortable working independently in deadline-driven remote environments and known for precision, organized communication, and continuous skill development.</w:t>
      </w:r>
    </w:p>
    <w:tbl>
      <w:tblPr>
        <w:tblStyle w:val="TableGrid"/>
        <w:tblW w:type="auto" w:w="0"/>
        <w:tblLook w:firstColumn="1" w:firstRow="1" w:lastColumn="0" w:lastRow="0" w:noHBand="0" w:noVBand="1" w:val="04A0"/>
      </w:tblPr>
      <w:tblGrid>
        <w:gridCol w:w="10086"/>
      </w:tblGrid>
      <w:tr>
        <w:tc>
          <w:tcPr>
            <w:tcW w:type="dxa" w:w="10086"/>
            <w:shd w:val="clear" w:color="auto" w:fill="254F42"/>
            <w:tcBorders>
              <w:top w:val="none"/>
              <w:left w:val="none"/>
              <w:bottom w:val="none"/>
              <w:right w:val="none"/>
              <w:insideH w:val="none"/>
              <w:insideV w:val="none"/>
            </w:tcBorders>
            <w:tcMar>
              <w:top w:w="80" w:type="dxa"/>
              <w:left w:w="80" w:type="dxa"/>
              <w:bottom w:w="80" w:type="dxa"/>
              <w:right w:w="80" w:type="dxa"/>
            </w:tcMar>
          </w:tcPr>
          <w:p>
            <w:pPr>
              <w:spacing w:before="0" w:after="0"/>
              <w:jc w:val="left"/>
            </w:pPr>
            <w:r>
              <w:rPr>
                <w:rFonts w:ascii="Calibri" w:hAnsi="Calibri"/>
                <w:b/>
                <w:i w:val="0"/>
                <w:color w:val="FFFFFF"/>
                <w:sz w:val="19"/>
              </w:rPr>
              <w:t>PROFESSIONAL EXPERIENCE</w:t>
            </w:r>
          </w:p>
        </w:tc>
      </w:tr>
    </w:tbl>
    <w:p>
      <w:pPr>
        <w:spacing w:before="40" w:after="0"/>
      </w:pPr>
    </w:p>
    <w:tbl>
      <w:tblPr>
        <w:tblStyle w:val="TableGrid"/>
        <w:tblW w:type="auto" w:w="0"/>
        <w:tblLook w:firstColumn="1" w:firstRow="1" w:lastColumn="0" w:lastRow="0" w:noHBand="0" w:noVBand="1" w:val="04A0"/>
      </w:tblPr>
      <w:tblGrid>
        <w:gridCol w:w="5043"/>
        <w:gridCol w:w="5043"/>
      </w:tblGrid>
      <w:tr>
        <w:tc>
          <w:tcPr>
            <w:tcW w:type="dxa" w:w="6336"/>
            <w:tcBorders>
              <w:top w:val="none"/>
              <w:left w:val="none"/>
              <w:bottom w:val="none"/>
              <w:right w:val="none"/>
              <w:insideH w:val="none"/>
              <w:insideV w:val="none"/>
            </w:tcBorders>
          </w:tcPr>
          <w:p>
            <w:pPr>
              <w:spacing w:before="80" w:after="0"/>
              <w:jc w:val="left"/>
            </w:pPr>
            <w:r>
              <w:rPr>
                <w:rFonts w:ascii="Calibri" w:hAnsi="Calibri"/>
                <w:b/>
                <w:i w:val="0"/>
                <w:color w:val="1B4339"/>
                <w:sz w:val="21"/>
              </w:rPr>
              <w:t>Educational Consultancy Assistant &amp; Web Support</w:t>
            </w:r>
          </w:p>
        </w:tc>
        <w:tc>
          <w:tcPr>
            <w:tcW w:type="dxa" w:w="3024"/>
            <w:tcBorders>
              <w:top w:val="none"/>
              <w:left w:val="none"/>
              <w:bottom w:val="none"/>
              <w:right w:val="none"/>
              <w:insideH w:val="none"/>
              <w:insideV w:val="none"/>
            </w:tcBorders>
          </w:tcPr>
          <w:p>
            <w:pPr>
              <w:spacing w:before="80" w:after="0"/>
              <w:jc w:val="right"/>
            </w:pPr>
            <w:r>
              <w:rPr>
                <w:rFonts w:ascii="Calibri" w:hAnsi="Calibri"/>
                <w:b w:val="0"/>
                <w:i/>
                <w:color w:val="63716B"/>
                <w:sz w:val="18"/>
              </w:rPr>
              <w:t>July 2026 – Present</w:t>
            </w:r>
          </w:p>
        </w:tc>
      </w:tr>
    </w:tbl>
    <w:p>
      <w:pPr>
        <w:spacing w:before="0" w:after="40"/>
      </w:pPr>
      <w:r>
        <w:rPr>
          <w:rFonts w:ascii="Calibri" w:hAnsi="Calibri"/>
          <w:b w:val="0"/>
          <w:i w:val="0"/>
          <w:color w:val="497065"/>
          <w:sz w:val="19"/>
        </w:rPr>
        <w:t>Oak Admissions  ·  Remote — Education Consultancy</w:t>
      </w:r>
    </w:p>
    <w:p>
      <w:pPr>
        <w:pStyle w:val="ListBullet"/>
        <w:spacing w:before="0" w:after="20"/>
        <w:ind w:left="280" w:hanging="160"/>
      </w:pPr>
      <w:r>
        <w:rPr>
          <w:rFonts w:ascii="Calibri" w:hAnsi="Calibri"/>
          <w:b w:val="0"/>
          <w:i w:val="0"/>
          <w:color w:val="63716B"/>
          <w:sz w:val="19"/>
        </w:rPr>
        <w:t>Support consultancy workflows through structured web research, competitor analysis, and institutional fact-checking, ensuring documentation is organized and easy to navigate.</w:t>
      </w:r>
    </w:p>
    <w:p>
      <w:pPr>
        <w:pStyle w:val="ListBullet"/>
        <w:spacing w:before="0" w:after="20"/>
        <w:ind w:left="280" w:hanging="160"/>
      </w:pPr>
      <w:r>
        <w:rPr>
          <w:rFonts w:ascii="Calibri" w:hAnsi="Calibri"/>
          <w:b w:val="0"/>
          <w:i w:val="0"/>
          <w:color w:val="63716B"/>
          <w:sz w:val="19"/>
        </w:rPr>
        <w:t>Maintain and update digital information resources and client-facing web pages, applying on-page SEO principles and clear information hierarchy.</w:t>
      </w:r>
    </w:p>
    <w:p>
      <w:pPr>
        <w:pStyle w:val="ListBullet"/>
        <w:spacing w:before="0" w:after="20"/>
        <w:ind w:left="280" w:hanging="160"/>
      </w:pPr>
      <w:r>
        <w:rPr>
          <w:rFonts w:ascii="Calibri" w:hAnsi="Calibri"/>
          <w:b w:val="0"/>
          <w:i w:val="0"/>
          <w:color w:val="63716B"/>
          <w:sz w:val="19"/>
        </w:rPr>
        <w:t>Handle data entry, spreadsheet formatting, and content organization across remote workflows with consistent professional communication.</w:t>
      </w:r>
    </w:p>
    <w:p>
      <w:pPr>
        <w:spacing w:before="20" w:after="20"/>
        <w:pBdr>
          <w:bottom w:val="single" w:sz="4" w:space="1" w:color="DDE5D8"/>
        </w:pBdr>
      </w:pPr>
    </w:p>
    <w:tbl>
      <w:tblPr>
        <w:tblStyle w:val="TableGrid"/>
        <w:tblW w:type="auto" w:w="0"/>
        <w:tblLook w:firstColumn="1" w:firstRow="1" w:lastColumn="0" w:lastRow="0" w:noHBand="0" w:noVBand="1" w:val="04A0"/>
      </w:tblPr>
      <w:tblGrid>
        <w:gridCol w:w="5043"/>
        <w:gridCol w:w="5043"/>
      </w:tblGrid>
      <w:tr>
        <w:tc>
          <w:tcPr>
            <w:tcW w:type="dxa" w:w="6336"/>
            <w:tcBorders>
              <w:top w:val="none"/>
              <w:left w:val="none"/>
              <w:bottom w:val="none"/>
              <w:right w:val="none"/>
              <w:insideH w:val="none"/>
              <w:insideV w:val="none"/>
            </w:tcBorders>
          </w:tcPr>
          <w:p>
            <w:pPr>
              <w:spacing w:before="80" w:after="0"/>
              <w:jc w:val="left"/>
            </w:pPr>
            <w:r>
              <w:rPr>
                <w:rFonts w:ascii="Calibri" w:hAnsi="Calibri"/>
                <w:b/>
                <w:i w:val="0"/>
                <w:color w:val="1B4339"/>
                <w:sz w:val="21"/>
              </w:rPr>
              <w:t>Content Writer &amp; Marketing Lead</w:t>
            </w:r>
          </w:p>
        </w:tc>
        <w:tc>
          <w:tcPr>
            <w:tcW w:type="dxa" w:w="3024"/>
            <w:tcBorders>
              <w:top w:val="none"/>
              <w:left w:val="none"/>
              <w:bottom w:val="none"/>
              <w:right w:val="none"/>
              <w:insideH w:val="none"/>
              <w:insideV w:val="none"/>
            </w:tcBorders>
          </w:tcPr>
          <w:p>
            <w:pPr>
              <w:spacing w:before="80" w:after="0"/>
              <w:jc w:val="right"/>
            </w:pPr>
            <w:r>
              <w:rPr>
                <w:rFonts w:ascii="Calibri" w:hAnsi="Calibri"/>
                <w:b w:val="0"/>
                <w:i/>
                <w:color w:val="63716B"/>
                <w:sz w:val="18"/>
              </w:rPr>
              <w:t>November 2025 – 2026</w:t>
            </w:r>
          </w:p>
        </w:tc>
      </w:tr>
    </w:tbl>
    <w:p>
      <w:pPr>
        <w:spacing w:before="0" w:after="40"/>
      </w:pPr>
      <w:r>
        <w:rPr>
          <w:rFonts w:ascii="Calibri" w:hAnsi="Calibri"/>
          <w:b w:val="0"/>
          <w:i w:val="0"/>
          <w:color w:val="497065"/>
          <w:sz w:val="19"/>
        </w:rPr>
        <w:t>DSAT Scholars  ·  Remote — Digital Education &amp; Marketing</w:t>
      </w:r>
    </w:p>
    <w:p>
      <w:pPr>
        <w:pStyle w:val="ListBullet"/>
        <w:spacing w:before="0" w:after="20"/>
        <w:ind w:left="280" w:hanging="160"/>
      </w:pPr>
      <w:r>
        <w:rPr>
          <w:rFonts w:ascii="Calibri" w:hAnsi="Calibri"/>
          <w:b w:val="0"/>
          <w:i w:val="0"/>
          <w:color w:val="63716B"/>
          <w:sz w:val="19"/>
        </w:rPr>
        <w:t>Wrote, reviewed, and structured educational landing page copy, applying semantic content hierarchies and keyword research to improve organic search performance.</w:t>
      </w:r>
    </w:p>
    <w:p>
      <w:pPr>
        <w:pStyle w:val="ListBullet"/>
        <w:spacing w:before="0" w:after="20"/>
        <w:ind w:left="280" w:hanging="160"/>
      </w:pPr>
      <w:r>
        <w:rPr>
          <w:rFonts w:ascii="Calibri" w:hAnsi="Calibri"/>
          <w:b w:val="0"/>
          <w:i w:val="0"/>
          <w:color w:val="63716B"/>
          <w:sz w:val="19"/>
        </w:rPr>
        <w:t>Developed social media content plans, on-page SEO strategies, and campaign briefs for education-focused digital initiatives.</w:t>
      </w:r>
    </w:p>
    <w:p>
      <w:pPr>
        <w:pStyle w:val="ListBullet"/>
        <w:spacing w:before="0" w:after="20"/>
        <w:ind w:left="280" w:hanging="160"/>
      </w:pPr>
      <w:r>
        <w:rPr>
          <w:rFonts w:ascii="Calibri" w:hAnsi="Calibri"/>
          <w:b w:val="0"/>
          <w:i w:val="0"/>
          <w:color w:val="63716B"/>
          <w:sz w:val="19"/>
        </w:rPr>
        <w:t>Coordinated content workflows, managed publication schedules, and ensured consistent brand voice across digital channels.</w:t>
      </w:r>
    </w:p>
    <w:p>
      <w:pPr>
        <w:spacing w:before="20" w:after="20"/>
        <w:pBdr>
          <w:bottom w:val="single" w:sz="4" w:space="1" w:color="DDE5D8"/>
        </w:pBdr>
      </w:pPr>
    </w:p>
    <w:tbl>
      <w:tblPr>
        <w:tblStyle w:val="TableGrid"/>
        <w:tblW w:type="auto" w:w="0"/>
        <w:tblLook w:firstColumn="1" w:firstRow="1" w:lastColumn="0" w:lastRow="0" w:noHBand="0" w:noVBand="1" w:val="04A0"/>
      </w:tblPr>
      <w:tblGrid>
        <w:gridCol w:w="5043"/>
        <w:gridCol w:w="5043"/>
      </w:tblGrid>
      <w:tr>
        <w:tc>
          <w:tcPr>
            <w:tcW w:type="dxa" w:w="6336"/>
            <w:tcBorders>
              <w:top w:val="none"/>
              <w:left w:val="none"/>
              <w:bottom w:val="none"/>
              <w:right w:val="none"/>
              <w:insideH w:val="none"/>
              <w:insideV w:val="none"/>
            </w:tcBorders>
          </w:tcPr>
          <w:p>
            <w:pPr>
              <w:spacing w:before="80" w:after="0"/>
              <w:jc w:val="left"/>
            </w:pPr>
            <w:r>
              <w:rPr>
                <w:rFonts w:ascii="Calibri" w:hAnsi="Calibri"/>
                <w:b/>
                <w:i w:val="0"/>
                <w:color w:val="1B4339"/>
                <w:sz w:val="21"/>
              </w:rPr>
              <w:t>Frontend Web Developer (Independent Projects)</w:t>
            </w:r>
          </w:p>
        </w:tc>
        <w:tc>
          <w:tcPr>
            <w:tcW w:type="dxa" w:w="3024"/>
            <w:tcBorders>
              <w:top w:val="none"/>
              <w:left w:val="none"/>
              <w:bottom w:val="none"/>
              <w:right w:val="none"/>
              <w:insideH w:val="none"/>
              <w:insideV w:val="none"/>
            </w:tcBorders>
          </w:tcPr>
          <w:p>
            <w:pPr>
              <w:spacing w:before="80" w:after="0"/>
              <w:jc w:val="right"/>
            </w:pPr>
            <w:r>
              <w:rPr>
                <w:rFonts w:ascii="Calibri" w:hAnsi="Calibri"/>
                <w:b w:val="0"/>
                <w:i/>
                <w:color w:val="63716B"/>
                <w:sz w:val="18"/>
              </w:rPr>
              <w:t>2025 – Present</w:t>
            </w:r>
          </w:p>
        </w:tc>
      </w:tr>
    </w:tbl>
    <w:p>
      <w:pPr>
        <w:spacing w:before="0" w:after="40"/>
      </w:pPr>
      <w:r>
        <w:rPr>
          <w:rFonts w:ascii="Calibri" w:hAnsi="Calibri"/>
          <w:b w:val="0"/>
          <w:i w:val="0"/>
          <w:color w:val="497065"/>
          <w:sz w:val="19"/>
        </w:rPr>
        <w:t>Freelance &amp; Self-Directed  ·  Remote</w:t>
      </w:r>
    </w:p>
    <w:p>
      <w:pPr>
        <w:pStyle w:val="ListBullet"/>
        <w:spacing w:before="0" w:after="20"/>
        <w:ind w:left="280" w:hanging="160"/>
      </w:pPr>
      <w:r>
        <w:rPr>
          <w:rFonts w:ascii="Calibri" w:hAnsi="Calibri"/>
          <w:b w:val="0"/>
          <w:i w:val="0"/>
          <w:color w:val="63716B"/>
          <w:sz w:val="19"/>
        </w:rPr>
        <w:t>Designed and built responsive web applications including an interactive economics metrics calculator, editorial web reader, and accessible UI component library using Vanilla JavaScript, modern CSS (Grid, Flexbox, Custom Properties), and Vite.</w:t>
      </w:r>
    </w:p>
    <w:p>
      <w:pPr>
        <w:pStyle w:val="ListBullet"/>
        <w:spacing w:before="0" w:after="20"/>
        <w:ind w:left="280" w:hanging="160"/>
      </w:pPr>
      <w:r>
        <w:rPr>
          <w:rFonts w:ascii="Calibri" w:hAnsi="Calibri"/>
          <w:b w:val="0"/>
          <w:i w:val="0"/>
          <w:color w:val="63716B"/>
          <w:sz w:val="19"/>
        </w:rPr>
        <w:t>Implemented GSAP scroll animations, IntersectionObserver-based active navigation, semantic HTML5 landmark structure, and keyboard-navigable focus management.</w:t>
      </w:r>
    </w:p>
    <w:p>
      <w:pPr>
        <w:pStyle w:val="ListBullet"/>
        <w:spacing w:before="0" w:after="20"/>
        <w:ind w:left="280" w:hanging="160"/>
      </w:pPr>
      <w:r>
        <w:rPr>
          <w:rFonts w:ascii="Calibri" w:hAnsi="Calibri"/>
          <w:b w:val="0"/>
          <w:i w:val="0"/>
          <w:color w:val="63716B"/>
          <w:sz w:val="19"/>
        </w:rPr>
        <w:t>Maintained clean Git version control workflows and verified cross-browser, mobile-first responsive behaviour.</w:t>
      </w:r>
    </w:p>
    <w:tbl>
      <w:tblPr>
        <w:tblStyle w:val="TableGrid"/>
        <w:tblW w:type="auto" w:w="0"/>
        <w:tblLook w:firstColumn="1" w:firstRow="1" w:lastColumn="0" w:lastRow="0" w:noHBand="0" w:noVBand="1" w:val="04A0"/>
      </w:tblPr>
      <w:tblGrid>
        <w:gridCol w:w="10086"/>
      </w:tblGrid>
      <w:tr>
        <w:tc>
          <w:tcPr>
            <w:tcW w:type="dxa" w:w="10086"/>
            <w:shd w:val="clear" w:color="auto" w:fill="254F42"/>
            <w:tcBorders>
              <w:top w:val="none"/>
              <w:left w:val="none"/>
              <w:bottom w:val="none"/>
              <w:right w:val="none"/>
              <w:insideH w:val="none"/>
              <w:insideV w:val="none"/>
            </w:tcBorders>
            <w:tcMar>
              <w:top w:w="80" w:type="dxa"/>
              <w:left w:w="80" w:type="dxa"/>
              <w:bottom w:w="80" w:type="dxa"/>
              <w:right w:w="80" w:type="dxa"/>
            </w:tcMar>
          </w:tcPr>
          <w:p>
            <w:pPr>
              <w:spacing w:before="0" w:after="0"/>
              <w:jc w:val="left"/>
            </w:pPr>
            <w:r>
              <w:rPr>
                <w:rFonts w:ascii="Calibri" w:hAnsi="Calibri"/>
                <w:b/>
                <w:i w:val="0"/>
                <w:color w:val="FFFFFF"/>
                <w:sz w:val="19"/>
              </w:rPr>
              <w:t>EDUCATION</w:t>
            </w:r>
          </w:p>
        </w:tc>
      </w:tr>
    </w:tbl>
    <w:p>
      <w:pPr>
        <w:spacing w:before="40" w:after="0"/>
      </w:pPr>
    </w:p>
    <w:tbl>
      <w:tblPr>
        <w:tblStyle w:val="TableGrid"/>
        <w:tblW w:type="auto" w:w="0"/>
        <w:tblLook w:firstColumn="1" w:firstRow="1" w:lastColumn="0" w:lastRow="0" w:noHBand="0" w:noVBand="1" w:val="04A0"/>
      </w:tblPr>
      <w:tblGrid>
        <w:gridCol w:w="5043"/>
        <w:gridCol w:w="5043"/>
      </w:tblGrid>
      <w:tr>
        <w:tc>
          <w:tcPr>
            <w:tcW w:type="dxa" w:w="6336"/>
            <w:tcBorders>
              <w:top w:val="none"/>
              <w:left w:val="none"/>
              <w:bottom w:val="none"/>
              <w:right w:val="none"/>
              <w:insideH w:val="none"/>
              <w:insideV w:val="none"/>
            </w:tcBorders>
          </w:tcPr>
          <w:p>
            <w:pPr>
              <w:spacing w:before="80" w:after="0"/>
              <w:jc w:val="left"/>
            </w:pPr>
            <w:r>
              <w:rPr>
                <w:rFonts w:ascii="Calibri" w:hAnsi="Calibri"/>
                <w:b/>
                <w:i w:val="0"/>
                <w:color w:val="1B4339"/>
                <w:sz w:val="20"/>
              </w:rPr>
              <w:t>BSS (Honours), Economics</w:t>
            </w:r>
          </w:p>
        </w:tc>
        <w:tc>
          <w:tcPr>
            <w:tcW w:type="dxa" w:w="3024"/>
            <w:tcBorders>
              <w:top w:val="none"/>
              <w:left w:val="none"/>
              <w:bottom w:val="none"/>
              <w:right w:val="none"/>
              <w:insideH w:val="none"/>
              <w:insideV w:val="none"/>
            </w:tcBorders>
          </w:tcPr>
          <w:p>
            <w:pPr>
              <w:spacing w:before="80" w:after="0"/>
              <w:jc w:val="right"/>
            </w:pPr>
            <w:r>
              <w:rPr>
                <w:rFonts w:ascii="Calibri" w:hAnsi="Calibri"/>
                <w:b w:val="0"/>
                <w:i/>
                <w:color w:val="63716B"/>
                <w:sz w:val="18"/>
              </w:rPr>
              <w:t>2026 – Present</w:t>
            </w:r>
          </w:p>
        </w:tc>
      </w:tr>
    </w:tbl>
    <w:p>
      <w:pPr>
        <w:spacing w:before="0" w:after="60"/>
      </w:pPr>
      <w:r>
        <w:rPr>
          <w:rFonts w:ascii="Calibri" w:hAnsi="Calibri"/>
          <w:b w:val="0"/>
          <w:i w:val="0"/>
          <w:color w:val="497065"/>
          <w:sz w:val="19"/>
        </w:rPr>
        <w:t>National University of Bangladesh</w:t>
      </w:r>
    </w:p>
    <w:tbl>
      <w:tblPr>
        <w:tblStyle w:val="TableGrid"/>
        <w:tblW w:type="auto" w:w="0"/>
        <w:tblLook w:firstColumn="1" w:firstRow="1" w:lastColumn="0" w:lastRow="0" w:noHBand="0" w:noVBand="1" w:val="04A0"/>
      </w:tblPr>
      <w:tblGrid>
        <w:gridCol w:w="5043"/>
        <w:gridCol w:w="5043"/>
      </w:tblGrid>
      <w:tr>
        <w:tc>
          <w:tcPr>
            <w:tcW w:type="dxa" w:w="6336"/>
            <w:tcBorders>
              <w:top w:val="none"/>
              <w:left w:val="none"/>
              <w:bottom w:val="none"/>
              <w:right w:val="none"/>
              <w:insideH w:val="none"/>
              <w:insideV w:val="none"/>
            </w:tcBorders>
          </w:tcPr>
          <w:p>
            <w:pPr>
              <w:spacing w:before="80" w:after="0"/>
              <w:jc w:val="left"/>
            </w:pPr>
            <w:r>
              <w:rPr>
                <w:rFonts w:ascii="Calibri" w:hAnsi="Calibri"/>
                <w:b/>
                <w:i w:val="0"/>
                <w:color w:val="1B4339"/>
                <w:sz w:val="20"/>
              </w:rPr>
              <w:t>Higher Secondary Certificate (HSC)</w:t>
            </w:r>
          </w:p>
        </w:tc>
        <w:tc>
          <w:tcPr>
            <w:tcW w:type="dxa" w:w="3024"/>
            <w:tcBorders>
              <w:top w:val="none"/>
              <w:left w:val="none"/>
              <w:bottom w:val="none"/>
              <w:right w:val="none"/>
              <w:insideH w:val="none"/>
              <w:insideV w:val="none"/>
            </w:tcBorders>
          </w:tcPr>
          <w:p>
            <w:pPr>
              <w:spacing w:before="80" w:after="0"/>
              <w:jc w:val="right"/>
            </w:pPr>
            <w:r>
              <w:rPr>
                <w:rFonts w:ascii="Calibri" w:hAnsi="Calibri"/>
                <w:b w:val="0"/>
                <w:i/>
                <w:color w:val="63716B"/>
                <w:sz w:val="18"/>
              </w:rPr>
              <w:t>2022 – 2024</w:t>
            </w:r>
          </w:p>
        </w:tc>
      </w:tr>
    </w:tbl>
    <w:p>
      <w:pPr>
        <w:spacing w:before="0" w:after="60"/>
      </w:pPr>
      <w:r>
        <w:rPr>
          <w:rFonts w:ascii="Calibri" w:hAnsi="Calibri"/>
          <w:b w:val="0"/>
          <w:i w:val="0"/>
          <w:color w:val="497065"/>
          <w:sz w:val="19"/>
        </w:rPr>
        <w:t>Moulvibazar Government College</w:t>
      </w:r>
      <w:r>
        <w:rPr>
          <w:rFonts w:ascii="Calibri" w:hAnsi="Calibri"/>
          <w:b/>
          <w:i w:val="0"/>
          <w:color w:val="254F42"/>
          <w:sz w:val="18"/>
        </w:rPr>
        <w:t xml:space="preserve">   GPA: 5.00 / 5.00</w:t>
      </w:r>
    </w:p>
    <w:tbl>
      <w:tblPr>
        <w:tblStyle w:val="TableGrid"/>
        <w:tblW w:type="auto" w:w="0"/>
        <w:tblLook w:firstColumn="1" w:firstRow="1" w:lastColumn="0" w:lastRow="0" w:noHBand="0" w:noVBand="1" w:val="04A0"/>
      </w:tblPr>
      <w:tblGrid>
        <w:gridCol w:w="5043"/>
        <w:gridCol w:w="5043"/>
      </w:tblGrid>
      <w:tr>
        <w:tc>
          <w:tcPr>
            <w:tcW w:type="dxa" w:w="6336"/>
            <w:tcBorders>
              <w:top w:val="none"/>
              <w:left w:val="none"/>
              <w:bottom w:val="none"/>
              <w:right w:val="none"/>
              <w:insideH w:val="none"/>
              <w:insideV w:val="none"/>
            </w:tcBorders>
          </w:tcPr>
          <w:p>
            <w:pPr>
              <w:spacing w:before="80" w:after="0"/>
              <w:jc w:val="left"/>
            </w:pPr>
            <w:r>
              <w:rPr>
                <w:rFonts w:ascii="Calibri" w:hAnsi="Calibri"/>
                <w:b/>
                <w:i w:val="0"/>
                <w:color w:val="1B4339"/>
                <w:sz w:val="20"/>
              </w:rPr>
              <w:t>Secondary School Certificate (SSC)</w:t>
            </w:r>
          </w:p>
        </w:tc>
        <w:tc>
          <w:tcPr>
            <w:tcW w:type="dxa" w:w="3024"/>
            <w:tcBorders>
              <w:top w:val="none"/>
              <w:left w:val="none"/>
              <w:bottom w:val="none"/>
              <w:right w:val="none"/>
              <w:insideH w:val="none"/>
              <w:insideV w:val="none"/>
            </w:tcBorders>
          </w:tcPr>
          <w:p>
            <w:pPr>
              <w:spacing w:before="80" w:after="0"/>
              <w:jc w:val="right"/>
            </w:pPr>
            <w:r>
              <w:rPr>
                <w:rFonts w:ascii="Calibri" w:hAnsi="Calibri"/>
                <w:b w:val="0"/>
                <w:i/>
                <w:color w:val="63716B"/>
                <w:sz w:val="18"/>
              </w:rPr>
              <w:t>2016 – 2022</w:t>
            </w:r>
          </w:p>
        </w:tc>
      </w:tr>
    </w:tbl>
    <w:p>
      <w:pPr>
        <w:spacing w:before="0" w:after="60"/>
      </w:pPr>
      <w:r>
        <w:rPr>
          <w:rFonts w:ascii="Calibri" w:hAnsi="Calibri"/>
          <w:b w:val="0"/>
          <w:i w:val="0"/>
          <w:color w:val="497065"/>
          <w:sz w:val="19"/>
        </w:rPr>
        <w:t>Ali Amzad Government Girls' High School</w:t>
      </w:r>
      <w:r>
        <w:rPr>
          <w:rFonts w:ascii="Calibri" w:hAnsi="Calibri"/>
          <w:b/>
          <w:i w:val="0"/>
          <w:color w:val="254F42"/>
          <w:sz w:val="18"/>
        </w:rPr>
        <w:t xml:space="preserve">   GPA: 5.00 / 5.00</w:t>
      </w:r>
    </w:p>
    <w:p>
      <w:pPr>
        <w:spacing w:before="20" w:after="120"/>
      </w:pPr>
      <w:r>
        <w:rPr>
          <w:rFonts w:ascii="Calibri" w:hAnsi="Calibri"/>
          <w:b/>
          <w:i w:val="0"/>
          <w:color w:val="254F42"/>
          <w:sz w:val="19"/>
        </w:rPr>
        <w:t xml:space="preserve">SAT Score: </w:t>
      </w:r>
      <w:r>
        <w:rPr>
          <w:rFonts w:ascii="Calibri" w:hAnsi="Calibri"/>
          <w:b/>
          <w:i w:val="0"/>
          <w:color w:val="1B4339"/>
          <w:sz w:val="19"/>
        </w:rPr>
        <w:t>1410</w:t>
      </w:r>
    </w:p>
    <w:tbl>
      <w:tblPr>
        <w:tblStyle w:val="TableGrid"/>
        <w:tblW w:type="auto" w:w="0"/>
        <w:tblLook w:firstColumn="1" w:firstRow="1" w:lastColumn="0" w:lastRow="0" w:noHBand="0" w:noVBand="1" w:val="04A0"/>
      </w:tblPr>
      <w:tblGrid>
        <w:gridCol w:w="10086"/>
      </w:tblGrid>
      <w:tr>
        <w:tc>
          <w:tcPr>
            <w:tcW w:type="dxa" w:w="10086"/>
            <w:shd w:val="clear" w:color="auto" w:fill="254F42"/>
            <w:tcBorders>
              <w:top w:val="none"/>
              <w:left w:val="none"/>
              <w:bottom w:val="none"/>
              <w:right w:val="none"/>
              <w:insideH w:val="none"/>
              <w:insideV w:val="none"/>
            </w:tcBorders>
            <w:tcMar>
              <w:top w:w="80" w:type="dxa"/>
              <w:left w:w="80" w:type="dxa"/>
              <w:bottom w:w="80" w:type="dxa"/>
              <w:right w:w="80" w:type="dxa"/>
            </w:tcMar>
          </w:tcPr>
          <w:p>
            <w:pPr>
              <w:spacing w:before="0" w:after="0"/>
              <w:jc w:val="left"/>
            </w:pPr>
            <w:r>
              <w:rPr>
                <w:rFonts w:ascii="Calibri" w:hAnsi="Calibri"/>
                <w:b/>
                <w:i w:val="0"/>
                <w:color w:val="FFFFFF"/>
                <w:sz w:val="19"/>
              </w:rPr>
              <w:t>SKILLS &amp; TOOLS</w:t>
            </w:r>
          </w:p>
        </w:tc>
      </w:tr>
    </w:tbl>
    <w:p>
      <w:pPr>
        <w:spacing w:before="40" w:after="0"/>
      </w:pPr>
    </w:p>
    <w:p>
      <w:pPr>
        <w:spacing w:before="20" w:after="20"/>
      </w:pPr>
      <w:r>
        <w:rPr>
          <w:rFonts w:ascii="Calibri" w:hAnsi="Calibri"/>
          <w:b/>
          <w:i w:val="0"/>
          <w:color w:val="254F42"/>
          <w:sz w:val="19"/>
        </w:rPr>
        <w:t xml:space="preserve">Web Development:  </w:t>
      </w:r>
      <w:r>
        <w:rPr>
          <w:rFonts w:ascii="Calibri" w:hAnsi="Calibri"/>
          <w:b w:val="0"/>
          <w:i w:val="0"/>
          <w:color w:val="63716B"/>
          <w:sz w:val="19"/>
        </w:rPr>
        <w:t>HTML5 (Semantic), CSS3 (Grid, Flexbox, Custom Properties), JavaScript (ES6+), DOM Manipulation, Responsive Design, Vite</w:t>
      </w:r>
    </w:p>
    <w:p>
      <w:pPr>
        <w:spacing w:before="20" w:after="20"/>
      </w:pPr>
      <w:r>
        <w:rPr>
          <w:rFonts w:ascii="Calibri" w:hAnsi="Calibri"/>
          <w:b/>
          <w:i w:val="0"/>
          <w:color w:val="254F42"/>
          <w:sz w:val="19"/>
        </w:rPr>
        <w:t xml:space="preserve">Animation &amp; UX:  </w:t>
      </w:r>
      <w:r>
        <w:rPr>
          <w:rFonts w:ascii="Calibri" w:hAnsi="Calibri"/>
          <w:b w:val="0"/>
          <w:i w:val="0"/>
          <w:color w:val="63716B"/>
          <w:sz w:val="19"/>
        </w:rPr>
        <w:t>GSAP &amp; ScrollTrigger, IntersectionObserver, Keyboard Accessibility (WCAG), Cross-Browser Compatibility</w:t>
      </w:r>
    </w:p>
    <w:p>
      <w:pPr>
        <w:spacing w:before="20" w:after="20"/>
      </w:pPr>
      <w:r>
        <w:rPr>
          <w:rFonts w:ascii="Calibri" w:hAnsi="Calibri"/>
          <w:b/>
          <w:i w:val="0"/>
          <w:color w:val="254F42"/>
          <w:sz w:val="19"/>
        </w:rPr>
        <w:t xml:space="preserve">Market Research:  </w:t>
      </w:r>
      <w:r>
        <w:rPr>
          <w:rFonts w:ascii="Calibri" w:hAnsi="Calibri"/>
          <w:b w:val="0"/>
          <w:i w:val="0"/>
          <w:color w:val="63716B"/>
          <w:sz w:val="19"/>
        </w:rPr>
        <w:t>Web research &amp; competitor analysis, Fact-checking &amp; source verification, Lead research, Information architecture, Structured data summaries</w:t>
      </w:r>
    </w:p>
    <w:p>
      <w:pPr>
        <w:spacing w:before="20" w:after="20"/>
      </w:pPr>
      <w:r>
        <w:rPr>
          <w:rFonts w:ascii="Calibri" w:hAnsi="Calibri"/>
          <w:b/>
          <w:i w:val="0"/>
          <w:color w:val="254F42"/>
          <w:sz w:val="19"/>
        </w:rPr>
        <w:t xml:space="preserve">Digital &amp; SEO:  </w:t>
      </w:r>
      <w:r>
        <w:rPr>
          <w:rFonts w:ascii="Calibri" w:hAnsi="Calibri"/>
          <w:b w:val="0"/>
          <w:i w:val="0"/>
          <w:color w:val="63716B"/>
          <w:sz w:val="19"/>
        </w:rPr>
        <w:t>On-page SEO, Keyword research, Landing page structure, Social media content planning, Content writing &amp; editing</w:t>
      </w:r>
    </w:p>
    <w:p>
      <w:pPr>
        <w:spacing w:before="20" w:after="20"/>
      </w:pPr>
      <w:r>
        <w:rPr>
          <w:rFonts w:ascii="Calibri" w:hAnsi="Calibri"/>
          <w:b/>
          <w:i w:val="0"/>
          <w:color w:val="254F42"/>
          <w:sz w:val="19"/>
        </w:rPr>
        <w:t xml:space="preserve">Data &amp; Tools:  </w:t>
      </w:r>
      <w:r>
        <w:rPr>
          <w:rFonts w:ascii="Calibri" w:hAnsi="Calibri"/>
          <w:b w:val="0"/>
          <w:i w:val="0"/>
          <w:color w:val="63716B"/>
          <w:sz w:val="19"/>
        </w:rPr>
        <w:t>Microsoft Excel (Spreadsheet modelling), Google Sheets, Canva, Microsoft Word, AI-assisted workflow support</w:t>
      </w:r>
    </w:p>
    <w:p>
      <w:pPr>
        <w:spacing w:before="20" w:after="20"/>
      </w:pPr>
      <w:r>
        <w:rPr>
          <w:rFonts w:ascii="Calibri" w:hAnsi="Calibri"/>
          <w:b/>
          <w:i w:val="0"/>
          <w:color w:val="254F42"/>
          <w:sz w:val="19"/>
        </w:rPr>
        <w:t xml:space="preserve">Foundations:  </w:t>
      </w:r>
      <w:r>
        <w:rPr>
          <w:rFonts w:ascii="Calibri" w:hAnsi="Calibri"/>
          <w:b w:val="0"/>
          <w:i w:val="0"/>
          <w:color w:val="63716B"/>
          <w:sz w:val="19"/>
        </w:rPr>
        <w:t>Git &amp; GitHub version control, Remote collaboration, Deadline management, Organised documentation</w:t>
      </w:r>
    </w:p>
    <w:p/>
    <w:p>
      <w:pPr>
        <w:spacing w:before="80" w:after="0"/>
        <w:jc w:val="center"/>
      </w:pPr>
      <w:r>
        <w:rPr>
          <w:rFonts w:ascii="Calibri" w:hAnsi="Calibri"/>
          <w:b w:val="0"/>
          <w:i/>
          <w:color w:val="63716B"/>
          <w:sz w:val="17"/>
        </w:rPr>
        <w:t>References and portfolio available on request  ·  joy02taspi@gmail.com</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