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Pom.xml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&lt;groupId&gt;org.example.library&lt;/groupId&gt;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&lt;version&gt;1.0.0&lt;/version&gt;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&lt;packaging&gt;jar&lt;/packaging&gt;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&lt;name&gt;Library Management System&lt;/name&gt;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&lt;description&gt;A Spring Boot-based library application&lt;/description&gt;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&lt;parent&gt;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&lt;version&gt;3.2.5&lt;/version&gt;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&lt;relativePath/&gt; &lt;!-- Automatically fetches parent from repository --&gt;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&lt;/parent&gt;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&lt;java.version&gt;17&lt;/java.version&gt;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&lt;!-- RESTful Web support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&lt;artifactId&gt;spring-boot-starter-web&lt;/artifactId&gt;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&lt;!-- JPA for database interaction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&lt;artifactId&gt;spring-boot-starter-data-jpa&lt;/artifactId&gt;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&lt;!-- H2 in-memory DB for quick testing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&lt;groupId&gt;com.h2database&lt;/groupId&gt;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&lt;artifactId&gt;h2&lt;/artifactId&gt;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&lt;!-- Live reload during development --&gt;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&lt;artifactId&gt;spring-boot-devtools&lt;/artifactId&gt;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&lt;!-- Testing utilities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&lt;!-- Enables Spring Boot's packaging and execution features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LibraryApp.java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org.example.library;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LibraryApp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SpringApplication.run(LibraryApp.class, args);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