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7F106" w14:textId="1BB443F3" w:rsidR="00654FD0" w:rsidRPr="00F4586D" w:rsidRDefault="009F0A40" w:rsidP="002E3574">
      <w:pPr>
        <w:rPr>
          <w:rFonts w:ascii="Times New Roman" w:hAnsi="Times New Roman" w:cs="Times New Roman"/>
          <w:sz w:val="24"/>
          <w:szCs w:val="24"/>
          <w:u w:val="single"/>
          <w:lang w:val="fr-FR"/>
        </w:rPr>
      </w:pPr>
      <w:proofErr w:type="spellStart"/>
      <w:r w:rsidRPr="00F4586D">
        <w:rPr>
          <w:rFonts w:ascii="Times New Roman" w:hAnsi="Times New Roman" w:cs="Times New Roman"/>
          <w:sz w:val="24"/>
          <w:szCs w:val="24"/>
          <w:u w:val="single"/>
          <w:lang w:val="fr-FR"/>
        </w:rPr>
        <w:t>Literature</w:t>
      </w:r>
      <w:proofErr w:type="spellEnd"/>
      <w:r w:rsidRPr="00F4586D">
        <w:rPr>
          <w:rFonts w:ascii="Times New Roman" w:hAnsi="Times New Roman" w:cs="Times New Roman"/>
          <w:sz w:val="24"/>
          <w:szCs w:val="24"/>
          <w:u w:val="single"/>
          <w:lang w:val="fr-FR"/>
        </w:rPr>
        <w:t xml:space="preserve"> </w:t>
      </w:r>
      <w:proofErr w:type="spellStart"/>
      <w:r w:rsidRPr="00F4586D">
        <w:rPr>
          <w:rFonts w:ascii="Times New Roman" w:hAnsi="Times New Roman" w:cs="Times New Roman"/>
          <w:sz w:val="24"/>
          <w:szCs w:val="24"/>
          <w:u w:val="single"/>
          <w:lang w:val="fr-FR"/>
        </w:rPr>
        <w:t>review</w:t>
      </w:r>
      <w:proofErr w:type="spellEnd"/>
      <w:r w:rsidRPr="00F4586D">
        <w:rPr>
          <w:rFonts w:ascii="Times New Roman" w:hAnsi="Times New Roman" w:cs="Times New Roman"/>
          <w:sz w:val="24"/>
          <w:szCs w:val="24"/>
          <w:u w:val="single"/>
          <w:lang w:val="fr-FR"/>
        </w:rPr>
        <w:t xml:space="preserve">, </w:t>
      </w:r>
      <w:proofErr w:type="spellStart"/>
      <w:r w:rsidRPr="00F4586D">
        <w:rPr>
          <w:rFonts w:ascii="Times New Roman" w:hAnsi="Times New Roman" w:cs="Times New Roman"/>
          <w:sz w:val="24"/>
          <w:szCs w:val="24"/>
          <w:u w:val="single"/>
          <w:lang w:val="fr-FR"/>
        </w:rPr>
        <w:t>Scoring</w:t>
      </w:r>
      <w:proofErr w:type="spellEnd"/>
      <w:r w:rsidRPr="00F4586D">
        <w:rPr>
          <w:rFonts w:ascii="Times New Roman" w:hAnsi="Times New Roman" w:cs="Times New Roman"/>
          <w:sz w:val="24"/>
          <w:szCs w:val="24"/>
          <w:u w:val="single"/>
          <w:lang w:val="fr-FR"/>
        </w:rPr>
        <w:t xml:space="preserve"> </w:t>
      </w:r>
    </w:p>
    <w:p w14:paraId="1C262111" w14:textId="77777777" w:rsidR="009F0A40" w:rsidRDefault="009F0A40" w:rsidP="002E3574">
      <w:pPr>
        <w:rPr>
          <w:rFonts w:ascii="Times New Roman" w:hAnsi="Times New Roman" w:cs="Times New Roman"/>
          <w:sz w:val="24"/>
          <w:szCs w:val="24"/>
          <w:lang w:val="fr-FR"/>
        </w:rPr>
      </w:pPr>
    </w:p>
    <w:p w14:paraId="17026E8B" w14:textId="07500203" w:rsidR="009F0A40" w:rsidRDefault="009F0A40" w:rsidP="002E3574">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Shumway’s</w:t>
      </w:r>
      <w:proofErr w:type="spellEnd"/>
      <w:r>
        <w:rPr>
          <w:rFonts w:ascii="Times New Roman" w:hAnsi="Times New Roman" w:cs="Times New Roman"/>
          <w:sz w:val="24"/>
          <w:szCs w:val="24"/>
          <w:lang w:val="fr-FR"/>
        </w:rPr>
        <w:t xml:space="preserve"> article </w:t>
      </w:r>
    </w:p>
    <w:p w14:paraId="3C4397E5" w14:textId="25EFF13E" w:rsidR="009F0A40" w:rsidRDefault="009F0A40" w:rsidP="009F0A40">
      <w:pPr>
        <w:pStyle w:val="ListParagraph"/>
        <w:numPr>
          <w:ilvl w:val="0"/>
          <w:numId w:val="1"/>
        </w:numPr>
        <w:jc w:val="both"/>
        <w:rPr>
          <w:rFonts w:ascii="Times New Roman" w:hAnsi="Times New Roman" w:cs="Times New Roman"/>
          <w:sz w:val="24"/>
          <w:szCs w:val="24"/>
        </w:rPr>
      </w:pPr>
      <w:r w:rsidRPr="009F0A40">
        <w:rPr>
          <w:rFonts w:ascii="Times New Roman" w:hAnsi="Times New Roman" w:cs="Times New Roman"/>
          <w:sz w:val="24"/>
          <w:szCs w:val="24"/>
        </w:rPr>
        <w:t>Critical about static model of probability of default (especially Altman’s method)</w:t>
      </w:r>
    </w:p>
    <w:p w14:paraId="764E0B4B" w14:textId="4624E6DD" w:rsidR="009F0A40" w:rsidRDefault="009F0A40" w:rsidP="009F0A40">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Porposes</w:t>
      </w:r>
      <w:proofErr w:type="spellEnd"/>
      <w:r>
        <w:rPr>
          <w:rFonts w:ascii="Times New Roman" w:hAnsi="Times New Roman" w:cs="Times New Roman"/>
          <w:sz w:val="24"/>
          <w:szCs w:val="24"/>
        </w:rPr>
        <w:t xml:space="preserve"> a more dynamic model that accounts for the evolution of the firm in time and the variables that affect its risk of default</w:t>
      </w:r>
    </w:p>
    <w:p w14:paraId="19816B99" w14:textId="77777777" w:rsidR="009F0A40" w:rsidRDefault="009F0A40" w:rsidP="009F0A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 traditional financial ratio like </w:t>
      </w:r>
      <w:proofErr w:type="spellStart"/>
      <w:r>
        <w:rPr>
          <w:rFonts w:ascii="Times New Roman" w:hAnsi="Times New Roman" w:cs="Times New Roman"/>
          <w:sz w:val="24"/>
          <w:szCs w:val="24"/>
        </w:rPr>
        <w:t>altman</w:t>
      </w:r>
      <w:proofErr w:type="spellEnd"/>
      <w:r>
        <w:rPr>
          <w:rFonts w:ascii="Times New Roman" w:hAnsi="Times New Roman" w:cs="Times New Roman"/>
          <w:sz w:val="24"/>
          <w:szCs w:val="24"/>
        </w:rPr>
        <w:t xml:space="preserve"> but add market dimension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idiosyncratic standard deviation (measure the volatility of the firm’s itself compared to that of the global market), stocks returns, size of the market the firm operated on </w:t>
      </w:r>
    </w:p>
    <w:p w14:paraId="00ADEF93" w14:textId="77777777" w:rsidR="009F0A40" w:rsidRDefault="009F0A40" w:rsidP="009F0A40">
      <w:pPr>
        <w:jc w:val="both"/>
        <w:rPr>
          <w:rFonts w:ascii="Times New Roman" w:hAnsi="Times New Roman" w:cs="Times New Roman"/>
          <w:sz w:val="24"/>
          <w:szCs w:val="24"/>
        </w:rPr>
      </w:pPr>
      <w:r>
        <w:rPr>
          <w:rFonts w:ascii="Times New Roman" w:hAnsi="Times New Roman" w:cs="Times New Roman"/>
          <w:sz w:val="24"/>
          <w:szCs w:val="24"/>
        </w:rPr>
        <w:t xml:space="preserve">Results </w:t>
      </w:r>
    </w:p>
    <w:p w14:paraId="39A2FC8E" w14:textId="1DF5228F" w:rsidR="009F0A40" w:rsidRDefault="009F0A40" w:rsidP="009F0A40">
      <w:pPr>
        <w:jc w:val="both"/>
        <w:rPr>
          <w:rFonts w:ascii="Times New Roman" w:hAnsi="Times New Roman" w:cs="Times New Roman"/>
          <w:sz w:val="24"/>
          <w:szCs w:val="24"/>
        </w:rPr>
      </w:pPr>
      <w:r>
        <w:rPr>
          <w:rFonts w:ascii="Times New Roman" w:hAnsi="Times New Roman" w:cs="Times New Roman"/>
          <w:sz w:val="24"/>
          <w:szCs w:val="24"/>
        </w:rPr>
        <w:t>The variables related to the market mentioned above are highly significant and therefore are good predictors for the risk of default. Half of the traditional financial ratios aren’t significant. EBIT/total asset, Net income/total asset are nevertheless good predictors.</w:t>
      </w:r>
    </w:p>
    <w:p w14:paraId="65511263" w14:textId="77777777" w:rsidR="009F0A40" w:rsidRDefault="009F0A40" w:rsidP="009F0A40">
      <w:pPr>
        <w:jc w:val="both"/>
        <w:rPr>
          <w:rFonts w:ascii="Times New Roman" w:hAnsi="Times New Roman" w:cs="Times New Roman"/>
          <w:sz w:val="24"/>
          <w:szCs w:val="24"/>
        </w:rPr>
      </w:pPr>
    </w:p>
    <w:p w14:paraId="3AC955CD" w14:textId="77777777" w:rsidR="009F0A40" w:rsidRPr="00F4586D" w:rsidRDefault="009F0A40" w:rsidP="009F0A40">
      <w:pPr>
        <w:jc w:val="both"/>
        <w:rPr>
          <w:rFonts w:ascii="Times New Roman" w:hAnsi="Times New Roman" w:cs="Times New Roman"/>
          <w:sz w:val="24"/>
          <w:szCs w:val="24"/>
          <w:u w:val="single"/>
        </w:rPr>
      </w:pPr>
      <w:r w:rsidRPr="00F4586D">
        <w:rPr>
          <w:rFonts w:ascii="Times New Roman" w:hAnsi="Times New Roman" w:cs="Times New Roman"/>
          <w:sz w:val="24"/>
          <w:szCs w:val="24"/>
          <w:u w:val="single"/>
        </w:rPr>
        <w:t xml:space="preserve">Ohlson’s article </w:t>
      </w:r>
      <w:r w:rsidRPr="00F4586D">
        <w:rPr>
          <w:rFonts w:ascii="Times New Roman" w:hAnsi="Times New Roman" w:cs="Times New Roman"/>
          <w:sz w:val="24"/>
          <w:szCs w:val="24"/>
          <w:u w:val="single"/>
        </w:rPr>
        <w:t>Financial Ratios and the Probabilistic Prediction of Bankruptcy</w:t>
      </w:r>
    </w:p>
    <w:p w14:paraId="1AE982B1" w14:textId="77777777" w:rsidR="00F4586D" w:rsidRDefault="009F0A40" w:rsidP="009F0A40">
      <w:pPr>
        <w:jc w:val="both"/>
        <w:rPr>
          <w:rFonts w:ascii="Times New Roman" w:hAnsi="Times New Roman" w:cs="Times New Roman"/>
          <w:sz w:val="24"/>
          <w:szCs w:val="24"/>
        </w:rPr>
      </w:pPr>
      <w:r>
        <w:rPr>
          <w:rFonts w:ascii="Times New Roman" w:hAnsi="Times New Roman" w:cs="Times New Roman"/>
          <w:sz w:val="24"/>
          <w:szCs w:val="24"/>
        </w:rPr>
        <w:t>Uses financial ratios in a logistic regression</w:t>
      </w:r>
    </w:p>
    <w:p w14:paraId="732F03FD" w14:textId="5C323C92" w:rsidR="00F4586D" w:rsidRPr="00F4586D" w:rsidRDefault="00F4586D" w:rsidP="00F4586D">
      <w:pPr>
        <w:jc w:val="both"/>
        <w:rPr>
          <w:rFonts w:ascii="Times New Roman" w:hAnsi="Times New Roman" w:cs="Times New Roman"/>
          <w:b/>
          <w:bCs/>
          <w:sz w:val="24"/>
          <w:szCs w:val="24"/>
        </w:rPr>
      </w:pPr>
      <w:r w:rsidRPr="00F4586D">
        <w:rPr>
          <w:rFonts w:ascii="Times New Roman" w:hAnsi="Times New Roman" w:cs="Times New Roman"/>
          <w:b/>
          <w:bCs/>
          <w:sz w:val="24"/>
          <w:szCs w:val="24"/>
        </w:rPr>
        <w:t xml:space="preserve"> Financial Ratios Used</w:t>
      </w:r>
    </w:p>
    <w:p w14:paraId="6DB8FE43" w14:textId="77777777"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sz w:val="24"/>
          <w:szCs w:val="24"/>
        </w:rPr>
        <w:t>Ohlson identifies a set of financial ratios that have historically shown a strong correlation with bankruptcies. These ratios cover different dimensions of a company's financial health:</w:t>
      </w:r>
    </w:p>
    <w:p w14:paraId="6CFF4C32" w14:textId="77777777" w:rsidR="00F4586D" w:rsidRPr="00F4586D" w:rsidRDefault="00F4586D" w:rsidP="00F4586D">
      <w:pPr>
        <w:numPr>
          <w:ilvl w:val="0"/>
          <w:numId w:val="5"/>
        </w:numPr>
        <w:jc w:val="both"/>
        <w:rPr>
          <w:rFonts w:ascii="Times New Roman" w:hAnsi="Times New Roman" w:cs="Times New Roman"/>
          <w:sz w:val="24"/>
          <w:szCs w:val="24"/>
        </w:rPr>
      </w:pPr>
      <w:r w:rsidRPr="00F4586D">
        <w:rPr>
          <w:rFonts w:ascii="Times New Roman" w:hAnsi="Times New Roman" w:cs="Times New Roman"/>
          <w:b/>
          <w:bCs/>
          <w:sz w:val="24"/>
          <w:szCs w:val="24"/>
        </w:rPr>
        <w:t>Leverage Ratio (Total Debt / Total Assets)</w:t>
      </w:r>
      <w:r w:rsidRPr="00F4586D">
        <w:rPr>
          <w:rFonts w:ascii="Times New Roman" w:hAnsi="Times New Roman" w:cs="Times New Roman"/>
          <w:sz w:val="24"/>
          <w:szCs w:val="24"/>
        </w:rPr>
        <w:t>: Measures a company's indebtedness. A high ratio indicates a strong reliance on debt.</w:t>
      </w:r>
    </w:p>
    <w:p w14:paraId="191AFDBF" w14:textId="77777777" w:rsidR="00F4586D" w:rsidRPr="00F4586D" w:rsidRDefault="00F4586D" w:rsidP="00F4586D">
      <w:pPr>
        <w:numPr>
          <w:ilvl w:val="0"/>
          <w:numId w:val="5"/>
        </w:numPr>
        <w:jc w:val="both"/>
        <w:rPr>
          <w:rFonts w:ascii="Times New Roman" w:hAnsi="Times New Roman" w:cs="Times New Roman"/>
          <w:sz w:val="24"/>
          <w:szCs w:val="24"/>
        </w:rPr>
      </w:pPr>
      <w:r w:rsidRPr="00F4586D">
        <w:rPr>
          <w:rFonts w:ascii="Times New Roman" w:hAnsi="Times New Roman" w:cs="Times New Roman"/>
          <w:b/>
          <w:bCs/>
          <w:sz w:val="24"/>
          <w:szCs w:val="24"/>
        </w:rPr>
        <w:t>Current Ratio (Current Assets / Current Liabilities)</w:t>
      </w:r>
      <w:r w:rsidRPr="00F4586D">
        <w:rPr>
          <w:rFonts w:ascii="Times New Roman" w:hAnsi="Times New Roman" w:cs="Times New Roman"/>
          <w:sz w:val="24"/>
          <w:szCs w:val="24"/>
        </w:rPr>
        <w:t>: An indicator of a company's ability to cover its short-term obligations. A low value may signal imminent liquidity problems.</w:t>
      </w:r>
    </w:p>
    <w:p w14:paraId="3B854B4C" w14:textId="77777777" w:rsidR="00F4586D" w:rsidRPr="00F4586D" w:rsidRDefault="00F4586D" w:rsidP="00F4586D">
      <w:pPr>
        <w:numPr>
          <w:ilvl w:val="0"/>
          <w:numId w:val="5"/>
        </w:numPr>
        <w:jc w:val="both"/>
        <w:rPr>
          <w:rFonts w:ascii="Times New Roman" w:hAnsi="Times New Roman" w:cs="Times New Roman"/>
          <w:sz w:val="24"/>
          <w:szCs w:val="24"/>
        </w:rPr>
      </w:pPr>
      <w:r w:rsidRPr="00F4586D">
        <w:rPr>
          <w:rFonts w:ascii="Times New Roman" w:hAnsi="Times New Roman" w:cs="Times New Roman"/>
          <w:b/>
          <w:bCs/>
          <w:sz w:val="24"/>
          <w:szCs w:val="24"/>
        </w:rPr>
        <w:t>Return on Assets (Net Income / Total Assets)</w:t>
      </w:r>
      <w:r w:rsidRPr="00F4586D">
        <w:rPr>
          <w:rFonts w:ascii="Times New Roman" w:hAnsi="Times New Roman" w:cs="Times New Roman"/>
          <w:sz w:val="24"/>
          <w:szCs w:val="24"/>
        </w:rPr>
        <w:t>: An indicator of a company's profitability relative to its assets. A low or negative return on assets is often a warning sign.</w:t>
      </w:r>
    </w:p>
    <w:p w14:paraId="03A68452" w14:textId="77777777" w:rsidR="00F4586D" w:rsidRPr="00F4586D" w:rsidRDefault="00F4586D" w:rsidP="00F4586D">
      <w:pPr>
        <w:numPr>
          <w:ilvl w:val="0"/>
          <w:numId w:val="5"/>
        </w:numPr>
        <w:jc w:val="both"/>
        <w:rPr>
          <w:rFonts w:ascii="Times New Roman" w:hAnsi="Times New Roman" w:cs="Times New Roman"/>
          <w:sz w:val="24"/>
          <w:szCs w:val="24"/>
        </w:rPr>
      </w:pPr>
      <w:r w:rsidRPr="00F4586D">
        <w:rPr>
          <w:rFonts w:ascii="Times New Roman" w:hAnsi="Times New Roman" w:cs="Times New Roman"/>
          <w:b/>
          <w:bCs/>
          <w:sz w:val="24"/>
          <w:szCs w:val="24"/>
        </w:rPr>
        <w:t>Size of the Company</w:t>
      </w:r>
      <w:r w:rsidRPr="00F4586D">
        <w:rPr>
          <w:rFonts w:ascii="Times New Roman" w:hAnsi="Times New Roman" w:cs="Times New Roman"/>
          <w:sz w:val="24"/>
          <w:szCs w:val="24"/>
        </w:rPr>
        <w:t>: Measured in terms of total assets. Ohlson shows that smaller companies have a higher risk of bankruptcy.</w:t>
      </w:r>
    </w:p>
    <w:p w14:paraId="262EEBDF" w14:textId="77777777" w:rsidR="00F4586D" w:rsidRPr="00F4586D" w:rsidRDefault="00F4586D" w:rsidP="00F4586D">
      <w:pPr>
        <w:numPr>
          <w:ilvl w:val="0"/>
          <w:numId w:val="5"/>
        </w:numPr>
        <w:jc w:val="both"/>
        <w:rPr>
          <w:rFonts w:ascii="Times New Roman" w:hAnsi="Times New Roman" w:cs="Times New Roman"/>
          <w:sz w:val="24"/>
          <w:szCs w:val="24"/>
        </w:rPr>
      </w:pPr>
      <w:r w:rsidRPr="00F4586D">
        <w:rPr>
          <w:rFonts w:ascii="Times New Roman" w:hAnsi="Times New Roman" w:cs="Times New Roman"/>
          <w:b/>
          <w:bCs/>
          <w:sz w:val="24"/>
          <w:szCs w:val="24"/>
        </w:rPr>
        <w:t>Working Capital / Total Assets</w:t>
      </w:r>
      <w:r w:rsidRPr="00F4586D">
        <w:rPr>
          <w:rFonts w:ascii="Times New Roman" w:hAnsi="Times New Roman" w:cs="Times New Roman"/>
          <w:sz w:val="24"/>
          <w:szCs w:val="24"/>
        </w:rPr>
        <w:t>: This ratio measures a company's relative liquidity by comparing its working capital to its total assets.</w:t>
      </w:r>
    </w:p>
    <w:p w14:paraId="711B98AF" w14:textId="77777777"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sz w:val="24"/>
          <w:szCs w:val="24"/>
        </w:rPr>
        <w:t>These ratios were selected not only for their empirical relevance but also because they are readily available in standard financial reports (like 10-K filings).</w:t>
      </w:r>
    </w:p>
    <w:p w14:paraId="01BAD997" w14:textId="6173AEC1"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sz w:val="24"/>
          <w:szCs w:val="24"/>
        </w:rPr>
        <w:t>for the prediction of a binary variable (bankruptcy or not) based on a set of explanatory variables—in this case, financial ratios.</w:t>
      </w:r>
    </w:p>
    <w:p w14:paraId="407F739D" w14:textId="77777777"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b/>
          <w:bCs/>
          <w:sz w:val="24"/>
          <w:szCs w:val="24"/>
        </w:rPr>
        <w:t>Dataset</w:t>
      </w:r>
    </w:p>
    <w:p w14:paraId="149BD316" w14:textId="43AAFD84"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sz w:val="24"/>
          <w:szCs w:val="24"/>
        </w:rPr>
        <w:lastRenderedPageBreak/>
        <w:t>The analysis is based on data from U.S. companies that filed for bankruptcy under Chapter 7 or Chapter 11 between 1970 and 1976. Financial ratios are extracted from the companies' annual reports (10-K filings).</w:t>
      </w:r>
    </w:p>
    <w:p w14:paraId="38FDB049" w14:textId="77777777" w:rsidR="00F4586D" w:rsidRPr="00F4586D" w:rsidRDefault="00F4586D" w:rsidP="00F4586D">
      <w:pPr>
        <w:jc w:val="both"/>
        <w:rPr>
          <w:rFonts w:ascii="Times New Roman" w:hAnsi="Times New Roman" w:cs="Times New Roman"/>
          <w:b/>
          <w:bCs/>
          <w:sz w:val="24"/>
          <w:szCs w:val="24"/>
        </w:rPr>
      </w:pPr>
      <w:r w:rsidRPr="00F4586D">
        <w:rPr>
          <w:rFonts w:ascii="Times New Roman" w:hAnsi="Times New Roman" w:cs="Times New Roman"/>
          <w:b/>
          <w:bCs/>
          <w:sz w:val="24"/>
          <w:szCs w:val="24"/>
        </w:rPr>
        <w:t>5. Study Results</w:t>
      </w:r>
    </w:p>
    <w:p w14:paraId="7760AA52" w14:textId="77777777"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sz w:val="24"/>
          <w:szCs w:val="24"/>
        </w:rPr>
        <w:t>The study's results confirm that several of the financial ratios included in the model are significant indicators of bankruptcy probability. Ohlson presents the coefficients of each variable in the regression model and their statistical significance.</w:t>
      </w:r>
    </w:p>
    <w:p w14:paraId="527308C5" w14:textId="77777777" w:rsidR="00F4586D" w:rsidRPr="00F4586D" w:rsidRDefault="00F4586D" w:rsidP="00F4586D">
      <w:pPr>
        <w:jc w:val="both"/>
        <w:rPr>
          <w:rFonts w:ascii="Times New Roman" w:hAnsi="Times New Roman" w:cs="Times New Roman"/>
          <w:sz w:val="24"/>
          <w:szCs w:val="24"/>
        </w:rPr>
      </w:pPr>
      <w:r w:rsidRPr="00F4586D">
        <w:rPr>
          <w:rFonts w:ascii="Times New Roman" w:hAnsi="Times New Roman" w:cs="Times New Roman"/>
          <w:b/>
          <w:bCs/>
          <w:sz w:val="24"/>
          <w:szCs w:val="24"/>
        </w:rPr>
        <w:t>Highlights:</w:t>
      </w:r>
    </w:p>
    <w:p w14:paraId="22244682" w14:textId="77777777" w:rsidR="00F4586D" w:rsidRPr="00F4586D" w:rsidRDefault="00F4586D" w:rsidP="00F4586D">
      <w:pPr>
        <w:numPr>
          <w:ilvl w:val="0"/>
          <w:numId w:val="9"/>
        </w:numPr>
        <w:jc w:val="both"/>
        <w:rPr>
          <w:rFonts w:ascii="Times New Roman" w:hAnsi="Times New Roman" w:cs="Times New Roman"/>
          <w:sz w:val="24"/>
          <w:szCs w:val="24"/>
        </w:rPr>
      </w:pPr>
      <w:r w:rsidRPr="00F4586D">
        <w:rPr>
          <w:rFonts w:ascii="Times New Roman" w:hAnsi="Times New Roman" w:cs="Times New Roman"/>
          <w:b/>
          <w:bCs/>
          <w:sz w:val="24"/>
          <w:szCs w:val="24"/>
        </w:rPr>
        <w:t>Leverage</w:t>
      </w:r>
      <w:r w:rsidRPr="00F4586D">
        <w:rPr>
          <w:rFonts w:ascii="Times New Roman" w:hAnsi="Times New Roman" w:cs="Times New Roman"/>
          <w:sz w:val="24"/>
          <w:szCs w:val="24"/>
        </w:rPr>
        <w:t>: Companies with high debt levels (high leverage) are much more likely to go bankrupt. The coefficient for this variable is statistically significant and positive.</w:t>
      </w:r>
    </w:p>
    <w:p w14:paraId="64B1B401" w14:textId="77777777" w:rsidR="00F4586D" w:rsidRPr="00F4586D" w:rsidRDefault="00F4586D" w:rsidP="00F4586D">
      <w:pPr>
        <w:numPr>
          <w:ilvl w:val="0"/>
          <w:numId w:val="9"/>
        </w:numPr>
        <w:jc w:val="both"/>
        <w:rPr>
          <w:rFonts w:ascii="Times New Roman" w:hAnsi="Times New Roman" w:cs="Times New Roman"/>
          <w:sz w:val="24"/>
          <w:szCs w:val="24"/>
        </w:rPr>
      </w:pPr>
      <w:r w:rsidRPr="00F4586D">
        <w:rPr>
          <w:rFonts w:ascii="Times New Roman" w:hAnsi="Times New Roman" w:cs="Times New Roman"/>
          <w:b/>
          <w:bCs/>
          <w:sz w:val="24"/>
          <w:szCs w:val="24"/>
        </w:rPr>
        <w:t>Profitability</w:t>
      </w:r>
      <w:r w:rsidRPr="00F4586D">
        <w:rPr>
          <w:rFonts w:ascii="Times New Roman" w:hAnsi="Times New Roman" w:cs="Times New Roman"/>
          <w:sz w:val="24"/>
          <w:szCs w:val="24"/>
        </w:rPr>
        <w:t>: Companies with negative return on assets are significantly more at risk.</w:t>
      </w:r>
    </w:p>
    <w:p w14:paraId="10536ED8" w14:textId="77777777" w:rsidR="00F4586D" w:rsidRPr="00F4586D" w:rsidRDefault="00F4586D" w:rsidP="00F4586D">
      <w:pPr>
        <w:numPr>
          <w:ilvl w:val="0"/>
          <w:numId w:val="9"/>
        </w:numPr>
        <w:jc w:val="both"/>
        <w:rPr>
          <w:rFonts w:ascii="Times New Roman" w:hAnsi="Times New Roman" w:cs="Times New Roman"/>
          <w:sz w:val="24"/>
          <w:szCs w:val="24"/>
        </w:rPr>
      </w:pPr>
      <w:r w:rsidRPr="00F4586D">
        <w:rPr>
          <w:rFonts w:ascii="Times New Roman" w:hAnsi="Times New Roman" w:cs="Times New Roman"/>
          <w:b/>
          <w:bCs/>
          <w:sz w:val="24"/>
          <w:szCs w:val="24"/>
        </w:rPr>
        <w:t>Size</w:t>
      </w:r>
      <w:r w:rsidRPr="00F4586D">
        <w:rPr>
          <w:rFonts w:ascii="Times New Roman" w:hAnsi="Times New Roman" w:cs="Times New Roman"/>
          <w:sz w:val="24"/>
          <w:szCs w:val="24"/>
        </w:rPr>
        <w:t>: The smaller the company, the higher the risk of bankruptcy.</w:t>
      </w:r>
    </w:p>
    <w:p w14:paraId="6BD01E32" w14:textId="77777777" w:rsidR="00F4586D" w:rsidRPr="00F4586D" w:rsidRDefault="00F4586D" w:rsidP="00F4586D">
      <w:pPr>
        <w:numPr>
          <w:ilvl w:val="0"/>
          <w:numId w:val="9"/>
        </w:numPr>
        <w:jc w:val="both"/>
        <w:rPr>
          <w:rFonts w:ascii="Times New Roman" w:hAnsi="Times New Roman" w:cs="Times New Roman"/>
          <w:sz w:val="24"/>
          <w:szCs w:val="24"/>
        </w:rPr>
      </w:pPr>
      <w:r w:rsidRPr="00F4586D">
        <w:rPr>
          <w:rFonts w:ascii="Times New Roman" w:hAnsi="Times New Roman" w:cs="Times New Roman"/>
          <w:b/>
          <w:bCs/>
          <w:sz w:val="24"/>
          <w:szCs w:val="24"/>
        </w:rPr>
        <w:t>Liquidity</w:t>
      </w:r>
      <w:r w:rsidRPr="00F4586D">
        <w:rPr>
          <w:rFonts w:ascii="Times New Roman" w:hAnsi="Times New Roman" w:cs="Times New Roman"/>
          <w:sz w:val="24"/>
          <w:szCs w:val="24"/>
        </w:rPr>
        <w:t>: Liquidity ratios (current ratio and working capital/total assets) are also strongly linked to bankruptcy probability.</w:t>
      </w:r>
    </w:p>
    <w:p w14:paraId="33667953" w14:textId="6DA98A74" w:rsidR="00F4586D" w:rsidRPr="00F4586D" w:rsidRDefault="00F4586D" w:rsidP="00F4586D">
      <w:pPr>
        <w:jc w:val="both"/>
        <w:rPr>
          <w:rFonts w:ascii="Times New Roman" w:hAnsi="Times New Roman" w:cs="Times New Roman"/>
          <w:sz w:val="24"/>
          <w:szCs w:val="24"/>
        </w:rPr>
      </w:pPr>
    </w:p>
    <w:p w14:paraId="5C99AFDC" w14:textId="77777777" w:rsidR="009F0A40" w:rsidRPr="009F0A40" w:rsidRDefault="009F0A40" w:rsidP="009F0A40">
      <w:pPr>
        <w:jc w:val="both"/>
        <w:rPr>
          <w:rFonts w:ascii="Times New Roman" w:hAnsi="Times New Roman" w:cs="Times New Roman"/>
          <w:sz w:val="24"/>
          <w:szCs w:val="24"/>
        </w:rPr>
      </w:pPr>
    </w:p>
    <w:sectPr w:rsidR="009F0A40" w:rsidRPr="009F0A40" w:rsidSect="00131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B8C"/>
    <w:multiLevelType w:val="multilevel"/>
    <w:tmpl w:val="98AE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C0D"/>
    <w:multiLevelType w:val="multilevel"/>
    <w:tmpl w:val="A9F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449F"/>
    <w:multiLevelType w:val="multilevel"/>
    <w:tmpl w:val="AF1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D419F"/>
    <w:multiLevelType w:val="multilevel"/>
    <w:tmpl w:val="56B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E5A83"/>
    <w:multiLevelType w:val="multilevel"/>
    <w:tmpl w:val="2D1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11816"/>
    <w:multiLevelType w:val="multilevel"/>
    <w:tmpl w:val="90F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A76AA"/>
    <w:multiLevelType w:val="multilevel"/>
    <w:tmpl w:val="31E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15F34"/>
    <w:multiLevelType w:val="multilevel"/>
    <w:tmpl w:val="336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10682"/>
    <w:multiLevelType w:val="hybridMultilevel"/>
    <w:tmpl w:val="C14C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0259B6"/>
    <w:multiLevelType w:val="multilevel"/>
    <w:tmpl w:val="B99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87030"/>
    <w:multiLevelType w:val="multilevel"/>
    <w:tmpl w:val="51D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27FA7"/>
    <w:multiLevelType w:val="multilevel"/>
    <w:tmpl w:val="136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16F8F"/>
    <w:multiLevelType w:val="multilevel"/>
    <w:tmpl w:val="351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31276">
    <w:abstractNumId w:val="8"/>
  </w:num>
  <w:num w:numId="2" w16cid:durableId="1017662278">
    <w:abstractNumId w:val="11"/>
  </w:num>
  <w:num w:numId="3" w16cid:durableId="1178157546">
    <w:abstractNumId w:val="0"/>
  </w:num>
  <w:num w:numId="4" w16cid:durableId="1310593317">
    <w:abstractNumId w:val="10"/>
  </w:num>
  <w:num w:numId="5" w16cid:durableId="1244880019">
    <w:abstractNumId w:val="12"/>
  </w:num>
  <w:num w:numId="6" w16cid:durableId="57896703">
    <w:abstractNumId w:val="4"/>
  </w:num>
  <w:num w:numId="7" w16cid:durableId="2052993074">
    <w:abstractNumId w:val="9"/>
  </w:num>
  <w:num w:numId="8" w16cid:durableId="1457523747">
    <w:abstractNumId w:val="2"/>
  </w:num>
  <w:num w:numId="9" w16cid:durableId="225772768">
    <w:abstractNumId w:val="6"/>
  </w:num>
  <w:num w:numId="10" w16cid:durableId="1522359578">
    <w:abstractNumId w:val="5"/>
  </w:num>
  <w:num w:numId="11" w16cid:durableId="507257278">
    <w:abstractNumId w:val="1"/>
  </w:num>
  <w:num w:numId="12" w16cid:durableId="288829134">
    <w:abstractNumId w:val="3"/>
  </w:num>
  <w:num w:numId="13" w16cid:durableId="465391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74"/>
    <w:rsid w:val="00131171"/>
    <w:rsid w:val="001B2127"/>
    <w:rsid w:val="00237159"/>
    <w:rsid w:val="002E3574"/>
    <w:rsid w:val="00607864"/>
    <w:rsid w:val="00654FD0"/>
    <w:rsid w:val="007F77F6"/>
    <w:rsid w:val="009F0A40"/>
    <w:rsid w:val="00A729B0"/>
    <w:rsid w:val="00CB530B"/>
    <w:rsid w:val="00F458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A906"/>
  <w15:chartTrackingRefBased/>
  <w15:docId w15:val="{C2A8DD47-AEAD-4AB7-9E6D-C4C0774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574"/>
    <w:rPr>
      <w:rFonts w:eastAsiaTheme="majorEastAsia" w:cstheme="majorBidi"/>
      <w:color w:val="272727" w:themeColor="text1" w:themeTint="D8"/>
    </w:rPr>
  </w:style>
  <w:style w:type="paragraph" w:styleId="Title">
    <w:name w:val="Title"/>
    <w:basedOn w:val="Normal"/>
    <w:next w:val="Normal"/>
    <w:link w:val="TitleChar"/>
    <w:uiPriority w:val="10"/>
    <w:qFormat/>
    <w:rsid w:val="002E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574"/>
    <w:pPr>
      <w:spacing w:before="160"/>
      <w:jc w:val="center"/>
    </w:pPr>
    <w:rPr>
      <w:i/>
      <w:iCs/>
      <w:color w:val="404040" w:themeColor="text1" w:themeTint="BF"/>
    </w:rPr>
  </w:style>
  <w:style w:type="character" w:customStyle="1" w:styleId="QuoteChar">
    <w:name w:val="Quote Char"/>
    <w:basedOn w:val="DefaultParagraphFont"/>
    <w:link w:val="Quote"/>
    <w:uiPriority w:val="29"/>
    <w:rsid w:val="002E3574"/>
    <w:rPr>
      <w:i/>
      <w:iCs/>
      <w:color w:val="404040" w:themeColor="text1" w:themeTint="BF"/>
    </w:rPr>
  </w:style>
  <w:style w:type="paragraph" w:styleId="ListParagraph">
    <w:name w:val="List Paragraph"/>
    <w:basedOn w:val="Normal"/>
    <w:uiPriority w:val="34"/>
    <w:qFormat/>
    <w:rsid w:val="002E3574"/>
    <w:pPr>
      <w:ind w:left="720"/>
      <w:contextualSpacing/>
    </w:pPr>
  </w:style>
  <w:style w:type="character" w:styleId="IntenseEmphasis">
    <w:name w:val="Intense Emphasis"/>
    <w:basedOn w:val="DefaultParagraphFont"/>
    <w:uiPriority w:val="21"/>
    <w:qFormat/>
    <w:rsid w:val="002E3574"/>
    <w:rPr>
      <w:i/>
      <w:iCs/>
      <w:color w:val="2F5496" w:themeColor="accent1" w:themeShade="BF"/>
    </w:rPr>
  </w:style>
  <w:style w:type="paragraph" w:styleId="IntenseQuote">
    <w:name w:val="Intense Quote"/>
    <w:basedOn w:val="Normal"/>
    <w:next w:val="Normal"/>
    <w:link w:val="IntenseQuoteChar"/>
    <w:uiPriority w:val="30"/>
    <w:qFormat/>
    <w:rsid w:val="002E3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574"/>
    <w:rPr>
      <w:i/>
      <w:iCs/>
      <w:color w:val="2F5496" w:themeColor="accent1" w:themeShade="BF"/>
    </w:rPr>
  </w:style>
  <w:style w:type="character" w:styleId="IntenseReference">
    <w:name w:val="Intense Reference"/>
    <w:basedOn w:val="DefaultParagraphFont"/>
    <w:uiPriority w:val="32"/>
    <w:qFormat/>
    <w:rsid w:val="002E35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8342">
      <w:bodyDiv w:val="1"/>
      <w:marLeft w:val="0"/>
      <w:marRight w:val="0"/>
      <w:marTop w:val="0"/>
      <w:marBottom w:val="0"/>
      <w:divBdr>
        <w:top w:val="none" w:sz="0" w:space="0" w:color="auto"/>
        <w:left w:val="none" w:sz="0" w:space="0" w:color="auto"/>
        <w:bottom w:val="none" w:sz="0" w:space="0" w:color="auto"/>
        <w:right w:val="none" w:sz="0" w:space="0" w:color="auto"/>
      </w:divBdr>
    </w:div>
    <w:div w:id="201946835">
      <w:bodyDiv w:val="1"/>
      <w:marLeft w:val="0"/>
      <w:marRight w:val="0"/>
      <w:marTop w:val="0"/>
      <w:marBottom w:val="0"/>
      <w:divBdr>
        <w:top w:val="none" w:sz="0" w:space="0" w:color="auto"/>
        <w:left w:val="none" w:sz="0" w:space="0" w:color="auto"/>
        <w:bottom w:val="none" w:sz="0" w:space="0" w:color="auto"/>
        <w:right w:val="none" w:sz="0" w:space="0" w:color="auto"/>
      </w:divBdr>
    </w:div>
    <w:div w:id="756823264">
      <w:bodyDiv w:val="1"/>
      <w:marLeft w:val="0"/>
      <w:marRight w:val="0"/>
      <w:marTop w:val="0"/>
      <w:marBottom w:val="0"/>
      <w:divBdr>
        <w:top w:val="none" w:sz="0" w:space="0" w:color="auto"/>
        <w:left w:val="none" w:sz="0" w:space="0" w:color="auto"/>
        <w:bottom w:val="none" w:sz="0" w:space="0" w:color="auto"/>
        <w:right w:val="none" w:sz="0" w:space="0" w:color="auto"/>
      </w:divBdr>
    </w:div>
    <w:div w:id="21294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3598B-17FE-4100-B3C7-8482DB96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5746</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dc:creator>
  <cp:keywords/>
  <dc:description/>
  <cp:lastModifiedBy>G Y</cp:lastModifiedBy>
  <cp:revision>1</cp:revision>
  <dcterms:created xsi:type="dcterms:W3CDTF">2024-10-09T17:31:00Z</dcterms:created>
  <dcterms:modified xsi:type="dcterms:W3CDTF">2024-10-13T17:19:00Z</dcterms:modified>
</cp:coreProperties>
</file>