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360"/>
        <w:jc w:val="center"/>
      </w:pPr>
      <w:r>
        <w:rPr>
          <w:rFonts w:ascii="Calibri" w:hAnsi="Calibri" w:eastAsia="Microsoft YaHei"/>
          <w:b/>
          <w:color w:val="E8B339"/>
          <w:sz w:val="24"/>
        </w:rPr>
        <w:t>研究计划书</w:t>
      </w:r>
    </w:p>
    <w:p>
      <w:pPr>
        <w:spacing w:after="240"/>
        <w:jc w:val="center"/>
      </w:pPr>
      <w:r>
        <w:rPr>
          <w:rFonts w:ascii="Calibri" w:hAnsi="Calibri" w:eastAsia="Microsoft YaHei"/>
          <w:b/>
          <w:color w:val="1E3A5F"/>
          <w:sz w:val="58"/>
        </w:rPr>
        <w:t>中华白海豚个体重识别</w:t>
      </w:r>
    </w:p>
    <w:p>
      <w:pPr>
        <w:spacing w:after="560"/>
        <w:jc w:val="center"/>
      </w:pPr>
      <w:r>
        <w:rPr>
          <w:rFonts w:ascii="Calibri" w:hAnsi="Calibri" w:eastAsia="Microsoft YaHei"/>
          <w:color w:val="1F4D78"/>
          <w:sz w:val="28"/>
        </w:rPr>
        <w:t>序列约束 · 质量感知簇级融合 · 风险受控开放集候选</w:t>
      </w:r>
    </w:p>
    <w:p>
      <w:pPr>
        <w:spacing w:before="640" w:after="160"/>
        <w:jc w:val="center"/>
      </w:pPr>
      <w:r>
        <w:rPr>
          <w:rFonts w:ascii="Calibri" w:hAnsi="Calibri" w:eastAsia="Microsoft YaHei"/>
          <w:b/>
          <w:color w:val="202124"/>
          <w:sz w:val="22"/>
        </w:rPr>
        <w:t>拟投稿期刊：《自动化学报》</w:t>
      </w:r>
    </w:p>
    <w:p>
      <w:pPr>
        <w:spacing w:after="100"/>
        <w:jc w:val="center"/>
      </w:pPr>
      <w:r>
        <w:rPr>
          <w:rFonts w:ascii="Calibri" w:hAnsi="Calibri" w:eastAsia="Microsoft YaHei"/>
          <w:color w:val="5F6368"/>
          <w:sz w:val="21"/>
        </w:rPr>
        <w:t>计划版本：V1.0</w:t>
      </w:r>
    </w:p>
    <w:p>
      <w:pPr>
        <w:spacing w:after="840"/>
        <w:jc w:val="center"/>
      </w:pPr>
      <w:r>
        <w:rPr>
          <w:rFonts w:ascii="Calibri" w:hAnsi="Calibri" w:eastAsia="Microsoft YaHei"/>
          <w:color w:val="5F6368"/>
          <w:sz w:val="21"/>
        </w:rPr>
        <w:t>2026年8月29日</w:t>
      </w:r>
    </w:p>
    <w:tbl>
      <w:tblPr>
        <w:tblW w:type="dxa" w:w="9360"/>
        <w:tblLayout w:type="fixed"/>
        <w:tblLook w:firstColumn="1" w:firstRow="1" w:lastColumn="0" w:lastRow="0" w:noHBand="0" w:noVBand="1" w:val="04A0"/>
        <w:tblInd w:w="120" w:type="dxa"/>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tcMar>
              <w:top w:w="80" w:type="dxa"/>
              <w:start w:w="120" w:type="dxa"/>
              <w:bottom w:w="80" w:type="dxa"/>
              <w:end w:w="120" w:type="dxa"/>
            </w:tcMar>
            <w:vAlign w:val="center"/>
            <w:shd w:fill="F4F6F9"/>
          </w:tcPr>
          <w:p>
            <w:pPr>
              <w:spacing w:before="80" w:after="80" w:line="300" w:lineRule="auto"/>
              <w:jc w:val="left"/>
            </w:pPr>
            <w:r>
              <w:rPr>
                <w:rFonts w:ascii="Calibri" w:hAnsi="Calibri" w:eastAsia="Microsoft YaHei"/>
                <w:b/>
                <w:color w:val="1E3A5F"/>
                <w:sz w:val="21"/>
              </w:rPr>
              <w:t>核心目标：把现有检测—表征—聚类—检索—审核原型，凝练为具有统一问题定义、可验证方法创新、公开基线和真实应用边界的论文证据链。</w:t>
            </w:r>
          </w:p>
        </w:tc>
      </w:tr>
    </w:tbl>
    <w:p>
      <w:pPr>
        <w:spacing w:before="800"/>
        <w:jc w:val="center"/>
      </w:pPr>
      <w:r>
        <w:rPr>
          <w:rFonts w:ascii="Calibri" w:hAnsi="Calibri" w:eastAsia="Microsoft YaHei"/>
          <w:b/>
          <w:color w:val="BF0000"/>
          <w:sz w:val="19"/>
        </w:rPr>
        <w:t>Candidate ≠ Confirmed  |  所有跨时间身份必须经人工复核</w:t>
      </w:r>
    </w:p>
    <w:p>
      <w:r>
        <w:br w:type="page"/>
      </w:r>
    </w:p>
    <w:p>
      <w:pPr>
        <w:pStyle w:val="Heading1"/>
        <w:spacing w:before="0"/>
      </w:pPr>
      <w:r>
        <w:t>目录</w:t>
      </w:r>
    </w:p>
    <w:p>
      <w:pPr>
        <w:keepLines/>
        <w:spacing w:after="100"/>
        <w:ind w:left="259"/>
      </w:pPr>
      <w:r>
        <w:rPr>
          <w:rFonts w:ascii="Calibri" w:hAnsi="Calibri" w:eastAsia="Microsoft YaHei"/>
          <w:color w:val="1F4D78"/>
          <w:sz w:val="21"/>
        </w:rPr>
        <w:t>执行摘要</w:t>
      </w:r>
    </w:p>
    <w:p>
      <w:pPr>
        <w:keepLines/>
        <w:spacing w:after="100"/>
        <w:ind w:left="259"/>
      </w:pPr>
      <w:r>
        <w:rPr>
          <w:rFonts w:ascii="Calibri" w:hAnsi="Calibri" w:eastAsia="Microsoft YaHei"/>
          <w:color w:val="1F4D78"/>
          <w:sz w:val="21"/>
        </w:rPr>
        <w:t>1. 研究背景与当前基础</w:t>
      </w:r>
    </w:p>
    <w:p>
      <w:pPr>
        <w:keepLines/>
        <w:spacing w:after="100"/>
        <w:ind w:left="259"/>
      </w:pPr>
      <w:r>
        <w:rPr>
          <w:rFonts w:ascii="Calibri" w:hAnsi="Calibri" w:eastAsia="Microsoft YaHei"/>
          <w:color w:val="1F4D78"/>
          <w:sz w:val="21"/>
        </w:rPr>
        <w:t>2. 研究目标、问题与假设</w:t>
      </w:r>
    </w:p>
    <w:p>
      <w:pPr>
        <w:keepLines/>
        <w:spacing w:after="100"/>
        <w:ind w:left="259"/>
      </w:pPr>
      <w:r>
        <w:rPr>
          <w:rFonts w:ascii="Calibri" w:hAnsi="Calibri" w:eastAsia="Microsoft YaHei"/>
          <w:color w:val="1F4D78"/>
          <w:sz w:val="21"/>
        </w:rPr>
        <w:t>3. 拟提出的方法</w:t>
      </w:r>
    </w:p>
    <w:p>
      <w:pPr>
        <w:keepLines/>
        <w:spacing w:after="100"/>
        <w:ind w:left="259"/>
      </w:pPr>
      <w:r>
        <w:rPr>
          <w:rFonts w:ascii="Calibri" w:hAnsi="Calibri" w:eastAsia="Microsoft YaHei"/>
          <w:color w:val="1F4D78"/>
          <w:sz w:val="21"/>
        </w:rPr>
        <w:t>4. 所需材料清单</w:t>
      </w:r>
    </w:p>
    <w:p>
      <w:pPr>
        <w:keepLines/>
        <w:spacing w:after="100"/>
        <w:ind w:left="259"/>
      </w:pPr>
      <w:r>
        <w:rPr>
          <w:rFonts w:ascii="Calibri" w:hAnsi="Calibri" w:eastAsia="Microsoft YaHei"/>
          <w:color w:val="1F4D78"/>
          <w:sz w:val="21"/>
        </w:rPr>
        <w:t>5. 具体技术路线</w:t>
      </w:r>
    </w:p>
    <w:p>
      <w:pPr>
        <w:keepLines/>
        <w:spacing w:after="100"/>
        <w:ind w:left="259"/>
      </w:pPr>
      <w:r>
        <w:rPr>
          <w:rFonts w:ascii="Calibri" w:hAnsi="Calibri" w:eastAsia="Microsoft YaHei"/>
          <w:color w:val="1F4D78"/>
          <w:sz w:val="21"/>
        </w:rPr>
        <w:t>6. 实验设计矩阵</w:t>
      </w:r>
    </w:p>
    <w:p>
      <w:pPr>
        <w:keepLines/>
        <w:spacing w:after="100"/>
        <w:ind w:left="259"/>
      </w:pPr>
      <w:r>
        <w:rPr>
          <w:rFonts w:ascii="Calibri" w:hAnsi="Calibri" w:eastAsia="Microsoft YaHei"/>
          <w:color w:val="1F4D78"/>
          <w:sz w:val="21"/>
        </w:rPr>
        <w:t>7. 阶段验收与停止条件</w:t>
      </w:r>
    </w:p>
    <w:p>
      <w:pPr>
        <w:keepLines/>
        <w:spacing w:after="100"/>
        <w:ind w:left="259"/>
      </w:pPr>
      <w:r>
        <w:rPr>
          <w:rFonts w:ascii="Calibri" w:hAnsi="Calibri" w:eastAsia="Microsoft YaHei"/>
          <w:color w:val="1F4D78"/>
          <w:sz w:val="21"/>
        </w:rPr>
        <w:t>8. 时间计划</w:t>
      </w:r>
    </w:p>
    <w:p>
      <w:pPr>
        <w:keepLines/>
        <w:spacing w:after="100"/>
        <w:ind w:left="259"/>
      </w:pPr>
      <w:r>
        <w:rPr>
          <w:rFonts w:ascii="Calibri" w:hAnsi="Calibri" w:eastAsia="Microsoft YaHei"/>
          <w:color w:val="1F4D78"/>
          <w:sz w:val="21"/>
        </w:rPr>
        <w:t>9. 论文写作路线</w:t>
      </w:r>
    </w:p>
    <w:p>
      <w:pPr>
        <w:keepLines/>
        <w:spacing w:after="100"/>
        <w:ind w:left="259"/>
      </w:pPr>
      <w:r>
        <w:rPr>
          <w:rFonts w:ascii="Calibri" w:hAnsi="Calibri" w:eastAsia="Microsoft YaHei"/>
          <w:color w:val="1F4D78"/>
          <w:sz w:val="21"/>
        </w:rPr>
        <w:t>10. 风险登记与应对</w:t>
      </w:r>
    </w:p>
    <w:p>
      <w:pPr>
        <w:keepLines/>
        <w:spacing w:after="100"/>
        <w:ind w:left="259"/>
      </w:pPr>
      <w:r>
        <w:rPr>
          <w:rFonts w:ascii="Calibri" w:hAnsi="Calibri" w:eastAsia="Microsoft YaHei"/>
          <w:color w:val="1F4D78"/>
          <w:sz w:val="21"/>
        </w:rPr>
        <w:t>11. 可复现性、伦理与数据治理</w:t>
      </w:r>
    </w:p>
    <w:p>
      <w:pPr>
        <w:keepLines/>
        <w:spacing w:after="100"/>
        <w:ind w:left="259"/>
      </w:pPr>
      <w:r>
        <w:rPr>
          <w:rFonts w:ascii="Calibri" w:hAnsi="Calibri" w:eastAsia="Microsoft YaHei"/>
          <w:color w:val="1F4D78"/>
          <w:sz w:val="21"/>
        </w:rPr>
        <w:t>12. 启动后七天行动清单</w:t>
      </w:r>
    </w:p>
    <w:p>
      <w:pPr>
        <w:keepLines/>
        <w:spacing w:after="100"/>
        <w:ind w:left="259"/>
      </w:pPr>
      <w:r>
        <w:rPr>
          <w:rFonts w:ascii="Calibri" w:hAnsi="Calibri" w:eastAsia="Microsoft YaHei"/>
          <w:color w:val="1F4D78"/>
          <w:sz w:val="21"/>
        </w:rPr>
        <w:t>13. 项目产物目录建议</w:t>
      </w:r>
    </w:p>
    <w:p>
      <w:pPr>
        <w:keepLines/>
        <w:spacing w:after="100"/>
        <w:ind w:left="259"/>
      </w:pPr>
      <w:r>
        <w:rPr>
          <w:rFonts w:ascii="Calibri" w:hAnsi="Calibri" w:eastAsia="Microsoft YaHei"/>
          <w:color w:val="1F4D78"/>
          <w:sz w:val="21"/>
        </w:rPr>
        <w:t>14. 关键参考资料</w:t>
      </w:r>
    </w:p>
    <w:p>
      <w:pPr>
        <w:keepLines/>
        <w:spacing w:after="100"/>
        <w:ind w:left="259"/>
      </w:pPr>
      <w:r>
        <w:rPr>
          <w:rFonts w:ascii="Calibri" w:hAnsi="Calibri" w:eastAsia="Microsoft YaHei"/>
          <w:color w:val="1F4D78"/>
          <w:sz w:val="21"/>
        </w:rPr>
        <w:t>15. 最终完成定义</w:t>
      </w:r>
    </w:p>
    <w:p>
      <w:r>
        <w:br w:type="page"/>
      </w:r>
    </w:p>
    <w:p>
      <w:pPr>
        <w:pStyle w:val="Heading1"/>
      </w:pPr>
      <w:r>
        <w:t>执行摘要</w:t>
      </w:r>
    </w:p>
    <w:p>
      <w:pPr>
        <w:keepLines w:val="0"/>
      </w:pPr>
      <w:r>
        <w:t>本计划面向当前中华白海豚个体识别研究原型，目标是在不虚构跨年识别能力、不混用不同评价协议的前提下，将已有的“检测—特征学习—批内聚类—簇级检索—人工审核”工程管线凝练为一篇具有明确方法创新、完整对比实验和可复现证据链的论文。</w:t>
      </w:r>
    </w:p>
    <w:p>
      <w:pPr>
        <w:keepLines w:val="0"/>
      </w:pPr>
      <w:r>
        <w:t>论文不把 YOLO、ArcFace、MegaDescriptor 或 HDBSCAN 的简单组合视为创新，而是集中解决野外调查影像中三个具有普遍性的困难：第一，相邻连拍帧高度相似，随机划分会造成训练测试泄漏；第二，真实聚类簇可能混入异体照片，简单均值或多数投票缺乏抗污染能力；第三，历史库不完备，系统必须在控制错误接受风险的条件下输出已知、待审和疑似未知三态结果。</w:t>
      </w:r>
    </w:p>
    <w:p>
      <w:pPr>
        <w:keepLines w:val="0"/>
      </w:pPr>
      <w:r>
        <w:t>建议形成一个统一方法 SQCF（Sequence-aware Quality-guided Cluster Fusion，序列约束质量感知簇级融合），其训练端以跨序列正样本和动态困难负样本增强跨连拍泛化，推理端以图像质量、簇内一致性和稳健截尾策略融合多帧证据，决策端以第一候选分数、投票一致率、候选间隔和簇内离散度完成开放集风险校准。</w:t>
      </w:r>
    </w:p>
    <w:p>
      <w:pPr>
        <w:keepLines w:val="0"/>
      </w:pPr>
      <w:r>
        <w:t>正式证据由两条互补路线组成：在完整 Happywhale 与 BelugaID 等公开数据上完成可复现的统一协议对比，并在本地中华白海豚数据上完成严格跨序列评估、真实聚类评估、质量分层和人工审核工作量分析。Happywhale 冠军方案只在统一划分和统一指标下作为“冠军派生单模型基线”复现；竞赛排行榜分数仅作为背景资料，不能与自建测试集结果直接横向排序。</w:t>
      </w:r>
    </w:p>
    <w:p>
      <w:pPr>
        <w:pStyle w:val="Heading1"/>
      </w:pPr>
      <w:r>
        <w:t>1. 研究背景与当前基础</w:t>
      </w:r>
    </w:p>
    <w:p>
      <w:pPr>
        <w:pStyle w:val="Heading2"/>
      </w:pPr>
      <w:r>
        <w:t>1.1 当前项目能力</w:t>
      </w:r>
    </w:p>
    <w:p>
      <w:pPr>
        <w:keepLines w:val="0"/>
      </w:pPr>
      <w:r>
        <w:t>项目已经具备以下可复用基础：</w:t>
      </w:r>
    </w:p>
    <w:p>
      <w:pPr>
        <w:numPr>
          <w:ilvl w:val="0"/>
          <w:numId w:val="11"/>
        </w:numPr>
        <w:spacing w:after="80" w:line="290" w:lineRule="auto"/>
      </w:pPr>
      <w:r>
        <w:t>YOLOv8 背鳍检测与裁剪流程；</w:t>
      </w:r>
    </w:p>
    <w:p>
      <w:pPr>
        <w:numPr>
          <w:ilvl w:val="0"/>
          <w:numId w:val="11"/>
        </w:numPr>
        <w:spacing w:after="80" w:line="290" w:lineRule="auto"/>
      </w:pPr>
      <w:r>
        <w:t>基于 MegaDescriptor-T-224 的 r4 表征模型；</w:t>
      </w:r>
    </w:p>
    <w:p>
      <w:pPr>
        <w:numPr>
          <w:ilvl w:val="0"/>
          <w:numId w:val="11"/>
        </w:numPr>
        <w:spacing w:after="80" w:line="290" w:lineRule="auto"/>
      </w:pPr>
      <w:r>
        <w:t>ArcFace 分类训练与早期跨组样本挖掘代码；最新日志已确认旧 Triplet 的正负样本挖掘方向有误，因此只能作为待修正的历史实现，不能作为困难负样本有效性的证据；</w:t>
      </w:r>
    </w:p>
    <w:p>
      <w:pPr>
        <w:numPr>
          <w:ilvl w:val="0"/>
          <w:numId w:val="11"/>
        </w:numPr>
        <w:spacing w:after="80" w:line="290" w:lineRule="auto"/>
      </w:pPr>
      <w:r>
        <w:t>HDBSCAN 批内候选聚类和大簇子簇化；</w:t>
      </w:r>
    </w:p>
    <w:p>
      <w:pPr>
        <w:numPr>
          <w:ilvl w:val="0"/>
          <w:numId w:val="11"/>
        </w:numPr>
        <w:spacing w:after="80" w:line="290" w:lineRule="auto"/>
      </w:pPr>
      <w:r>
        <w:t>单图、簇均值、多帧投票和 Top-K 检索能力；</w:t>
      </w:r>
    </w:p>
    <w:p>
      <w:pPr>
        <w:numPr>
          <w:ilvl w:val="0"/>
          <w:numId w:val="11"/>
        </w:numPr>
        <w:spacing w:after="80" w:line="290" w:lineRule="auto"/>
      </w:pPr>
      <w:r>
        <w:t>已知、疑似未知、低置信待审三态候选输出；</w:t>
      </w:r>
    </w:p>
    <w:p>
      <w:pPr>
        <w:numPr>
          <w:ilvl w:val="0"/>
          <w:numId w:val="11"/>
        </w:numPr>
        <w:spacing w:after="80" w:line="290" w:lineRule="auto"/>
      </w:pPr>
      <w:r>
        <w:t>候选拼图、代表图、人工审核网页和审核记录；</w:t>
      </w:r>
    </w:p>
    <w:p>
      <w:pPr>
        <w:numPr>
          <w:ilvl w:val="0"/>
          <w:numId w:val="11"/>
        </w:numPr>
        <w:spacing w:after="80" w:line="290" w:lineRule="auto"/>
      </w:pPr>
      <w:r>
        <w:t>本地数据、Happywhale 分片和 BelugaID 的数据适配与评估框架。</w:t>
      </w:r>
    </w:p>
    <w:p>
      <w:pPr>
        <w:keepLines w:val="0"/>
      </w:pPr>
      <w:r>
        <w:t>当前项目记录显示，本地数据共涉及 9 个调查批次、约 1040 张影像，其中个体标签、松散候选池和忽略样本的可信度不同。现有 r4 在修正完整连拍序列键后，严格跨串口径仍保持相对 r3 的提升，但旧 Triplet 曾选择最容易正样本和最远负样本，且跨批次身份没有对齐，因此该提升不能因果归于困难负样本；r4 只作为当前生产历史基线。所有早期跨年份匹配候选经人工复核均被撤回，因此目前只能主张“系统能够生成可追溯的跨时间候选”，不能主张已验证跨年自动识别能力。</w:t>
      </w:r>
    </w:p>
    <w:p>
      <w:pPr>
        <w:pStyle w:val="Heading2"/>
      </w:pPr>
      <w:r>
        <w:t>1.2 当前论文证据的主要缺口</w:t>
      </w:r>
    </w:p>
    <w:p>
      <w:pPr>
        <w:numPr>
          <w:ilvl w:val="0"/>
          <w:numId w:val="11"/>
        </w:numPr>
        <w:spacing w:after="80" w:line="290" w:lineRule="auto"/>
      </w:pPr>
      <w:r>
        <w:rPr>
          <w:b/>
        </w:rPr>
        <w:t>创新表达不足。</w:t>
      </w:r>
      <w:r>
        <w:t xml:space="preserve"> 当前实现容易被审稿人理解为成熟组件的工程组合。</w:t>
      </w:r>
    </w:p>
    <w:p>
      <w:pPr>
        <w:numPr>
          <w:ilvl w:val="0"/>
          <w:numId w:val="11"/>
        </w:numPr>
        <w:spacing w:after="80" w:line="290" w:lineRule="auto"/>
      </w:pPr>
      <w:r>
        <w:rPr>
          <w:b/>
        </w:rPr>
        <w:t>公开对比不完整。</w:t>
      </w:r>
      <w:r>
        <w:t xml:space="preserve"> Happywhale 当前只有一个 2247 张图像的分片，并非完整竞赛数据。</w:t>
      </w:r>
    </w:p>
    <w:p>
      <w:pPr>
        <w:numPr>
          <w:ilvl w:val="0"/>
          <w:numId w:val="11"/>
        </w:numPr>
        <w:spacing w:after="80" w:line="290" w:lineRule="auto"/>
      </w:pPr>
      <w:r>
        <w:rPr>
          <w:b/>
        </w:rPr>
        <w:t>评价协议不一致。</w:t>
      </w:r>
      <w:r>
        <w:t xml:space="preserve"> 当前随机 query/gallery 检索与 Kaggle MAP@5、</w:t>
      </w:r>
      <w:r>
        <w:rPr>
          <w:rFonts w:ascii="Consolas" w:hAnsi="Consolas" w:eastAsia="Microsoft YaHei"/>
          <w:color w:val="1F4D78"/>
          <w:sz w:val="21"/>
        </w:rPr>
        <w:t>new_individual</w:t>
      </w:r>
      <w:r>
        <w:t>提交协议不同。</w:t>
      </w:r>
    </w:p>
    <w:p>
      <w:pPr>
        <w:numPr>
          <w:ilvl w:val="0"/>
          <w:numId w:val="11"/>
        </w:numPr>
        <w:spacing w:after="80" w:line="290" w:lineRule="auto"/>
      </w:pPr>
      <w:r>
        <w:rPr>
          <w:b/>
        </w:rPr>
        <w:t>BelugaID 指标需重算。</w:t>
      </w:r>
      <w:r>
        <w:t xml:space="preserve"> 当前代码的官方正样本索引和过滤后 gallery 局部索引存在不一致风险。</w:t>
      </w:r>
    </w:p>
    <w:p>
      <w:pPr>
        <w:numPr>
          <w:ilvl w:val="0"/>
          <w:numId w:val="11"/>
        </w:numPr>
        <w:spacing w:after="80" w:line="290" w:lineRule="auto"/>
      </w:pPr>
      <w:r>
        <w:rPr>
          <w:b/>
        </w:rPr>
        <w:t>本地跨年真值不足。</w:t>
      </w:r>
      <w:r>
        <w:t xml:space="preserve"> 现有数据无法独立支撑跨年开放集识别准确率结论。</w:t>
      </w:r>
    </w:p>
    <w:p>
      <w:pPr>
        <w:numPr>
          <w:ilvl w:val="0"/>
          <w:numId w:val="11"/>
        </w:numPr>
        <w:spacing w:after="80" w:line="290" w:lineRule="auto"/>
      </w:pPr>
      <w:r>
        <w:rPr>
          <w:b/>
        </w:rPr>
        <w:t>簇级方法尚未形式化。</w:t>
      </w:r>
      <w:r>
        <w:t xml:space="preserve"> 当前均值和投票缺少明确的质量建模、抗污染机制与置信度定义。</w:t>
      </w:r>
    </w:p>
    <w:p>
      <w:pPr>
        <w:numPr>
          <w:ilvl w:val="0"/>
          <w:numId w:val="11"/>
        </w:numPr>
        <w:spacing w:after="80" w:line="290" w:lineRule="auto"/>
      </w:pPr>
      <w:r>
        <w:rPr>
          <w:b/>
        </w:rPr>
        <w:t>统计证据不足。</w:t>
      </w:r>
      <w:r>
        <w:t xml:space="preserve"> 需要多随机种子、按个体或簇的 Bootstrap 置信区间和配对显著性检验。</w:t>
      </w:r>
    </w:p>
    <w:p>
      <w:pPr>
        <w:numPr>
          <w:ilvl w:val="0"/>
          <w:numId w:val="11"/>
        </w:numPr>
        <w:spacing w:after="80" w:line="290" w:lineRule="auto"/>
      </w:pPr>
      <w:r>
        <w:rPr>
          <w:b/>
        </w:rPr>
        <w:t>旧度量损失实现不能复用为证据。</w:t>
      </w:r>
      <w:r>
        <w:t xml:space="preserve"> 必须为最难跨序列正样本、最近异体负样本和单序列回退分别增加可核对的单元测试，再进行新训练。</w:t>
      </w:r>
    </w:p>
    <w:p>
      <w:pPr>
        <w:pStyle w:val="Heading2"/>
      </w:pPr>
      <w:r>
        <w:t>1.3 论文定位</w:t>
      </w:r>
    </w:p>
    <w:p>
      <w:pPr>
        <w:keepLines w:val="0"/>
      </w:pPr>
      <w:r>
        <w:t>论文定位为“面向野外小样本连拍影像的动物个体重识别方法”，中华白海豚是主要应用对象，公开鲸豚数据集用于检验方法的可复现性和跨数据集普适性。</w:t>
      </w:r>
    </w:p>
    <w:p>
      <w:pPr>
        <w:keepLines w:val="0"/>
      </w:pPr>
      <w:r>
        <w:t>安全题目：</w:t>
      </w:r>
    </w:p>
    <w:tbl>
      <w:tblPr>
        <w:tblW w:type="dxa" w:w="9360"/>
        <w:tblLayout w:type="fixed"/>
        <w:tblLook w:firstColumn="1" w:firstRow="1" w:lastColumn="0" w:lastRow="0" w:noHBand="0" w:noVBand="1" w:val="04A0"/>
        <w:tblInd w:w="120" w:type="dxa"/>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tcMar>
              <w:top w:w="80" w:type="dxa"/>
              <w:start w:w="120" w:type="dxa"/>
              <w:bottom w:w="80" w:type="dxa"/>
              <w:end w:w="120" w:type="dxa"/>
            </w:tcMar>
            <w:vAlign w:val="center"/>
            <w:shd w:fill="F4F6F9"/>
          </w:tcPr>
          <w:p>
            <w:pPr>
              <w:spacing w:before="40" w:after="40"/>
            </w:pPr>
            <w:r>
              <w:rPr>
                <w:rFonts w:ascii="Calibri" w:hAnsi="Calibri" w:eastAsia="Microsoft YaHei"/>
                <w:b/>
                <w:color w:val="1E3A5F"/>
                <w:sz w:val="21"/>
              </w:rPr>
              <w:t>基于序列约束与质量感知簇级融合的中华白海豚个体重识别方法</w:t>
            </w:r>
          </w:p>
        </w:tc>
      </w:tr>
    </w:tbl>
    <w:p>
      <w:pPr>
        <w:spacing w:after="20"/>
      </w:pPr>
    </w:p>
    <w:p>
      <w:pPr>
        <w:keepLines w:val="0"/>
      </w:pPr>
      <w:r>
        <w:t>只有在完成身份级已知/未知划分，并获得可靠未知真值后，才使用含“开放集”的题目：</w:t>
      </w:r>
    </w:p>
    <w:tbl>
      <w:tblPr>
        <w:tblW w:type="dxa" w:w="9360"/>
        <w:tblLayout w:type="fixed"/>
        <w:tblLook w:firstColumn="1" w:firstRow="1" w:lastColumn="0" w:lastRow="0" w:noHBand="0" w:noVBand="1" w:val="04A0"/>
        <w:tblInd w:w="120" w:type="dxa"/>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tcMar>
              <w:top w:w="80" w:type="dxa"/>
              <w:start w:w="120" w:type="dxa"/>
              <w:bottom w:w="80" w:type="dxa"/>
              <w:end w:w="120" w:type="dxa"/>
            </w:tcMar>
            <w:vAlign w:val="center"/>
            <w:shd w:fill="F4F6F9"/>
          </w:tcPr>
          <w:p>
            <w:pPr>
              <w:spacing w:before="40" w:after="40"/>
            </w:pPr>
            <w:r>
              <w:rPr>
                <w:rFonts w:ascii="Calibri" w:hAnsi="Calibri" w:eastAsia="Microsoft YaHei"/>
                <w:b/>
                <w:color w:val="1E3A5F"/>
                <w:sz w:val="21"/>
              </w:rPr>
              <w:t>面向野外小样本影像的序列约束开放集中华白海豚个体重识别方法</w:t>
            </w:r>
          </w:p>
        </w:tc>
      </w:tr>
    </w:tbl>
    <w:p>
      <w:pPr>
        <w:spacing w:after="20"/>
      </w:pPr>
    </w:p>
    <w:p>
      <w:pPr>
        <w:pStyle w:val="Heading1"/>
      </w:pPr>
      <w:r>
        <w:t>2. 研究目标、问题与假设</w:t>
      </w:r>
    </w:p>
    <w:p>
      <w:pPr>
        <w:pStyle w:val="Heading2"/>
      </w:pPr>
      <w:r>
        <w:t>2.1 总体目标</w:t>
      </w:r>
    </w:p>
    <w:p>
      <w:pPr>
        <w:keepLines w:val="0"/>
      </w:pPr>
      <w:r>
        <w:t>形成一套在野外连拍、小样本、簇污染和历史库不完整条件下仍可可靠运行的中华白海豚个体候选检索方法，并通过公开数据集与本地严格协议验证其有效性、鲁棒性和实际审核价值，完成一篇符合《自动化学报》方法型论文要求的投稿稿件。</w:t>
      </w:r>
    </w:p>
    <w:p>
      <w:pPr>
        <w:pStyle w:val="Heading2"/>
      </w:pPr>
      <w:r>
        <w:t>2.2 可验证研究问题</w:t>
      </w:r>
    </w:p>
    <w:p>
      <w:pPr>
        <w:keepLines w:val="0"/>
      </w:pPr>
      <w:r>
        <w:rPr>
          <w:b/>
        </w:rPr>
        <w:t>RQ1：</w:t>
      </w:r>
      <w:r>
        <w:t>在禁止同一连拍序列跨训练、查询和图库的条件下，序列约束度量学习能否提高跨序列个体检索性能？</w:t>
      </w:r>
    </w:p>
    <w:p>
      <w:pPr>
        <w:keepLines w:val="0"/>
      </w:pPr>
      <w:r>
        <w:rPr>
          <w:b/>
        </w:rPr>
        <w:t>RQ2：</w:t>
      </w:r>
      <w:r>
        <w:t>当候选簇中混入少量异体照片时，质量感知稳健融合能否比特征均值、最大相似度和多数投票保持更高的检索准确率？</w:t>
      </w:r>
    </w:p>
    <w:p>
      <w:pPr>
        <w:keepLines w:val="0"/>
      </w:pPr>
      <w:r>
        <w:rPr>
          <w:b/>
        </w:rPr>
        <w:t>RQ3：</w:t>
      </w:r>
      <w:r>
        <w:t>在固定错误接受率条件下，融合簇级一致性和候选间隔能否提高已知个体召回率，或在召回率不下降时减少人工审核量？</w:t>
      </w:r>
    </w:p>
    <w:p>
      <w:pPr>
        <w:keepLines w:val="0"/>
      </w:pPr>
      <w:r>
        <w:rPr>
          <w:b/>
        </w:rPr>
        <w:t>RQ4：</w:t>
      </w:r>
      <w:r>
        <w:t>上述方法是否能在 Happywhale、BelugaID 和本地中华白海豚数据上表现出一致趋势，而不是只对一个小数据集有效？</w:t>
      </w:r>
    </w:p>
    <w:p>
      <w:pPr>
        <w:pStyle w:val="Heading2"/>
      </w:pPr>
      <w:r>
        <w:t>2.3 研究假设</w:t>
      </w:r>
    </w:p>
    <w:p>
      <w:pPr>
        <w:keepLines w:val="0"/>
      </w:pPr>
      <w:r>
        <w:rPr>
          <w:b/>
        </w:rPr>
        <w:t>H1：跨序列训练假设。</w:t>
      </w:r>
      <w:r>
        <w:t>与随机正样本或仅 ArcFace 训练相比，优先选择“同个体、不同连拍序列”的困难正样本，可以提升严格跨序列 R@1 和 mAP。</w:t>
      </w:r>
    </w:p>
    <w:p>
      <w:pPr>
        <w:keepLines w:val="0"/>
      </w:pPr>
      <w:r>
        <w:rPr>
          <w:b/>
        </w:rPr>
        <w:t>H2：抗污染融合假设。</w:t>
      </w:r>
      <w:r>
        <w:t>在 10%—30% 簇污染下，质量感知截尾融合相对均值、最大值和多数投票具有更小的性能下降。</w:t>
      </w:r>
    </w:p>
    <w:p>
      <w:pPr>
        <w:keepLines w:val="0"/>
      </w:pPr>
      <w:r>
        <w:rPr>
          <w:b/>
        </w:rPr>
        <w:t>H3：风险决策假设。</w:t>
      </w:r>
      <w:r>
        <w:t>结合第一候选分数、候选间隔、投票一致率和簇内离散度，可以在 FAR=1% 或 5% 的固定操作点上提高已知个体召回率。</w:t>
      </w:r>
    </w:p>
    <w:p>
      <w:pPr>
        <w:keepLines w:val="0"/>
      </w:pPr>
      <w:r>
        <w:rPr>
          <w:b/>
        </w:rPr>
        <w:t>H4：应用价值假设。</w:t>
      </w:r>
      <w:r>
        <w:t>在保持关键候选召回率的前提下，簇级候选可减少需要逐图查看的对象数量，并提供可追溯的成员、分数和投票证据。</w:t>
      </w:r>
    </w:p>
    <w:p>
      <w:pPr>
        <w:pStyle w:val="Heading1"/>
      </w:pPr>
      <w:r>
        <w:t>3. 拟提出的方法</w:t>
      </w:r>
    </w:p>
    <w:p>
      <w:pPr>
        <w:pStyle w:val="Heading2"/>
      </w:pPr>
      <w:r>
        <w:t>3.1 方法总览</w:t>
      </w:r>
    </w:p>
    <w:p>
      <w:pPr>
        <w:keepLines w:val="0"/>
      </w:pPr>
      <w:r>
        <w:t>输入为一个新调查批次的原始照片，输出为批内候选簇、每簇的历史身份 Top-K、疑似未知标记、代表图以及人工审核所需证据。整体流程如下：</w:t>
      </w:r>
    </w:p>
    <w:tbl>
      <w:tblPr>
        <w:tblW w:type="dxa" w:w="9360"/>
        <w:tblLayout w:type="fixed"/>
        <w:tblLook w:firstColumn="1" w:firstRow="1" w:lastColumn="0" w:lastRow="0" w:noHBand="0" w:noVBand="1" w:val="04A0"/>
        <w:tblInd w:w="120" w:type="dxa"/>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tcMar>
              <w:top w:w="80" w:type="dxa"/>
              <w:start w:w="120" w:type="dxa"/>
              <w:bottom w:w="80" w:type="dxa"/>
              <w:end w:w="120" w:type="dxa"/>
            </w:tcMar>
            <w:vAlign w:val="center"/>
            <w:shd w:fill="F4F6F9"/>
          </w:tcPr>
          <w:p>
            <w:pPr>
              <w:spacing w:before="40" w:after="40"/>
            </w:pPr>
            <w:r>
              <w:rPr>
                <w:rFonts w:ascii="Calibri" w:hAnsi="Calibri" w:eastAsia="Microsoft YaHei"/>
                <w:b/>
                <w:color w:val="1E3A5F"/>
                <w:sz w:val="21"/>
              </w:rPr>
              <w:t>原始影像 → 背鳍检测与裁剪 → 图像质量估计 → 序列约束表征模型 → 批内聚类与子簇化 → 抗污染簇级融合 → 开放集风险判定 → 人工确认/不确定/拒绝 → 更新档案库</w:t>
            </w:r>
          </w:p>
        </w:tc>
      </w:tr>
    </w:tbl>
    <w:p>
      <w:pPr>
        <w:spacing w:after="20"/>
      </w:pPr>
    </w:p>
    <w:p>
      <w:pPr>
        <w:spacing w:before="100" w:after="80"/>
        <w:jc w:val="center"/>
      </w:pPr>
      <w:r>
        <w:drawing>
          <wp:inline xmlns:a="http://schemas.openxmlformats.org/drawingml/2006/main" xmlns:pic="http://schemas.openxmlformats.org/drawingml/2006/picture">
            <wp:extent cx="5166360" cy="3874770"/>
            <wp:docPr id="1" name="Picture 1" descr="SQCF研究技术路线：数据治理、序列约束表征、聚类、质量感知融合、开放集判定和双人复核"/>
            <wp:cNvGraphicFramePr>
              <a:graphicFrameLocks noChangeAspect="1"/>
            </wp:cNvGraphicFramePr>
            <a:graphic>
              <a:graphicData uri="http://schemas.openxmlformats.org/drawingml/2006/picture">
                <pic:pic>
                  <pic:nvPicPr>
                    <pic:cNvPr id="0" name="technical_route.png"/>
                    <pic:cNvPicPr/>
                  </pic:nvPicPr>
                  <pic:blipFill>
                    <a:blip r:embed="rId13"/>
                    <a:stretch>
                      <a:fillRect/>
                    </a:stretch>
                  </pic:blipFill>
                  <pic:spPr>
                    <a:xfrm>
                      <a:off x="0" y="0"/>
                      <a:ext cx="5166360" cy="3874770"/>
                    </a:xfrm>
                    <a:prstGeom prst="rect"/>
                  </pic:spPr>
                </pic:pic>
              </a:graphicData>
            </a:graphic>
          </wp:inline>
        </w:drawing>
      </w:r>
    </w:p>
    <w:p>
      <w:pPr>
        <w:spacing w:after="160"/>
        <w:jc w:val="center"/>
      </w:pPr>
      <w:r>
        <w:rPr>
          <w:rFonts w:ascii="Calibri" w:hAnsi="Calibri" w:eastAsia="Microsoft YaHei"/>
          <w:color w:val="5F6368"/>
          <w:sz w:val="19"/>
        </w:rPr>
        <w:t>图1  论文研究技术路线</w:t>
      </w:r>
    </w:p>
    <w:p>
      <w:pPr>
        <w:pStyle w:val="Heading2"/>
      </w:pPr>
      <w:r>
        <w:t>3.2 序列约束度量学习</w:t>
      </w:r>
    </w:p>
    <w:p>
      <w:pPr>
        <w:keepLines w:val="0"/>
      </w:pPr>
      <w:r>
        <w:t>对每张图像记录个体标签 (y_i)、调查批次 (b_i)、连拍序列 (q_i)、视角 (v_i) 和质量信息 (a_i)。对于锚点 (i)，跨序列正样本集合定义为：</w:t>
      </w:r>
    </w:p>
    <w:p>
      <w:pPr>
        <w:pStyle w:val="EquationDisplay"/>
      </w:pPr>
      <w:r>
        <w:rPr>
          <w:rFonts w:ascii="Cambria Math" w:hAnsi="Cambria Math" w:eastAsia="Microsoft YaHei"/>
          <w:color w:val="1E3A5F"/>
          <w:sz w:val="21"/>
        </w:rPr>
        <w:t>P(i) = { j | yⱼ = yᵢ, qⱼ ≠ qᵢ }</w:t>
      </w:r>
    </w:p>
    <w:p>
      <w:pPr>
        <w:keepLines w:val="0"/>
      </w:pPr>
      <w:r>
        <w:t>困难负样本集合定义为：</w:t>
      </w:r>
    </w:p>
    <w:p>
      <w:pPr>
        <w:pStyle w:val="EquationDisplay"/>
      </w:pPr>
      <w:r>
        <w:rPr>
          <w:rFonts w:ascii="Cambria Math" w:hAnsi="Cambria Math" w:eastAsia="Microsoft YaHei"/>
          <w:color w:val="1E3A5F"/>
          <w:sz w:val="21"/>
        </w:rPr>
        <w:t>N(i) = { j | yⱼ ≠ yᵢ }</w:t>
      </w:r>
    </w:p>
    <w:p>
      <w:pPr>
        <w:keepLines w:val="0"/>
      </w:pPr>
      <w:r>
        <w:t>当 (P(i)) 非空时，从中选择距离最大的困难正样本，从 (N(i)) 中选择距离最小的困难负样本，构造跨序列度量损失：</w:t>
      </w:r>
    </w:p>
    <w:p>
      <w:pPr>
        <w:pStyle w:val="EquationDisplay"/>
      </w:pPr>
      <w:r>
        <w:rPr>
          <w:rFonts w:ascii="Cambria Math" w:hAnsi="Cambria Math" w:eastAsia="Microsoft YaHei"/>
          <w:color w:val="1E3A5F"/>
          <w:sz w:val="21"/>
        </w:rPr>
        <w:t>Lₛₑq = (1 / |A|) Σᵢ∈A [ d(zᵢ, zₚ*) − d(zᵢ, zₙ*) + m ]₊</w:t>
      </w:r>
    </w:p>
    <w:p>
      <w:pPr>
        <w:keepLines w:val="0"/>
      </w:pPr>
      <w:r>
        <w:t>总损失建议为：</w:t>
      </w:r>
    </w:p>
    <w:p>
      <w:pPr>
        <w:pStyle w:val="EquationDisplay"/>
      </w:pPr>
      <w:r>
        <w:rPr>
          <w:rFonts w:ascii="Cambria Math" w:hAnsi="Cambria Math" w:eastAsia="Microsoft YaHei"/>
          <w:color w:val="1E3A5F"/>
          <w:sz w:val="21"/>
        </w:rPr>
        <w:t>L = LArcFace + λₛₑq Lₛₑq</w:t>
      </w:r>
    </w:p>
    <w:p>
      <w:pPr>
        <w:keepLines w:val="0"/>
      </w:pPr>
      <w:r>
        <w:t>其中，(L_{seq}) 已同时包含最难跨序列正样本和最近异体负样本，不再叠加含义重复的困难负样本损失。只有一个连拍序列的个体继续参与 ArcFace 分类损失，但不参与跨序列正样本损失。训练批次采样器应优先保证一个个体含两个以上不同序列，避免损失项长期失效。</w:t>
      </w:r>
    </w:p>
    <w:p>
      <w:pPr>
        <w:keepLines w:val="0"/>
      </w:pPr>
      <w:r>
        <w:t>需要验证的关键实现选择包括：跨序列最难正样本与随机正样本、最近异体负样本与随机负样本、固定与动态损失权重，以及单序列个体的回退策略。必须用手工构造的小批次测试证明“正样本距离最大、负样本距离最小”的方向正确，避免继承旧 r4 Triplet 的错误。</w:t>
      </w:r>
    </w:p>
    <w:p>
      <w:pPr>
        <w:pStyle w:val="Heading2"/>
      </w:pPr>
      <w:r>
        <w:t>3.3 图像质量和簇内可靠性</w:t>
      </w:r>
    </w:p>
    <w:p>
      <w:pPr>
        <w:keepLines w:val="0"/>
      </w:pPr>
      <w:r>
        <w:t>每张图像的基础质量由检测置信度、清晰度、背鳍有效占比和可选的遮挡/视角标签组成。为防止复杂质量网络在小数据上过拟合，第一版采用可解释的归一化质量函数，不新建大型注意力网络。</w:t>
      </w:r>
    </w:p>
    <w:p>
      <w:pPr>
        <w:keepLines w:val="0"/>
      </w:pPr>
      <w:r>
        <w:t>对簇 (C) 计算特征中心或 medoid，成员一致性为：</w:t>
      </w:r>
    </w:p>
    <w:p>
      <w:pPr>
        <w:pStyle w:val="EquationDisplay"/>
      </w:pPr>
      <w:r>
        <w:rPr>
          <w:rFonts w:ascii="Cambria Math" w:hAnsi="Cambria Math" w:eastAsia="Microsoft YaHei"/>
          <w:color w:val="1E3A5F"/>
          <w:sz w:val="21"/>
        </w:rPr>
        <w:t>rⱼ = exp( −d(zⱼ, zmedoid)² / τ² )</w:t>
      </w:r>
    </w:p>
    <w:p>
      <w:pPr>
        <w:keepLines w:val="0"/>
      </w:pPr>
      <w:r>
        <w:t>图像最终可靠性权重为：</w:t>
      </w:r>
    </w:p>
    <w:p>
      <w:pPr>
        <w:pStyle w:val="EquationDisplay"/>
      </w:pPr>
      <w:r>
        <w:rPr>
          <w:rFonts w:ascii="Cambria Math" w:hAnsi="Cambria Math" w:eastAsia="Microsoft YaHei"/>
          <w:color w:val="1E3A5F"/>
          <w:sz w:val="21"/>
        </w:rPr>
        <w:t>wⱼ = qⱼ · rⱼ</w:t>
      </w:r>
    </w:p>
    <w:p>
      <w:pPr>
        <w:keepLines w:val="0"/>
      </w:pPr>
      <w:r>
        <w:t>其中 (q_j) 是归一化基础质量。参数归一化方式和 (</w:t>
        <w:tab/>
        <w:t>au) 只能在训练/校准数据上确定，不能根据测试结果调节。</w:t>
      </w:r>
    </w:p>
    <w:p>
      <w:pPr>
        <w:pStyle w:val="Heading2"/>
      </w:pPr>
      <w:r>
        <w:t>3.4 抗污染簇级证据融合</w:t>
      </w:r>
    </w:p>
    <w:p>
      <w:pPr>
        <w:keepLines w:val="0"/>
      </w:pPr>
      <w:r>
        <w:t>首先根据簇内距离或可靠性权重剔除最低可靠的少量成员，形成稳健成员集合 (C')。对于候选身份 (k)，单图对该身份图库的得分为：</w:t>
      </w:r>
    </w:p>
    <w:p>
      <w:pPr>
        <w:pStyle w:val="EquationDisplay"/>
      </w:pPr>
      <w:r>
        <w:rPr>
          <w:rFonts w:ascii="Cambria Math" w:hAnsi="Cambria Math" w:eastAsia="Microsoft YaHei"/>
          <w:color w:val="1E3A5F"/>
          <w:sz w:val="21"/>
        </w:rPr>
        <w:t>s(zⱼ, k) = max g∈Gₖ cos(zⱼ, g)</w:t>
      </w:r>
    </w:p>
    <w:p>
      <w:pPr>
        <w:keepLines w:val="0"/>
      </w:pPr>
      <w:r>
        <w:t>簇级加权得分为：</w:t>
      </w:r>
    </w:p>
    <w:p>
      <w:pPr>
        <w:pStyle w:val="EquationDisplay"/>
      </w:pPr>
      <w:r>
        <w:rPr>
          <w:rFonts w:ascii="Cambria Math" w:hAnsi="Cambria Math" w:eastAsia="Microsoft YaHei"/>
          <w:color w:val="1E3A5F"/>
          <w:sz w:val="21"/>
        </w:rPr>
        <w:t>S(C, k) = Σⱼ∈C′ wⱼ s(zⱼ, k) / Σⱼ∈C′ wⱼ</w:t>
      </w:r>
    </w:p>
    <w:p>
      <w:pPr>
        <w:keepLines w:val="0"/>
      </w:pPr>
      <w:r>
        <w:t>簇内成员对候选身份的投票一致率为：</w:t>
      </w:r>
    </w:p>
    <w:p>
      <w:pPr>
        <w:pStyle w:val="EquationDisplay"/>
      </w:pPr>
      <w:r>
        <w:rPr>
          <w:rFonts w:ascii="Cambria Math" w:hAnsi="Cambria Math" w:eastAsia="Microsoft YaHei"/>
          <w:color w:val="1E3A5F"/>
          <w:sz w:val="21"/>
        </w:rPr>
        <w:t>V(C, k) = #{ j∈C′ : Top1(zⱼ) = k } / |C′|</w:t>
      </w:r>
    </w:p>
    <w:p>
      <w:pPr>
        <w:keepLines w:val="0"/>
      </w:pPr>
      <w:r>
        <w:t>必须与下列方法公平比较：单张代表图、特征均值、最大相似度、无权重得分均值、多数投票、质量加权但不截尾、截尾但不加权，以及完整 SQCF。</w:t>
      </w:r>
    </w:p>
    <w:p>
      <w:pPr>
        <w:pStyle w:val="Heading2"/>
      </w:pPr>
      <w:r>
        <w:t>3.5 风险受控的开放集判定</w:t>
      </w:r>
    </w:p>
    <w:p>
      <w:pPr>
        <w:keepLines w:val="0"/>
      </w:pPr>
      <w:r>
        <w:t>设第一、第二候选簇级得分为 (S_1,S_2)，第一候选投票一致率为 (V_1)，簇内得分离散度为 (D)，构造风险置信度：</w:t>
      </w:r>
    </w:p>
    <w:p>
      <w:pPr>
        <w:pStyle w:val="EquationDisplay"/>
      </w:pPr>
      <w:r>
        <w:rPr>
          <w:rFonts w:ascii="Cambria Math" w:hAnsi="Cambria Math" w:eastAsia="Microsoft YaHei"/>
          <w:color w:val="1E3A5F"/>
          <w:sz w:val="21"/>
        </w:rPr>
        <w:t>R(C) = αS₁ + βV₁ + γ(S₁ − S₂) − δD</w:t>
      </w:r>
    </w:p>
    <w:p>
      <w:pPr>
        <w:keepLines w:val="0"/>
      </w:pPr>
      <w:r>
        <w:t>系数和阈值在身份隔离的校准集上选择。输出三态：</w:t>
      </w:r>
    </w:p>
    <w:p>
      <w:pPr>
        <w:numPr>
          <w:ilvl w:val="0"/>
          <w:numId w:val="11"/>
        </w:numPr>
        <w:spacing w:after="80" w:line="290" w:lineRule="auto"/>
      </w:pPr>
      <w:r>
        <w:rPr>
          <w:b/>
        </w:rPr>
        <w:t>已知个体候选：</w:t>
      </w:r>
      <w:r>
        <w:t>分数和一致性均超过高阈值，进入 Top-K 人工确认；</w:t>
      </w:r>
    </w:p>
    <w:p>
      <w:pPr>
        <w:numPr>
          <w:ilvl w:val="0"/>
          <w:numId w:val="11"/>
        </w:numPr>
        <w:spacing w:after="80" w:line="290" w:lineRule="auto"/>
      </w:pPr>
      <w:r>
        <w:rPr>
          <w:b/>
        </w:rPr>
        <w:t>低置信待审：</w:t>
      </w:r>
      <w:r>
        <w:t>证据不足但不能安全判为未知，进入优先审核队列；</w:t>
      </w:r>
    </w:p>
    <w:p>
      <w:pPr>
        <w:numPr>
          <w:ilvl w:val="0"/>
          <w:numId w:val="11"/>
        </w:numPr>
        <w:spacing w:after="80" w:line="290" w:lineRule="auto"/>
      </w:pPr>
      <w:r>
        <w:rPr>
          <w:b/>
        </w:rPr>
        <w:t>疑似未知：</w:t>
      </w:r>
      <w:r>
        <w:t>在固定 FAR 操作点下低于拒识阈值，进入新个体复核流程。</w:t>
      </w:r>
    </w:p>
    <w:p>
      <w:pPr>
        <w:keepLines w:val="0"/>
      </w:pPr>
      <w:r>
        <w:t>“疑似未知”不能自动创建正式身份。正式入库必须经过双人复核，并保留原始路径、批次、序列、算法版本、阈值和审核意见。</w:t>
      </w:r>
    </w:p>
    <w:p>
      <w:r>
        <w:br w:type="page"/>
      </w:r>
    </w:p>
    <w:p>
      <w:pPr>
        <w:pStyle w:val="Heading1"/>
      </w:pPr>
      <w:r>
        <w:t>4. 所需材料清单</w:t>
      </w:r>
    </w:p>
    <w:p>
      <w:pPr>
        <w:pStyle w:val="Heading2"/>
      </w:pPr>
      <w:r>
        <w:t>4.1 本地数据材料</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2150"/>
        <w:gridCol w:w="2900"/>
        <w:gridCol w:w="2860"/>
      </w:tblGrid>
      <w:tr>
        <w:trPr>
          <w:tblHeader w:val="true"/>
        </w:trPr>
        <w:tc>
          <w:tcPr>
            <w:tcW w:type="dxa" w:w="145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材料</w:t>
            </w:r>
          </w:p>
        </w:tc>
        <w:tc>
          <w:tcPr>
            <w:tcW w:type="dxa" w:w="215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当前基础</w:t>
            </w:r>
          </w:p>
        </w:tc>
        <w:tc>
          <w:tcPr>
            <w:tcW w:type="dxa" w:w="29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正式实验要求</w:t>
            </w:r>
          </w:p>
        </w:tc>
        <w:tc>
          <w:tcPr>
            <w:tcW w:type="dxa" w:w="28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缺口与行动</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原始照片</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9 个批次、约 1040 张</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冻结只读数据快照并生成文件哈希</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 xml:space="preserve">建立 </w:t>
            </w:r>
            <w:r>
              <w:rPr>
                <w:rFonts w:ascii="Consolas" w:hAnsi="Consolas" w:eastAsia="Microsoft YaHei"/>
                <w:color w:val="1F4D78"/>
                <w:sz w:val="17"/>
              </w:rPr>
              <w:t>dataset_version</w:t>
            </w:r>
            <w:r>
              <w:rPr>
                <w:rFonts w:ascii="Calibri" w:hAnsi="Calibri" w:eastAsia="Microsoft YaHei"/>
                <w:color w:val="202124"/>
                <w:sz w:val="18"/>
              </w:rPr>
              <w:t xml:space="preserve"> 和校验清单</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个体标签</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部分确认，约 75 个个体/352 张标注图</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区分 confirmed、candidate、unresolved、ignored</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未确认标签不得进入监督训练和主测试</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连拍序列</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已修正部分完整同串键</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每张图必须有 session、sequence、segment</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对缺失或异常键做人工抽查</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历史图库</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约 43 组/202 张</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确认图库身份、左右侧和代表图</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候选分组与确认身份分开存储</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松散候选池</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约 322 张</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只作无标签检索、聚类或人工工作量评估</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不作为正样本真值</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检测框标注</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已有小规模验证集</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扩充独立检测测试集并记录难例</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优先补遮挡、小背鳍、远景和多目标</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图像质量</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部分可由程序估计</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形成清晰度、遮挡、鳍占比、视角分层</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先标注小规模质量校准集</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人工审核记录</w:t>
            </w:r>
          </w:p>
        </w:tc>
        <w:tc>
          <w:tcPr>
            <w:tcW w:type="dxa" w:w="215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已有审核网页与状态</w:t>
            </w:r>
          </w:p>
        </w:tc>
        <w:tc>
          <w:tcPr>
            <w:tcW w:type="dxa" w:w="29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双人独立复核、分歧仲裁、时间记录</w:t>
            </w:r>
          </w:p>
        </w:tc>
        <w:tc>
          <w:tcPr>
            <w:tcW w:type="dxa" w:w="28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制定审核 SOP 和匿名候选顺序</w:t>
            </w:r>
          </w:p>
        </w:tc>
      </w:tr>
    </w:tbl>
    <w:p>
      <w:pPr>
        <w:spacing w:before="0" w:after="40"/>
      </w:pPr>
    </w:p>
    <w:p>
      <w:pPr>
        <w:pStyle w:val="Heading2"/>
      </w:pPr>
      <w:r>
        <w:t>4.2 公开数据材料</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300"/>
        <w:gridCol w:w="2500"/>
        <w:gridCol w:w="3060"/>
      </w:tblGrid>
      <w:tr>
        <w:trPr>
          <w:tblHeader w:val="true"/>
        </w:trPr>
        <w:tc>
          <w:tcPr>
            <w:tcW w:type="dxa" w:w="15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数据/材料</w:t>
            </w:r>
          </w:p>
        </w:tc>
        <w:tc>
          <w:tcPr>
            <w:tcW w:type="dxa" w:w="23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用途</w:t>
            </w:r>
          </w:p>
        </w:tc>
        <w:tc>
          <w:tcPr>
            <w:tcW w:type="dxa" w:w="25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必需程度</w:t>
            </w:r>
          </w:p>
        </w:tc>
        <w:tc>
          <w:tcPr>
            <w:tcW w:type="dxa" w:w="30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使用约束</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完整 Happywhale 数据</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与冠军派生基线统一对比；开放集身份划分</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必需</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遵守 Kaggle/镜像条款，不向仓库再分发</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BelugaID COCO 与官方测试场景</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跨数据集和官方场景评估</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推荐</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先修复并验证局部/全局索引映射</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Happywhale 冠军仓库</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复现网络、损失和融合思想</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必需</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仓库无明确许可证，仅重实现思路</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WildlifeDatasets/WildlifeTools</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统一划分、MegaDescriptor 和评估参考</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必需</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记录 GPL-3.0 依赖边界和调用方式</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DINOv2 官方权重</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通用视觉表征基线</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必需</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使用官方权重和 Apache-2.0 许可</w:t>
            </w:r>
          </w:p>
        </w:tc>
      </w:tr>
      <w:tr>
        <w:tc>
          <w:tcPr>
            <w:tcW w:type="dxa" w:w="15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MegaDescriptor-T-224 权重</w:t>
            </w:r>
          </w:p>
        </w:tc>
        <w:tc>
          <w:tcPr>
            <w:tcW w:type="dxa" w:w="23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当前强基线与初始化</w:t>
            </w:r>
          </w:p>
        </w:tc>
        <w:tc>
          <w:tcPr>
            <w:tcW w:type="dxa" w:w="25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必需</w:t>
            </w:r>
          </w:p>
        </w:tc>
        <w:tc>
          <w:tcPr>
            <w:tcW w:type="dxa" w:w="30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固定版本、权重哈希和预处理</w:t>
            </w:r>
          </w:p>
        </w:tc>
      </w:tr>
    </w:tbl>
    <w:p>
      <w:pPr>
        <w:spacing w:before="0" w:after="40"/>
      </w:pPr>
    </w:p>
    <w:p>
      <w:pPr>
        <w:pStyle w:val="Heading2"/>
      </w:pPr>
      <w:r>
        <w:t>4.3 标注与审核材料</w:t>
      </w:r>
    </w:p>
    <w:p>
      <w:pPr>
        <w:numPr>
          <w:ilvl w:val="0"/>
          <w:numId w:val="11"/>
        </w:numPr>
        <w:spacing w:after="80" w:line="290" w:lineRule="auto"/>
      </w:pPr>
      <w:r>
        <w:t>《个体标签可信度规范》：confirmed/candidate/unresolved/ignored 的定义和使用边界；</w:t>
      </w:r>
    </w:p>
    <w:p>
      <w:pPr>
        <w:numPr>
          <w:ilvl w:val="0"/>
          <w:numId w:val="11"/>
        </w:numPr>
        <w:spacing w:after="80" w:line="290" w:lineRule="auto"/>
      </w:pPr>
      <w:r>
        <w:t>《连拍序列划分规范》：同序列、跨序列和不确定序列的判定示例；</w:t>
      </w:r>
    </w:p>
    <w:p>
      <w:pPr>
        <w:numPr>
          <w:ilvl w:val="0"/>
          <w:numId w:val="11"/>
        </w:numPr>
        <w:spacing w:after="80" w:line="290" w:lineRule="auto"/>
      </w:pPr>
      <w:r>
        <w:t>《图像质量标注表》：清晰度、遮挡、背鳍占比、左右侧/未知视角；</w:t>
      </w:r>
    </w:p>
    <w:p>
      <w:pPr>
        <w:numPr>
          <w:ilvl w:val="0"/>
          <w:numId w:val="11"/>
        </w:numPr>
        <w:spacing w:after="80" w:line="290" w:lineRule="auto"/>
      </w:pPr>
      <w:r>
        <w:t>《跨时间候选双人复核表》：独立判断、置信等级、证据说明和仲裁结论；</w:t>
      </w:r>
    </w:p>
    <w:p>
      <w:pPr>
        <w:numPr>
          <w:ilvl w:val="0"/>
          <w:numId w:val="11"/>
        </w:numPr>
        <w:spacing w:after="80" w:line="290" w:lineRule="auto"/>
      </w:pPr>
      <w:r>
        <w:t>盲化审核材料：隐藏模型名称和候选来源，降低先入偏差；</w:t>
      </w:r>
    </w:p>
    <w:p>
      <w:pPr>
        <w:numPr>
          <w:ilvl w:val="0"/>
          <w:numId w:val="11"/>
        </w:numPr>
        <w:spacing w:after="80" w:line="290" w:lineRule="auto"/>
      </w:pPr>
      <w:r>
        <w:t>争议样本列表：训练禁用、主测试禁用或单独敏感性分析。</w:t>
      </w:r>
    </w:p>
    <w:p>
      <w:pPr>
        <w:pStyle w:val="Heading2"/>
      </w:pPr>
      <w:r>
        <w:t>4.4 模型、软件与算力材料</w:t>
      </w:r>
    </w:p>
    <w:p>
      <w:pPr>
        <w:keepLines w:val="0"/>
      </w:pPr>
      <w:r>
        <w:rPr>
          <w:b/>
        </w:rPr>
        <w:t>模型：</w:t>
      </w:r>
      <w:r>
        <w:t>YOLOv8 检测器、MegaDescriptor-T-224/r4（仅作生产历史基线，不把旧 Triplet 解释为有效困难负样本）、DINOv2、冠军派生 EfficientNet-B7 单模型，条件允许时增加 B6+B7 最小集成。</w:t>
      </w:r>
    </w:p>
    <w:p>
      <w:pPr>
        <w:keepLines w:val="0"/>
      </w:pPr>
      <w:r>
        <w:rPr>
          <w:b/>
        </w:rPr>
        <w:t>软件：</w:t>
      </w:r>
      <w:r>
        <w:t>固定 Python、PyTorch、timm、ultralytics、scikit-learn、HDBSCAN 和评估依赖版本；生成可复现环境清单和随机种子配置。</w:t>
      </w:r>
    </w:p>
    <w:p>
      <w:pPr>
        <w:keepLines w:val="0"/>
      </w:pPr>
      <w:r>
        <w:rPr>
          <w:b/>
        </w:rPr>
        <w:t>算力：</w:t>
      </w:r>
      <w:r>
        <w:t>记录实际 GPU 型号、显存、训练时长和推理吞吐。冠军 B7 的 1024 分辨率训练如果显存不足，使用混合精度、梯度累积和较小批次；不得因算力差异改变测试数据或指标。完整冠军多模型集成作为可选性能上限，不作为论文成立的前置条件。</w:t>
      </w:r>
    </w:p>
    <w:p>
      <w:pPr>
        <w:keepLines w:val="0"/>
      </w:pPr>
      <w:r>
        <w:rPr>
          <w:b/>
        </w:rPr>
        <w:t>存储：</w:t>
      </w:r>
      <w:r>
        <w:t>完整 Happywhale 数据、解码缓存、特征、权重和日志需独立数据盘。根据当前约 40 GB 原始镜像规模，建议预留不少于 100 GB 的研究空间；这是规划容量，不是论文实验结果。</w:t>
      </w:r>
    </w:p>
    <w:p>
      <w:pPr>
        <w:pStyle w:val="Heading2"/>
      </w:pPr>
      <w:r>
        <w:t>4.5 人员材料</w:t>
      </w:r>
    </w:p>
    <w:p>
      <w:pPr>
        <w:numPr>
          <w:ilvl w:val="0"/>
          <w:numId w:val="11"/>
        </w:numPr>
        <w:spacing w:after="80" w:line="290" w:lineRule="auto"/>
      </w:pPr>
      <w:r>
        <w:t>算法实验执行者 1 名：数据冻结、训练、评估和日志管理；</w:t>
      </w:r>
    </w:p>
    <w:p>
      <w:pPr>
        <w:numPr>
          <w:ilvl w:val="0"/>
          <w:numId w:val="11"/>
        </w:numPr>
        <w:spacing w:after="80" w:line="290" w:lineRule="auto"/>
      </w:pPr>
      <w:r>
        <w:t>中华白海豚领域审核者至少 2 名：跨时间候选和难例独立复核；</w:t>
      </w:r>
    </w:p>
    <w:p>
      <w:pPr>
        <w:numPr>
          <w:ilvl w:val="0"/>
          <w:numId w:val="11"/>
        </w:numPr>
        <w:spacing w:after="80" w:line="290" w:lineRule="auto"/>
      </w:pPr>
      <w:r>
        <w:t>分歧仲裁者 1 名：可由两名审核者讨论形成一致结论，也可引入第三人；</w:t>
      </w:r>
    </w:p>
    <w:p>
      <w:pPr>
        <w:numPr>
          <w:ilvl w:val="0"/>
          <w:numId w:val="11"/>
        </w:numPr>
        <w:spacing w:after="80" w:line="290" w:lineRule="auto"/>
      </w:pPr>
      <w:r>
        <w:t>论文内部审稿者 1 名：不参与主实现，以审稿人视角检查主张、统计和复现材料。</w:t>
      </w:r>
    </w:p>
    <w:p>
      <w:r>
        <w:br w:type="page"/>
      </w:r>
    </w:p>
    <w:p>
      <w:pPr>
        <w:pStyle w:val="Heading1"/>
      </w:pPr>
      <w:r>
        <w:t>5. 具体技术路线</w:t>
      </w:r>
    </w:p>
    <w:p>
      <w:pPr>
        <w:pStyle w:val="Heading2"/>
      </w:pPr>
      <w:r>
        <w:t>阶段 0：冻结研究问题和实验协议</w:t>
      </w:r>
    </w:p>
    <w:p>
      <w:pPr>
        <w:keepLines w:val="0"/>
      </w:pPr>
      <w:r>
        <w:rPr>
          <w:b/>
        </w:rPr>
        <w:t>目标：</w:t>
      </w:r>
      <w:r>
        <w:t>在继续调参之前先锁定什么问题、用什么数据、按什么指标回答。</w:t>
      </w:r>
    </w:p>
    <w:p>
      <w:pPr>
        <w:keepLines w:val="0"/>
      </w:pPr>
      <w:r>
        <w:rPr>
          <w:b/>
        </w:rPr>
        <w:t>任务：</w:t>
      </w:r>
    </w:p>
    <w:p>
      <w:pPr>
        <w:numPr>
          <w:ilvl w:val="0"/>
          <w:numId w:val="11"/>
        </w:numPr>
        <w:spacing w:after="80" w:line="290" w:lineRule="auto"/>
      </w:pPr>
      <w:r>
        <w:t>冻结四个研究问题和主要/次要指标；</w:t>
      </w:r>
    </w:p>
    <w:p>
      <w:pPr>
        <w:numPr>
          <w:ilvl w:val="0"/>
          <w:numId w:val="11"/>
        </w:numPr>
        <w:spacing w:after="80" w:line="290" w:lineRule="auto"/>
      </w:pPr>
      <w:r>
        <w:t>明确本地严格跨序列协议、公开身份隔离开放集协议和官方场景协议；</w:t>
      </w:r>
    </w:p>
    <w:p>
      <w:pPr>
        <w:numPr>
          <w:ilvl w:val="0"/>
          <w:numId w:val="11"/>
        </w:numPr>
        <w:spacing w:after="80" w:line="290" w:lineRule="auto"/>
      </w:pPr>
      <w:r>
        <w:t>定义训练、验证、校准、测试四类集合，测试集不得参与阈值选择；</w:t>
      </w:r>
    </w:p>
    <w:p>
      <w:pPr>
        <w:numPr>
          <w:ilvl w:val="0"/>
          <w:numId w:val="11"/>
        </w:numPr>
        <w:spacing w:after="80" w:line="290" w:lineRule="auto"/>
      </w:pPr>
      <w:r>
        <w:t>建立实验注册表，记录数据版本、代码版本、模型、种子、参数和输出目录；</w:t>
      </w:r>
    </w:p>
    <w:p>
      <w:pPr>
        <w:numPr>
          <w:ilvl w:val="0"/>
          <w:numId w:val="11"/>
        </w:numPr>
        <w:spacing w:after="80" w:line="290" w:lineRule="auto"/>
      </w:pPr>
      <w:r>
        <w:t>清点并冻结所有已知标签问题。</w:t>
      </w:r>
    </w:p>
    <w:p>
      <w:pPr>
        <w:keepLines w:val="0"/>
      </w:pPr>
      <w:r>
        <w:rPr>
          <w:b/>
        </w:rPr>
        <w:t>产物：</w:t>
      </w:r>
      <w:r>
        <w:rPr>
          <w:rFonts w:ascii="Consolas" w:hAnsi="Consolas" w:eastAsia="Microsoft YaHei"/>
          <w:color w:val="1F4D78"/>
          <w:sz w:val="21"/>
        </w:rPr>
        <w:t>protocol_v1.md</w:t>
      </w:r>
      <w:r>
        <w:t>、冻结 manifest、数据哈希、拆分 CSV、实验注册表。</w:t>
      </w:r>
    </w:p>
    <w:p>
      <w:pPr>
        <w:pStyle w:val="Heading2"/>
      </w:pPr>
      <w:r>
        <w:t>阶段 1：数据治理和基线修复</w:t>
      </w:r>
    </w:p>
    <w:p>
      <w:pPr>
        <w:keepLines w:val="0"/>
      </w:pPr>
      <w:r>
        <w:rPr>
          <w:b/>
        </w:rPr>
        <w:t>目标：</w:t>
      </w:r>
      <w:r>
        <w:t>得到可信、无泄漏、可重复的基础结果。</w:t>
      </w:r>
    </w:p>
    <w:p>
      <w:pPr>
        <w:keepLines w:val="0"/>
      </w:pPr>
      <w:r>
        <w:rPr>
          <w:b/>
        </w:rPr>
        <w:t>任务：</w:t>
      </w:r>
    </w:p>
    <w:p>
      <w:pPr>
        <w:numPr>
          <w:ilvl w:val="0"/>
          <w:numId w:val="11"/>
        </w:numPr>
        <w:spacing w:after="80" w:line="290" w:lineRule="auto"/>
      </w:pPr>
      <w:r>
        <w:t>完成完整 Happywhale 数据获取和条款记录；</w:t>
      </w:r>
    </w:p>
    <w:p>
      <w:pPr>
        <w:numPr>
          <w:ilvl w:val="0"/>
          <w:numId w:val="11"/>
        </w:numPr>
        <w:spacing w:after="80" w:line="290" w:lineRule="auto"/>
      </w:pPr>
      <w:r>
        <w:t>修复 BelugaID gallery 局部索引映射，并用可人工验证的小场景做单元测试；</w:t>
      </w:r>
    </w:p>
    <w:p>
      <w:pPr>
        <w:numPr>
          <w:ilvl w:val="0"/>
          <w:numId w:val="11"/>
        </w:numPr>
        <w:spacing w:after="80" w:line="290" w:lineRule="auto"/>
      </w:pPr>
      <w:r>
        <w:t>复核本地 session/sequence/segment 键，检查跨集合同串违规为 0；</w:t>
      </w:r>
    </w:p>
    <w:p>
      <w:pPr>
        <w:numPr>
          <w:ilvl w:val="0"/>
          <w:numId w:val="11"/>
        </w:numPr>
        <w:spacing w:after="80" w:line="290" w:lineRule="auto"/>
      </w:pPr>
      <w:r>
        <w:t>为最难正样本、最近负样本和无跨序列正样本回退建立手工可核对测试；</w:t>
      </w:r>
    </w:p>
    <w:p>
      <w:pPr>
        <w:numPr>
          <w:ilvl w:val="0"/>
          <w:numId w:val="11"/>
        </w:numPr>
        <w:spacing w:after="80" w:line="290" w:lineRule="auto"/>
      </w:pPr>
      <w:r>
        <w:t>固定检测裁剪和模型预处理，建立图片路径到特征行的可追溯映射；</w:t>
      </w:r>
    </w:p>
    <w:p>
      <w:pPr>
        <w:numPr>
          <w:ilvl w:val="0"/>
          <w:numId w:val="11"/>
        </w:numPr>
        <w:spacing w:after="80" w:line="290" w:lineRule="auto"/>
      </w:pPr>
      <w:r>
        <w:t>重跑 DINOv2、MegaDescriptor 零样本和当前 r4 历史基线。</w:t>
      </w:r>
    </w:p>
    <w:p>
      <w:pPr>
        <w:keepLines w:val="0"/>
      </w:pPr>
      <w:r>
        <w:rPr>
          <w:b/>
        </w:rPr>
        <w:t>产物：</w:t>
      </w:r>
      <w:r>
        <w:t>数据审计报告、索引回归测试、基线表、可复现命令。</w:t>
      </w:r>
    </w:p>
    <w:p>
      <w:pPr>
        <w:pStyle w:val="Heading2"/>
      </w:pPr>
      <w:r>
        <w:t>阶段 2：序列约束度量学习</w:t>
      </w:r>
    </w:p>
    <w:p>
      <w:pPr>
        <w:keepLines w:val="0"/>
      </w:pPr>
      <w:r>
        <w:rPr>
          <w:b/>
        </w:rPr>
        <w:t>目标：</w:t>
      </w:r>
      <w:r>
        <w:t>验证跨序列训练是否比现有训练更能学习个体特征。</w:t>
      </w:r>
    </w:p>
    <w:p>
      <w:pPr>
        <w:keepLines w:val="0"/>
      </w:pPr>
      <w:r>
        <w:rPr>
          <w:b/>
        </w:rPr>
        <w:t>任务：</w:t>
      </w:r>
    </w:p>
    <w:p>
      <w:pPr>
        <w:numPr>
          <w:ilvl w:val="0"/>
          <w:numId w:val="11"/>
        </w:numPr>
        <w:spacing w:after="80" w:line="290" w:lineRule="auto"/>
      </w:pPr>
      <w:r>
        <w:t>实现 sequence-aware batch sampler；</w:t>
      </w:r>
    </w:p>
    <w:p>
      <w:pPr>
        <w:numPr>
          <w:ilvl w:val="0"/>
          <w:numId w:val="11"/>
        </w:numPr>
        <w:spacing w:after="80" w:line="290" w:lineRule="auto"/>
      </w:pPr>
      <w:r>
        <w:t>独立实现跨序列最难正样本与最近异体负样本损失，不直接沿用旧 r4 Triplet；</w:t>
      </w:r>
    </w:p>
    <w:p>
      <w:pPr>
        <w:numPr>
          <w:ilvl w:val="0"/>
          <w:numId w:val="11"/>
        </w:numPr>
        <w:spacing w:after="80" w:line="290" w:lineRule="auto"/>
      </w:pPr>
      <w:r>
        <w:t>对单序列个体实现显式回退；</w:t>
      </w:r>
    </w:p>
    <w:p>
      <w:pPr>
        <w:numPr>
          <w:ilvl w:val="0"/>
          <w:numId w:val="11"/>
        </w:numPr>
        <w:spacing w:after="80" w:line="290" w:lineRule="auto"/>
      </w:pPr>
      <w:r>
        <w:t>运行 ArcFace、普通 Triplet、跨序列正样本、完整方法四级消融；</w:t>
      </w:r>
    </w:p>
    <w:p>
      <w:pPr>
        <w:numPr>
          <w:ilvl w:val="0"/>
          <w:numId w:val="11"/>
        </w:numPr>
        <w:spacing w:after="80" w:line="290" w:lineRule="auto"/>
      </w:pPr>
      <w:r>
        <w:t>每个主要配置至少运行 3 个随机种子；</w:t>
      </w:r>
    </w:p>
    <w:p>
      <w:pPr>
        <w:numPr>
          <w:ilvl w:val="0"/>
          <w:numId w:val="11"/>
        </w:numPr>
        <w:spacing w:after="80" w:line="290" w:lineRule="auto"/>
      </w:pPr>
      <w:r>
        <w:t>在验证集定参数，在锁定测试集一次性报告。</w:t>
      </w:r>
    </w:p>
    <w:p>
      <w:pPr>
        <w:keepLines w:val="0"/>
      </w:pPr>
      <w:r>
        <w:rPr>
          <w:b/>
        </w:rPr>
        <w:t>产物：</w:t>
      </w:r>
      <w:r>
        <w:t>训练曲线、损失消融表、严格跨序列检索表、嵌入可视化和失败案例。</w:t>
      </w:r>
    </w:p>
    <w:p>
      <w:pPr>
        <w:pStyle w:val="Heading2"/>
      </w:pPr>
      <w:r>
        <w:t>阶段 3：质量感知抗污染簇级融合</w:t>
      </w:r>
    </w:p>
    <w:p>
      <w:pPr>
        <w:keepLines w:val="0"/>
      </w:pPr>
      <w:r>
        <w:rPr>
          <w:b/>
        </w:rPr>
        <w:t>目标：</w:t>
      </w:r>
      <w:r>
        <w:t>形成论文的主算法模块。</w:t>
      </w:r>
    </w:p>
    <w:p>
      <w:pPr>
        <w:keepLines w:val="0"/>
      </w:pPr>
      <w:r>
        <w:rPr>
          <w:b/>
        </w:rPr>
        <w:t>任务：</w:t>
      </w:r>
    </w:p>
    <w:p>
      <w:pPr>
        <w:numPr>
          <w:ilvl w:val="0"/>
          <w:numId w:val="11"/>
        </w:numPr>
        <w:spacing w:after="80" w:line="290" w:lineRule="auto"/>
      </w:pPr>
      <w:r>
        <w:t>实现清晰度、检测置信度、鳍占比和簇内一致性质量特征；</w:t>
      </w:r>
    </w:p>
    <w:p>
      <w:pPr>
        <w:numPr>
          <w:ilvl w:val="0"/>
          <w:numId w:val="11"/>
        </w:numPr>
        <w:spacing w:after="80" w:line="290" w:lineRule="auto"/>
      </w:pPr>
      <w:r>
        <w:t>实现 medoid、一致性权重、稳健截尾和加权身份得分；</w:t>
      </w:r>
    </w:p>
    <w:p>
      <w:pPr>
        <w:numPr>
          <w:ilvl w:val="0"/>
          <w:numId w:val="11"/>
        </w:numPr>
        <w:spacing w:after="80" w:line="290" w:lineRule="auto"/>
      </w:pPr>
      <w:r>
        <w:t>比较代表图、均值、最大值、投票、加权和完整 SQCF；</w:t>
      </w:r>
    </w:p>
    <w:p>
      <w:pPr>
        <w:numPr>
          <w:ilvl w:val="0"/>
          <w:numId w:val="11"/>
        </w:numPr>
        <w:spacing w:after="80" w:line="290" w:lineRule="auto"/>
      </w:pPr>
      <w:r>
        <w:t>对真实 HDBSCAN 簇、人工确认纯簇和合成污染簇分别评估；</w:t>
      </w:r>
    </w:p>
    <w:p>
      <w:pPr>
        <w:numPr>
          <w:ilvl w:val="0"/>
          <w:numId w:val="11"/>
        </w:numPr>
        <w:spacing w:after="80" w:line="290" w:lineRule="auto"/>
      </w:pPr>
      <w:r>
        <w:t>扫描 0%、10%、20%、30% 污染比例，并加入同批次外观相似的困难污染；</w:t>
      </w:r>
    </w:p>
    <w:p>
      <w:pPr>
        <w:numPr>
          <w:ilvl w:val="0"/>
          <w:numId w:val="11"/>
        </w:numPr>
        <w:spacing w:after="80" w:line="290" w:lineRule="auto"/>
      </w:pPr>
      <w:r>
        <w:t>报告性能随污染比例的下降曲线。</w:t>
      </w:r>
    </w:p>
    <w:p>
      <w:pPr>
        <w:keepLines w:val="0"/>
      </w:pPr>
      <w:r>
        <w:rPr>
          <w:b/>
        </w:rPr>
        <w:t>产物：</w:t>
      </w:r>
      <w:r>
        <w:t>融合方法消融表、污染鲁棒性曲线、真实簇案例、簇内权重可视化。</w:t>
      </w:r>
    </w:p>
    <w:p>
      <w:pPr>
        <w:pStyle w:val="Heading2"/>
      </w:pPr>
      <w:r>
        <w:t>阶段 4：开放集风险校准</w:t>
      </w:r>
    </w:p>
    <w:p>
      <w:pPr>
        <w:keepLines w:val="0"/>
      </w:pPr>
      <w:r>
        <w:rPr>
          <w:b/>
        </w:rPr>
        <w:t>目标：</w:t>
      </w:r>
      <w:r>
        <w:t>建立能够解释和复现的已知/待审/疑似未知决策。</w:t>
      </w:r>
    </w:p>
    <w:p>
      <w:pPr>
        <w:keepLines w:val="0"/>
      </w:pPr>
      <w:r>
        <w:rPr>
          <w:b/>
        </w:rPr>
        <w:t>任务：</w:t>
      </w:r>
    </w:p>
    <w:p>
      <w:pPr>
        <w:numPr>
          <w:ilvl w:val="0"/>
          <w:numId w:val="11"/>
        </w:numPr>
        <w:spacing w:after="80" w:line="290" w:lineRule="auto"/>
      </w:pPr>
      <w:r>
        <w:t>按身份划分已知图库身份和未知查询身份；</w:t>
      </w:r>
    </w:p>
    <w:p>
      <w:pPr>
        <w:numPr>
          <w:ilvl w:val="0"/>
          <w:numId w:val="11"/>
        </w:numPr>
        <w:spacing w:after="80" w:line="290" w:lineRule="auto"/>
      </w:pPr>
      <w:r>
        <w:t>单独建立校准集，选择 FAR=1% 和 5% 的操作阈值；</w:t>
      </w:r>
    </w:p>
    <w:p>
      <w:pPr>
        <w:numPr>
          <w:ilvl w:val="0"/>
          <w:numId w:val="11"/>
        </w:numPr>
        <w:spacing w:after="80" w:line="290" w:lineRule="auto"/>
      </w:pPr>
      <w:r>
        <w:t>比较只用最高相似度、最高分+间隔、最高分+投票、完整风险分数；</w:t>
      </w:r>
    </w:p>
    <w:p>
      <w:pPr>
        <w:numPr>
          <w:ilvl w:val="0"/>
          <w:numId w:val="11"/>
        </w:numPr>
        <w:spacing w:after="80" w:line="290" w:lineRule="auto"/>
      </w:pPr>
      <w:r>
        <w:t>报告 AUROC、AUPR、OSCR、TAR@FAR 和审核比例；</w:t>
      </w:r>
    </w:p>
    <w:p>
      <w:pPr>
        <w:numPr>
          <w:ilvl w:val="0"/>
          <w:numId w:val="11"/>
        </w:numPr>
        <w:spacing w:after="80" w:line="290" w:lineRule="auto"/>
      </w:pPr>
      <w:r>
        <w:t>检查不同质量、视角、簇大小下的阈值稳定性；</w:t>
      </w:r>
    </w:p>
    <w:p>
      <w:pPr>
        <w:numPr>
          <w:ilvl w:val="0"/>
          <w:numId w:val="11"/>
        </w:numPr>
        <w:spacing w:after="80" w:line="290" w:lineRule="auto"/>
      </w:pPr>
      <w:r>
        <w:t>本地无可靠跨年未知真值时，只报告候选和审核工作量，不报告跨年未知识别准确率。</w:t>
      </w:r>
    </w:p>
    <w:p>
      <w:pPr>
        <w:keepLines w:val="0"/>
      </w:pPr>
      <w:r>
        <w:rPr>
          <w:b/>
        </w:rPr>
        <w:t>产物：</w:t>
      </w:r>
      <w:r>
        <w:t>ROC/PR/OSCR 曲线、固定 FAR 操作点表、校准曲线和阈值配置。</w:t>
      </w:r>
    </w:p>
    <w:p>
      <w:pPr>
        <w:pStyle w:val="Heading2"/>
      </w:pPr>
      <w:r>
        <w:t>阶段 5：Happywhale 冠军方案统一比较</w:t>
      </w:r>
    </w:p>
    <w:p>
      <w:pPr>
        <w:keepLines w:val="0"/>
      </w:pPr>
      <w:r>
        <w:rPr>
          <w:b/>
        </w:rPr>
        <w:t>目标：</w:t>
      </w:r>
      <w:r>
        <w:t>获得方法级而非排行榜级的公平对比。</w:t>
      </w:r>
    </w:p>
    <w:p>
      <w:pPr>
        <w:keepLines w:val="0"/>
      </w:pPr>
      <w:r>
        <w:rPr>
          <w:b/>
        </w:rPr>
        <w:t>任务：</w:t>
      </w:r>
    </w:p>
    <w:p>
      <w:pPr>
        <w:numPr>
          <w:ilvl w:val="0"/>
          <w:numId w:val="11"/>
        </w:numPr>
        <w:spacing w:after="80" w:line="290" w:lineRule="auto"/>
      </w:pPr>
      <w:r>
        <w:t>复现冠军派生 B7 单模型：高分辨率输入、Sub-center Adaptive ArcFace、个体/物种双任务、原图+翻转推理、KNN/logits 融合；</w:t>
      </w:r>
    </w:p>
    <w:p>
      <w:pPr>
        <w:numPr>
          <w:ilvl w:val="0"/>
          <w:numId w:val="11"/>
        </w:numPr>
        <w:spacing w:after="80" w:line="290" w:lineRule="auto"/>
      </w:pPr>
      <w:r>
        <w:t>在相同身份拆分、相同 query/gallery 和相同指标下比较；</w:t>
      </w:r>
    </w:p>
    <w:p>
      <w:pPr>
        <w:numPr>
          <w:ilvl w:val="0"/>
          <w:numId w:val="11"/>
        </w:numPr>
        <w:spacing w:after="80" w:line="290" w:lineRule="auto"/>
      </w:pPr>
      <w:r>
        <w:t>设置两个输入条件：统一裁剪/统一分辨率的公平模型比较，以及各方法推荐配置的系统性能比较；</w:t>
      </w:r>
    </w:p>
    <w:p>
      <w:pPr>
        <w:numPr>
          <w:ilvl w:val="0"/>
          <w:numId w:val="11"/>
        </w:numPr>
        <w:spacing w:after="80" w:line="290" w:lineRule="auto"/>
      </w:pPr>
      <w:r>
        <w:t>条件允许时运行 B6+B7 最小集成作为性能上限；</w:t>
      </w:r>
    </w:p>
    <w:p>
      <w:pPr>
        <w:numPr>
          <w:ilvl w:val="0"/>
          <w:numId w:val="11"/>
        </w:numPr>
        <w:spacing w:after="80" w:line="290" w:lineRule="auto"/>
      </w:pPr>
      <w:r>
        <w:t>公开排行榜成绩只放在背景或附录，不与自建测试结果合并排序；</w:t>
      </w:r>
    </w:p>
    <w:p>
      <w:pPr>
        <w:numPr>
          <w:ilvl w:val="0"/>
          <w:numId w:val="11"/>
        </w:numPr>
        <w:spacing w:after="80" w:line="290" w:lineRule="auto"/>
      </w:pPr>
      <w:r>
        <w:t>报告参数量、输入分辨率、训练时间和推理吞吐，说明精度—成本权衡。</w:t>
      </w:r>
    </w:p>
    <w:p>
      <w:pPr>
        <w:keepLines w:val="0"/>
      </w:pPr>
      <w:r>
        <w:rPr>
          <w:b/>
        </w:rPr>
        <w:t>产物：</w:t>
      </w:r>
      <w:r>
        <w:t>冠军派生基线说明、统一协议主结果表、计算成本表和复现脚本。</w:t>
      </w:r>
    </w:p>
    <w:p>
      <w:pPr>
        <w:pStyle w:val="Heading2"/>
      </w:pPr>
      <w:r>
        <w:t>阶段 6：本地真实应用与人工审核评估</w:t>
      </w:r>
    </w:p>
    <w:p>
      <w:pPr>
        <w:keepLines w:val="0"/>
      </w:pPr>
      <w:r>
        <w:rPr>
          <w:b/>
        </w:rPr>
        <w:t>目标：</w:t>
      </w:r>
      <w:r>
        <w:t>证明方法对实际辅助归档有价值，同时严格控制主张边界。</w:t>
      </w:r>
    </w:p>
    <w:p>
      <w:pPr>
        <w:keepLines w:val="0"/>
      </w:pPr>
      <w:r>
        <w:rPr>
          <w:b/>
        </w:rPr>
        <w:t>任务：</w:t>
      </w:r>
    </w:p>
    <w:p>
      <w:pPr>
        <w:numPr>
          <w:ilvl w:val="0"/>
          <w:numId w:val="11"/>
        </w:numPr>
        <w:spacing w:after="80" w:line="290" w:lineRule="auto"/>
      </w:pPr>
      <w:r>
        <w:t>在本地严格跨序列短时间尺度数据上报告检索结果；</w:t>
      </w:r>
    </w:p>
    <w:p>
      <w:pPr>
        <w:numPr>
          <w:ilvl w:val="0"/>
          <w:numId w:val="11"/>
        </w:numPr>
        <w:spacing w:after="80" w:line="290" w:lineRule="auto"/>
      </w:pPr>
      <w:r>
        <w:t>按清晰度、遮挡、背鳍大小、左右侧和簇大小分层；</w:t>
      </w:r>
    </w:p>
    <w:p>
      <w:pPr>
        <w:numPr>
          <w:ilvl w:val="0"/>
          <w:numId w:val="11"/>
        </w:numPr>
        <w:spacing w:after="80" w:line="290" w:lineRule="auto"/>
      </w:pPr>
      <w:r>
        <w:t>对模型候选进行盲化双人复核；</w:t>
      </w:r>
    </w:p>
    <w:p>
      <w:pPr>
        <w:numPr>
          <w:ilvl w:val="0"/>
          <w:numId w:val="11"/>
        </w:numPr>
        <w:spacing w:after="80" w:line="290" w:lineRule="auto"/>
      </w:pPr>
      <w:r>
        <w:t>记录单图审核对象数、簇级审核对象数、Top-K 候选数和审核时间；</w:t>
      </w:r>
    </w:p>
    <w:p>
      <w:pPr>
        <w:numPr>
          <w:ilvl w:val="0"/>
          <w:numId w:val="11"/>
        </w:numPr>
        <w:spacing w:after="80" w:line="290" w:lineRule="auto"/>
      </w:pPr>
      <w:r>
        <w:t>分析候选全否决、低质量误匹配、大簇混杂和侧面不一致等失败类型；</w:t>
      </w:r>
    </w:p>
    <w:p>
      <w:pPr>
        <w:numPr>
          <w:ilvl w:val="0"/>
          <w:numId w:val="11"/>
        </w:numPr>
        <w:spacing w:after="80" w:line="290" w:lineRule="auto"/>
      </w:pPr>
      <w:r>
        <w:t>不把未确认跨年候选计作正确匹配。</w:t>
      </w:r>
    </w:p>
    <w:p>
      <w:pPr>
        <w:keepLines w:val="0"/>
      </w:pPr>
      <w:r>
        <w:rPr>
          <w:b/>
        </w:rPr>
        <w:t>产物：</w:t>
      </w:r>
      <w:r>
        <w:t>本地严格结果表、质量分层表、人工工作量表、典型成功/失败案例。</w:t>
      </w:r>
    </w:p>
    <w:p>
      <w:pPr>
        <w:pStyle w:val="Heading2"/>
      </w:pPr>
      <w:r>
        <w:t>阶段 7：统计、图表、写作与复现归档</w:t>
      </w:r>
    </w:p>
    <w:p>
      <w:pPr>
        <w:keepLines w:val="0"/>
      </w:pPr>
      <w:r>
        <w:rPr>
          <w:b/>
        </w:rPr>
        <w:t>目标：</w:t>
      </w:r>
      <w:r>
        <w:t>将代码结果转化为审稿人能够检查的证据链。</w:t>
      </w:r>
    </w:p>
    <w:p>
      <w:pPr>
        <w:keepLines w:val="0"/>
      </w:pPr>
      <w:r>
        <w:rPr>
          <w:b/>
        </w:rPr>
        <w:t>任务：</w:t>
      </w:r>
    </w:p>
    <w:p>
      <w:pPr>
        <w:numPr>
          <w:ilvl w:val="0"/>
          <w:numId w:val="11"/>
        </w:numPr>
        <w:spacing w:after="80" w:line="290" w:lineRule="auto"/>
      </w:pPr>
      <w:r>
        <w:t>对主要指标按个体或簇进行 Bootstrap 95% 置信区间；</w:t>
      </w:r>
    </w:p>
    <w:p>
      <w:pPr>
        <w:numPr>
          <w:ilvl w:val="0"/>
          <w:numId w:val="11"/>
        </w:numPr>
        <w:spacing w:after="80" w:line="290" w:lineRule="auto"/>
      </w:pPr>
      <w:r>
        <w:t>对配对 Top-1 结果使用 McNemar 检验，对配对连续分数使用合适的非参数检验；</w:t>
      </w:r>
    </w:p>
    <w:p>
      <w:pPr>
        <w:numPr>
          <w:ilvl w:val="0"/>
          <w:numId w:val="11"/>
        </w:numPr>
        <w:spacing w:after="80" w:line="290" w:lineRule="auto"/>
      </w:pPr>
      <w:r>
        <w:t>多重比较时使用 Holm 校正；</w:t>
      </w:r>
    </w:p>
    <w:p>
      <w:pPr>
        <w:numPr>
          <w:ilvl w:val="0"/>
          <w:numId w:val="11"/>
        </w:numPr>
        <w:spacing w:after="80" w:line="290" w:lineRule="auto"/>
      </w:pPr>
      <w:r>
        <w:t>固定图表生成脚本，禁止手工修改数字；</w:t>
      </w:r>
    </w:p>
    <w:p>
      <w:pPr>
        <w:numPr>
          <w:ilvl w:val="0"/>
          <w:numId w:val="11"/>
        </w:numPr>
        <w:spacing w:after="80" w:line="290" w:lineRule="auto"/>
      </w:pPr>
      <w:r>
        <w:t>完成方法、实验、讨论、引言、摘要的写作顺序；</w:t>
      </w:r>
    </w:p>
    <w:p>
      <w:pPr>
        <w:numPr>
          <w:ilvl w:val="0"/>
          <w:numId w:val="11"/>
        </w:numPr>
        <w:spacing w:after="80" w:line="290" w:lineRule="auto"/>
      </w:pPr>
      <w:r>
        <w:t>建立匿名复现包和实验到论文表格的映射表。</w:t>
      </w:r>
    </w:p>
    <w:p>
      <w:pPr>
        <w:keepLines w:val="0"/>
      </w:pPr>
      <w:r>
        <w:rPr>
          <w:b/>
        </w:rPr>
        <w:t>产物：</w:t>
      </w:r>
      <w:r>
        <w:t>统计报告、最终图表、论文初稿、匿名复现说明和投稿检查表。</w:t>
      </w:r>
    </w:p>
    <w:p>
      <w:r>
        <w:br w:type="page"/>
      </w:r>
    </w:p>
    <w:p>
      <w:pPr>
        <w:pStyle w:val="Heading1"/>
      </w:pPr>
      <w:r>
        <w:t>6. 实验设计矩阵</w:t>
      </w:r>
    </w:p>
    <w:p>
      <w:pPr>
        <w:pStyle w:val="Heading2"/>
      </w:pPr>
      <w:r>
        <w:t>6.1 数据划分原则</w:t>
      </w:r>
    </w:p>
    <w:p>
      <w:pPr>
        <w:numPr>
          <w:ilvl w:val="0"/>
          <w:numId w:val="11"/>
        </w:numPr>
        <w:spacing w:after="80" w:line="290" w:lineRule="auto"/>
      </w:pPr>
      <w:r>
        <w:t>同一张图片不得出现在两个集合；</w:t>
      </w:r>
    </w:p>
    <w:p>
      <w:pPr>
        <w:numPr>
          <w:ilvl w:val="0"/>
          <w:numId w:val="11"/>
        </w:numPr>
        <w:spacing w:after="80" w:line="290" w:lineRule="auto"/>
      </w:pPr>
      <w:r>
        <w:t>同一连拍序列不得跨 query/gallery 或训练/测试；</w:t>
      </w:r>
    </w:p>
    <w:p>
      <w:pPr>
        <w:numPr>
          <w:ilvl w:val="0"/>
          <w:numId w:val="11"/>
        </w:numPr>
        <w:spacing w:after="80" w:line="290" w:lineRule="auto"/>
      </w:pPr>
      <w:r>
        <w:t>开放集测试中的未知身份不得出现在训练和图库；</w:t>
      </w:r>
    </w:p>
    <w:p>
      <w:pPr>
        <w:numPr>
          <w:ilvl w:val="0"/>
          <w:numId w:val="11"/>
        </w:numPr>
        <w:spacing w:after="80" w:line="290" w:lineRule="auto"/>
      </w:pPr>
      <w:r>
        <w:t>参数、融合系数和阈值只在训练/验证/校准数据上确定；</w:t>
      </w:r>
    </w:p>
    <w:p>
      <w:pPr>
        <w:numPr>
          <w:ilvl w:val="0"/>
          <w:numId w:val="11"/>
        </w:numPr>
        <w:spacing w:after="80" w:line="290" w:lineRule="auto"/>
      </w:pPr>
      <w:r>
        <w:t>测试结果不得用于二次调整方法；</w:t>
      </w:r>
    </w:p>
    <w:p>
      <w:pPr>
        <w:numPr>
          <w:ilvl w:val="0"/>
          <w:numId w:val="11"/>
        </w:numPr>
        <w:spacing w:after="80" w:line="290" w:lineRule="auto"/>
      </w:pPr>
      <w:r>
        <w:t>所有拆分保存显式 CSV，并附违规检查程序和测试；</w:t>
      </w:r>
    </w:p>
    <w:p>
      <w:pPr>
        <w:numPr>
          <w:ilvl w:val="0"/>
          <w:numId w:val="11"/>
        </w:numPr>
        <w:spacing w:after="80" w:line="290" w:lineRule="auto"/>
      </w:pPr>
      <w:r>
        <w:t>没有 encounter/sequence 元数据的公开数据必须在局限性中明确说明。</w:t>
      </w:r>
    </w:p>
    <w:p>
      <w:pPr>
        <w:pStyle w:val="Heading2"/>
      </w:pPr>
      <w:r>
        <w:t>6.2 基线模型</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3000"/>
        <w:gridCol w:w="4560"/>
      </w:tblGrid>
      <w:tr>
        <w:trPr>
          <w:tblHeader w:val="true"/>
        </w:trPr>
        <w:tc>
          <w:tcPr>
            <w:tcW w:type="dxa" w:w="18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类别</w:t>
            </w:r>
          </w:p>
        </w:tc>
        <w:tc>
          <w:tcPr>
            <w:tcW w:type="dxa" w:w="30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基线</w:t>
            </w:r>
          </w:p>
        </w:tc>
        <w:tc>
          <w:tcPr>
            <w:tcW w:type="dxa" w:w="4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目的</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通用视觉表征</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DINOv2 零样本</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检验通用特征下限</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野生动物表征</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MegaDescriptor-T-224 零样本</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当前强预训练基线</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当前项目</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r4 历史权重与特征</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生产历史基线；不作为旧困难负样本有效性的证据</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训练消融</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ArcFace、ArcFace+普通 Triplet</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证明序列约束必要性</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冠军派生</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EfficientNet-B7 + Sub-center ArcFace + 双任务 + KNN/logits</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公平比较冠军核心方法</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冠军上限</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B6+B7 最小集成</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可选性能上限</w:t>
            </w:r>
          </w:p>
        </w:tc>
      </w:tr>
      <w:tr>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簇级推理</w:t>
            </w:r>
          </w:p>
        </w:tc>
        <w:tc>
          <w:tcPr>
            <w:tcW w:type="dxa" w:w="30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代表图、均值、最大值、多数投票</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证明 SQCF 增益</w:t>
            </w:r>
          </w:p>
        </w:tc>
      </w:tr>
    </w:tbl>
    <w:p>
      <w:pPr>
        <w:spacing w:before="0" w:after="40"/>
      </w:pPr>
    </w:p>
    <w:p>
      <w:pPr>
        <w:pStyle w:val="Heading2"/>
      </w:pPr>
      <w:r>
        <w:t>6.3 核心实验</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编号</w:t>
            </w:r>
          </w:p>
        </w:tc>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实验</w:t>
            </w:r>
          </w:p>
        </w:tc>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数据</w:t>
            </w:r>
          </w:p>
        </w:tc>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自变量</w:t>
            </w:r>
          </w:p>
        </w:tc>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主要指标</w:t>
            </w:r>
          </w:p>
        </w:tc>
        <w:tc>
          <w:tcPr>
            <w:tcW w:type="dxa" w:w="15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回答问题</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E0</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数据与协议审计</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全部</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拆分规则</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同图/同串违规数</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结果是否可信</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E1</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序列约束训练消融</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本地严格集、可用公开集</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损失与采样器</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R@1、R@5、mAP</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H1</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E2</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簇级融合消融</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纯簇、真实簇</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融合方式</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簇级 R@1、mAP</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H2</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E3</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合成簇污染</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已确认多图身份</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0/10/20/30% 污染</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性能下降率</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H2</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E4</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开放集拒识</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Happywhale/Beluga身份隔离集</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风险分数组成</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OSCR、TAR@FAR</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H3</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E5</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检测裁剪影响</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本地和公开子集</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整图/中心/YOLO</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R@1、失败率</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系统模块影响</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E6</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冠军统一比较</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完整 Happywhale</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模型/输入条件</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MAP@5或统一mAP、R@K</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方法竞争力</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E7</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跨数据集泛化</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Happywhale、Beluga、本地</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训练源</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零样本/微调性能</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RQ4</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E8</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质量与视角分层</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质量、左右侧、簇大小</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分层 R@1、FAR</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适用边界</w:t>
            </w:r>
          </w:p>
        </w:tc>
      </w:tr>
      <w:tr>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E9</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人工审核价值</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本地真实批次</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单图/簇级候选</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审核对象数、时间、Top-K命中</w:t>
            </w:r>
          </w:p>
        </w:tc>
        <w:tc>
          <w:tcPr>
            <w:tcW w:type="dxa" w:w="156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H4</w:t>
            </w:r>
          </w:p>
        </w:tc>
      </w:tr>
    </w:tbl>
    <w:p>
      <w:pPr>
        <w:spacing w:before="0" w:after="40"/>
      </w:pPr>
    </w:p>
    <w:p>
      <w:pPr>
        <w:pStyle w:val="Heading2"/>
      </w:pPr>
      <w:r>
        <w:t>6.4 指标与统计</w:t>
      </w:r>
    </w:p>
    <w:p>
      <w:pPr>
        <w:keepLines w:val="0"/>
      </w:pPr>
      <w:r>
        <w:rPr>
          <w:b/>
        </w:rPr>
        <w:t>检索指标：</w:t>
      </w:r>
      <w:r>
        <w:t xml:space="preserve">R@1、R@5、R@10、mAP；如复现 Kaggle 官方任务，另报告 MAP@5 和 </w:t>
      </w:r>
      <w:r>
        <w:rPr>
          <w:rFonts w:ascii="Consolas" w:hAnsi="Consolas" w:eastAsia="Microsoft YaHei"/>
          <w:color w:val="1F4D78"/>
          <w:sz w:val="21"/>
        </w:rPr>
        <w:t>new_individual</w:t>
      </w:r>
      <w:r>
        <w:t>相关协议结果。</w:t>
      </w:r>
    </w:p>
    <w:p>
      <w:pPr>
        <w:keepLines w:val="0"/>
      </w:pPr>
      <w:r>
        <w:rPr>
          <w:b/>
        </w:rPr>
        <w:t>开放集指标：</w:t>
      </w:r>
      <w:r>
        <w:t>AUROC、AUPR、OSCR、TAR@FAR=1%、TAR@FAR=5%、已知/未知混淆和进入待审比例。</w:t>
      </w:r>
    </w:p>
    <w:p>
      <w:pPr>
        <w:keepLines w:val="0"/>
      </w:pPr>
      <w:r>
        <w:rPr>
          <w:b/>
        </w:rPr>
        <w:t>聚类指标：</w:t>
      </w:r>
      <w:r>
        <w:t>B-cubed Precision/Recall/F1、ARI、NMI、Purity、噪声率和覆盖率。若真实簇标签不足，清楚区分真实标签指标和人工候选描述统计。</w:t>
      </w:r>
    </w:p>
    <w:p>
      <w:pPr>
        <w:keepLines w:val="0"/>
      </w:pPr>
      <w:r>
        <w:rPr>
          <w:b/>
        </w:rPr>
        <w:t>鲁棒性指标：</w:t>
      </w:r>
      <w:r>
        <w:t>不同污染比例下的绝对性能和相对下降率；不同质量、视角和簇大小下的分层结果。</w:t>
      </w:r>
    </w:p>
    <w:p>
      <w:pPr>
        <w:keepLines w:val="0"/>
      </w:pPr>
      <w:r>
        <w:rPr>
          <w:b/>
        </w:rPr>
        <w:t>工程指标：</w:t>
      </w:r>
      <w:r>
        <w:t>单图/簇级处理速度、显存、参数量、每批审核对象数、平均 Top-K 数量和审核时间。</w:t>
      </w:r>
    </w:p>
    <w:p>
      <w:pPr>
        <w:keepLines w:val="0"/>
      </w:pPr>
      <w:r>
        <w:rPr>
          <w:b/>
        </w:rPr>
        <w:t>统计要求：</w:t>
      </w:r>
      <w:r>
        <w:t>主要训练实验至少 3 个随机种子；按个体或簇 Bootstrap 95% 置信区间；配对检验优先；不只报告最好一次运行。</w:t>
      </w:r>
    </w:p>
    <w:p>
      <w:pPr>
        <w:pStyle w:val="Heading2"/>
      </w:pPr>
      <w:r>
        <w:t>6.5 实验记录要求</w:t>
      </w:r>
    </w:p>
    <w:p>
      <w:pPr>
        <w:keepLines w:val="0"/>
      </w:pPr>
      <w:r>
        <w:t>每次正式实验必须记录：</w:t>
      </w:r>
    </w:p>
    <w:p>
      <w:pPr>
        <w:numPr>
          <w:ilvl w:val="0"/>
          <w:numId w:val="11"/>
        </w:numPr>
        <w:spacing w:after="80" w:line="290" w:lineRule="auto"/>
      </w:pPr>
      <w:r>
        <w:t>唯一 experiment_id；</w:t>
      </w:r>
    </w:p>
    <w:p>
      <w:pPr>
        <w:numPr>
          <w:ilvl w:val="0"/>
          <w:numId w:val="11"/>
        </w:numPr>
        <w:spacing w:after="80" w:line="290" w:lineRule="auto"/>
      </w:pPr>
      <w:r>
        <w:t>Git 提交或代码快照标识，但未经用户要求不得自动提交；</w:t>
      </w:r>
    </w:p>
    <w:p>
      <w:pPr>
        <w:numPr>
          <w:ilvl w:val="0"/>
          <w:numId w:val="11"/>
        </w:numPr>
        <w:spacing w:after="80" w:line="290" w:lineRule="auto"/>
      </w:pPr>
      <w:r>
        <w:t>数据版本、拆分文件和文件哈希；</w:t>
      </w:r>
    </w:p>
    <w:p>
      <w:pPr>
        <w:numPr>
          <w:ilvl w:val="0"/>
          <w:numId w:val="11"/>
        </w:numPr>
        <w:spacing w:after="80" w:line="290" w:lineRule="auto"/>
      </w:pPr>
      <w:r>
        <w:t>模型、初始化权重和权重哈希；</w:t>
      </w:r>
    </w:p>
    <w:p>
      <w:pPr>
        <w:numPr>
          <w:ilvl w:val="0"/>
          <w:numId w:val="11"/>
        </w:numPr>
        <w:spacing w:after="80" w:line="290" w:lineRule="auto"/>
      </w:pPr>
      <w:r>
        <w:t>全部参数、随机种子、硬件和软件版本；</w:t>
      </w:r>
    </w:p>
    <w:p>
      <w:pPr>
        <w:numPr>
          <w:ilvl w:val="0"/>
          <w:numId w:val="11"/>
        </w:numPr>
        <w:spacing w:after="80" w:line="290" w:lineRule="auto"/>
      </w:pPr>
      <w:r>
        <w:t>启动命令、开始/结束时间和退出状态；</w:t>
      </w:r>
    </w:p>
    <w:p>
      <w:pPr>
        <w:numPr>
          <w:ilvl w:val="0"/>
          <w:numId w:val="11"/>
        </w:numPr>
        <w:spacing w:after="80" w:line="290" w:lineRule="auto"/>
      </w:pPr>
      <w:r>
        <w:t>原始预测、指标 JSON、日志、曲线和失败样本；</w:t>
      </w:r>
    </w:p>
    <w:p>
      <w:pPr>
        <w:numPr>
          <w:ilvl w:val="0"/>
          <w:numId w:val="11"/>
        </w:numPr>
        <w:spacing w:after="80" w:line="290" w:lineRule="auto"/>
      </w:pPr>
      <w:r>
        <w:t>是否进入论文主表，以及排除原因。</w:t>
      </w:r>
    </w:p>
    <w:p>
      <w:pPr>
        <w:pStyle w:val="Heading1"/>
      </w:pPr>
      <w:r>
        <w:t>7. 阶段验收与停止条件</w:t>
      </w:r>
    </w:p>
    <w:p>
      <w:pPr>
        <w:keepLines w:val="0"/>
      </w:pPr>
      <w:r>
        <w:t>下列门槛是建议的项目管理阈值，应在正式主实验前根据小规模预实验调整一次并冻结，冻结后不能根据测试结果追改。</w:t>
      </w:r>
    </w:p>
    <w:p>
      <w:pPr>
        <w:pStyle w:val="Heading2"/>
      </w:pPr>
      <w:r>
        <w:t>G0：数据可信门</w:t>
      </w:r>
    </w:p>
    <w:p>
      <w:pPr>
        <w:numPr>
          <w:ilvl w:val="0"/>
          <w:numId w:val="10"/>
        </w:numPr>
        <w:spacing w:after="80" w:line="290" w:lineRule="auto"/>
      </w:pPr>
      <w:r>
        <w:t>同图泄漏为 0；</w:t>
      </w:r>
    </w:p>
    <w:p>
      <w:pPr>
        <w:numPr>
          <w:ilvl w:val="0"/>
          <w:numId w:val="10"/>
        </w:numPr>
        <w:spacing w:after="80" w:line="290" w:lineRule="auto"/>
      </w:pPr>
      <w:r>
        <w:t>已知同串跨集合违规为 0；</w:t>
      </w:r>
    </w:p>
    <w:p>
      <w:pPr>
        <w:numPr>
          <w:ilvl w:val="0"/>
          <w:numId w:val="10"/>
        </w:numPr>
        <w:spacing w:after="80" w:line="290" w:lineRule="auto"/>
      </w:pPr>
      <w:r>
        <w:t>测试身份和训练身份的开放集违规为 0；</w:t>
      </w:r>
    </w:p>
    <w:p>
      <w:pPr>
        <w:numPr>
          <w:ilvl w:val="0"/>
          <w:numId w:val="10"/>
        </w:numPr>
        <w:spacing w:after="80" w:line="290" w:lineRule="auto"/>
      </w:pPr>
      <w:r>
        <w:t>候选标签未混入监督主测试；</w:t>
      </w:r>
    </w:p>
    <w:p>
      <w:pPr>
        <w:numPr>
          <w:ilvl w:val="0"/>
          <w:numId w:val="10"/>
        </w:numPr>
        <w:spacing w:after="80" w:line="290" w:lineRule="auto"/>
      </w:pPr>
      <w:r>
        <w:t>BelugaID 小场景人工核对与程序索引一致。</w:t>
      </w:r>
    </w:p>
    <w:p>
      <w:pPr>
        <w:numPr>
          <w:ilvl w:val="0"/>
          <w:numId w:val="10"/>
        </w:numPr>
        <w:spacing w:after="80" w:line="290" w:lineRule="auto"/>
      </w:pPr>
      <w:r>
        <w:t>手工构造批次验证最难正样本、最近负样本和单序列回退方向正确。</w:t>
      </w:r>
    </w:p>
    <w:p>
      <w:pPr>
        <w:keepLines w:val="0"/>
      </w:pPr>
      <w:r>
        <w:t>任一项不满足，停止主实验并修复数据协议。</w:t>
      </w:r>
    </w:p>
    <w:p>
      <w:pPr>
        <w:pStyle w:val="Heading2"/>
      </w:pPr>
      <w:r>
        <w:t>G1：基线可信门</w:t>
      </w:r>
    </w:p>
    <w:p>
      <w:pPr>
        <w:numPr>
          <w:ilvl w:val="0"/>
          <w:numId w:val="10"/>
        </w:numPr>
        <w:spacing w:after="80" w:line="290" w:lineRule="auto"/>
      </w:pPr>
      <w:r>
        <w:t>基线能够从固定命令重复运行；</w:t>
      </w:r>
    </w:p>
    <w:p>
      <w:pPr>
        <w:numPr>
          <w:ilvl w:val="0"/>
          <w:numId w:val="10"/>
        </w:numPr>
        <w:spacing w:after="80" w:line="290" w:lineRule="auto"/>
      </w:pPr>
      <w:r>
        <w:t>三次运行的差异有记录；</w:t>
      </w:r>
    </w:p>
    <w:p>
      <w:pPr>
        <w:numPr>
          <w:ilvl w:val="0"/>
          <w:numId w:val="10"/>
        </w:numPr>
        <w:spacing w:after="80" w:line="290" w:lineRule="auto"/>
      </w:pPr>
      <w:r>
        <w:t>指标能回溯到逐样本预测；</w:t>
      </w:r>
    </w:p>
    <w:p>
      <w:pPr>
        <w:numPr>
          <w:ilvl w:val="0"/>
          <w:numId w:val="10"/>
        </w:numPr>
        <w:spacing w:after="80" w:line="290" w:lineRule="auto"/>
      </w:pPr>
      <w:r>
        <w:t>与公开论文差异能够由数据、划分、输入或模型版本解释。</w:t>
      </w:r>
    </w:p>
    <w:p>
      <w:pPr>
        <w:pStyle w:val="Heading2"/>
      </w:pPr>
      <w:r>
        <w:t>G2：序列训练继续门</w:t>
      </w:r>
    </w:p>
    <w:p>
      <w:pPr>
        <w:keepLines w:val="0"/>
      </w:pPr>
      <w:r>
        <w:t>缺省建议：严格跨序列主指标相对 ArcFace 基线平均提高至少 2 个百分点，或相对提高至少 5%，且 3 个随机种子方向一致；其他关键指标不能出现超过 1 个百分点的系统性退化。</w:t>
      </w:r>
    </w:p>
    <w:p>
      <w:pPr>
        <w:keepLines w:val="0"/>
      </w:pPr>
      <w:r>
        <w:t>若不满足，先检查采样器有效率、单序列个体比例、标签噪声和损失权重；仍无稳定提升时，不把序列约束训练写成主创新。</w:t>
      </w:r>
    </w:p>
    <w:p>
      <w:pPr>
        <w:pStyle w:val="Heading2"/>
      </w:pPr>
      <w:r>
        <w:t>G3：簇级融合继续门</w:t>
      </w:r>
    </w:p>
    <w:p>
      <w:pPr>
        <w:keepLines w:val="0"/>
      </w:pPr>
      <w:r>
        <w:t>缺省建议：在 20% 合成污染条件下，完整 SQCF 相对最佳简单融合方法至少提高 5 个百分点，且在无污染条件下退化不超过 1 个百分点；真实 HDBSCAN 簇上趋势应与合成实验一致。</w:t>
      </w:r>
    </w:p>
    <w:p>
      <w:pPr>
        <w:keepLines w:val="0"/>
      </w:pPr>
      <w:r>
        <w:t>若只在合成污染上有效、真实簇无效，应将其降为鲁棒性附加实验，而不是主创新。</w:t>
      </w:r>
    </w:p>
    <w:p>
      <w:pPr>
        <w:pStyle w:val="Heading2"/>
      </w:pPr>
      <w:r>
        <w:t>G4：开放集继续门</w:t>
      </w:r>
    </w:p>
    <w:p>
      <w:pPr>
        <w:keepLines w:val="0"/>
      </w:pPr>
      <w:r>
        <w:t>在 FAR=5% 条件下，完整风险分数应提高已知召回率；或者在已知召回率基本不变时，将待审比例降低至少 10%。如本地无可靠未知真值，公开数据结果为主，本地只做候选流程展示。</w:t>
      </w:r>
    </w:p>
    <w:p>
      <w:pPr>
        <w:pStyle w:val="Heading2"/>
      </w:pPr>
      <w:r>
        <w:t>G5：投稿可行门</w:t>
      </w:r>
    </w:p>
    <w:p>
      <w:pPr>
        <w:keepLines w:val="0"/>
      </w:pPr>
      <w:r>
        <w:t>满足以下条件后进入《自动化学报》完整写作：</w:t>
      </w:r>
    </w:p>
    <w:p>
      <w:pPr>
        <w:numPr>
          <w:ilvl w:val="0"/>
          <w:numId w:val="11"/>
        </w:numPr>
        <w:spacing w:after="80" w:line="290" w:lineRule="auto"/>
      </w:pPr>
      <w:r>
        <w:t>至少一个核心方法模块通过 G2 或 G3，最好两者同时通过；</w:t>
      </w:r>
    </w:p>
    <w:p>
      <w:pPr>
        <w:numPr>
          <w:ilvl w:val="0"/>
          <w:numId w:val="11"/>
        </w:numPr>
        <w:spacing w:after="80" w:line="290" w:lineRule="auto"/>
      </w:pPr>
      <w:r>
        <w:t>完整方法在至少两个数据来源上趋势一致；</w:t>
      </w:r>
    </w:p>
    <w:p>
      <w:pPr>
        <w:numPr>
          <w:ilvl w:val="0"/>
          <w:numId w:val="11"/>
        </w:numPr>
        <w:spacing w:after="80" w:line="290" w:lineRule="auto"/>
      </w:pPr>
      <w:r>
        <w:t>有冠军派生单模型或等强公开方法的统一协议对比；</w:t>
      </w:r>
    </w:p>
    <w:p>
      <w:pPr>
        <w:numPr>
          <w:ilvl w:val="0"/>
          <w:numId w:val="11"/>
        </w:numPr>
        <w:spacing w:after="80" w:line="290" w:lineRule="auto"/>
      </w:pPr>
      <w:r>
        <w:t>有完整消融、置信区间、质量分层和失败分析；</w:t>
      </w:r>
    </w:p>
    <w:p>
      <w:pPr>
        <w:numPr>
          <w:ilvl w:val="0"/>
          <w:numId w:val="11"/>
        </w:numPr>
        <w:spacing w:after="80" w:line="290" w:lineRule="auto"/>
      </w:pPr>
      <w:r>
        <w:t>所有论文数字可由脚本从原始预测重新生成。</w:t>
      </w:r>
    </w:p>
    <w:p>
      <w:pPr>
        <w:keepLines w:val="0"/>
      </w:pPr>
      <w:r>
        <w:t>如只能证明工程流程可运行但没有稳定方法增益，应调整为应用型论文或先补实验，不强行投稿方法型栏目。</w:t>
      </w:r>
    </w:p>
    <w:p>
      <w:r>
        <w:br w:type="page"/>
      </w:r>
    </w:p>
    <w:p>
      <w:pPr>
        <w:pStyle w:val="Heading1"/>
      </w:pPr>
      <w:r>
        <w:t>8. 时间计划</w:t>
      </w:r>
    </w:p>
    <w:p>
      <w:pPr>
        <w:keepLines w:val="0"/>
      </w:pPr>
      <w:r>
        <w:t>以下采用相对周次，以正式启动日 T0 为基准。实际 GPU 排队、数据下载和专家复核时间单独记录，不伪造工期。</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800"/>
        <w:gridCol w:w="1400"/>
        <w:gridCol w:w="2800"/>
        <w:gridCol w:w="2600"/>
        <w:gridCol w:w="1760"/>
      </w:tblGrid>
      <w:tr>
        <w:trPr>
          <w:tblHeader w:val="true"/>
        </w:trPr>
        <w:tc>
          <w:tcPr>
            <w:tcW w:type="dxa" w:w="8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周次</w:t>
            </w:r>
          </w:p>
        </w:tc>
        <w:tc>
          <w:tcPr>
            <w:tcW w:type="dxa" w:w="14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工作重点</w:t>
            </w:r>
          </w:p>
        </w:tc>
        <w:tc>
          <w:tcPr>
            <w:tcW w:type="dxa" w:w="28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关键任务</w:t>
            </w:r>
          </w:p>
        </w:tc>
        <w:tc>
          <w:tcPr>
            <w:tcW w:type="dxa" w:w="26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阶段产物</w:t>
            </w:r>
          </w:p>
        </w:tc>
        <w:tc>
          <w:tcPr>
            <w:tcW w:type="dxa" w:w="176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验收点</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第1周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协议冻结</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数据清点、标签分层、拆分定义、实验注册</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protocol_v1、冻结 manifest</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G0 初审</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第2周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基线修复</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Beluga索引、完整Happywhale、DINOv2/MegaDescriptor/r4</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基线表、回归测试</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G0、G1</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第3周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序列训练</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采样器、跨序列损失、单序列回退</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训练代码和首轮曲线</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实现审查</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第4周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训练消融</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4级训练对照、3随机种子、严格评估</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E1表和统计</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G2</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第5周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簇级融合</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质量特征、medoid、截尾、加权、投票</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E2消融和案例</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模块审查</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第6周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污染鲁棒性</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合成污染、困难污染、真实簇对照</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E3曲线和表格</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G3</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第7周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开放集校准</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身份隔离、阈值校准、OSCR、固定FAR</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E4曲线和操作点</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G4</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第8周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冠军对比</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B7单模型、统一输入与推荐输入、可选集成</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E6主表、成本表</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可比性审查</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第9周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本地应用</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质量/视角分层、盲化双审、审核工作量</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E8/E9、失败案例</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领域审查</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第10周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统计与图表</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Bootstrap、配对检验、固定绘图脚本</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最终表图、统计报告</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结果锁定</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第11周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论文初稿</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方法和实验优先，再写讨论、引言、摘要</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完整初稿</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内部审稿</w:t>
            </w:r>
          </w:p>
        </w:tc>
      </w:tr>
      <w:tr>
        <w:tc>
          <w:tcPr>
            <w:tcW w:type="dxa" w:w="8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第12周</w:t>
            </w:r>
          </w:p>
        </w:tc>
        <w:tc>
          <w:tcPr>
            <w:tcW w:type="dxa" w:w="140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投稿准备</w:t>
            </w:r>
          </w:p>
        </w:tc>
        <w:tc>
          <w:tcPr>
            <w:tcW w:type="dxa" w:w="2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修订、复现检查、双盲、格式和承诺书</w:t>
            </w:r>
          </w:p>
        </w:tc>
        <w:tc>
          <w:tcPr>
            <w:tcW w:type="dxa" w:w="26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投稿PDF和复现包</w:t>
            </w:r>
          </w:p>
        </w:tc>
        <w:tc>
          <w:tcPr>
            <w:tcW w:type="dxa" w:w="176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G5</w:t>
            </w:r>
          </w:p>
        </w:tc>
      </w:tr>
    </w:tbl>
    <w:p>
      <w:pPr>
        <w:spacing w:before="0" w:after="40"/>
      </w:pPr>
    </w:p>
    <w:p>
      <w:r>
        <w:br w:type="page"/>
      </w:r>
    </w:p>
    <w:p>
      <w:pPr>
        <w:pStyle w:val="Heading1"/>
      </w:pPr>
      <w:r>
        <w:t>9. 论文写作路线</w:t>
      </w:r>
    </w:p>
    <w:p>
      <w:pPr>
        <w:pStyle w:val="Heading2"/>
      </w:pPr>
      <w:r>
        <w:t>9.1 建议目录</w:t>
      </w:r>
    </w:p>
    <w:p>
      <w:pPr>
        <w:numPr>
          <w:ilvl w:val="0"/>
          <w:numId w:val="11"/>
        </w:numPr>
        <w:spacing w:after="80" w:line="290" w:lineRule="auto"/>
      </w:pPr>
      <w:r>
        <w:t>引言；</w:t>
      </w:r>
    </w:p>
    <w:p>
      <w:pPr>
        <w:numPr>
          <w:ilvl w:val="0"/>
          <w:numId w:val="11"/>
        </w:numPr>
        <w:spacing w:after="80" w:line="290" w:lineRule="auto"/>
      </w:pPr>
      <w:r>
        <w:t>相关工作；</w:t>
      </w:r>
    </w:p>
    <w:p>
      <w:pPr>
        <w:numPr>
          <w:ilvl w:val="0"/>
          <w:numId w:val="11"/>
        </w:numPr>
        <w:spacing w:after="80" w:line="290" w:lineRule="auto"/>
      </w:pPr>
      <w:r>
        <w:t>问题定义与数据协议；</w:t>
      </w:r>
    </w:p>
    <w:p>
      <w:pPr>
        <w:numPr>
          <w:ilvl w:val="0"/>
          <w:numId w:val="11"/>
        </w:numPr>
        <w:spacing w:after="80" w:line="290" w:lineRule="auto"/>
      </w:pPr>
      <w:r>
        <w:t>序列约束质量感知簇级融合方法；</w:t>
      </w:r>
    </w:p>
    <w:p>
      <w:pPr>
        <w:numPr>
          <w:ilvl w:val="0"/>
          <w:numId w:val="11"/>
        </w:numPr>
        <w:spacing w:after="80" w:line="290" w:lineRule="auto"/>
      </w:pPr>
      <w:r>
        <w:t>实验设计与结果；</w:t>
      </w:r>
    </w:p>
    <w:p>
      <w:pPr>
        <w:numPr>
          <w:ilvl w:val="0"/>
          <w:numId w:val="11"/>
        </w:numPr>
        <w:spacing w:after="80" w:line="290" w:lineRule="auto"/>
      </w:pPr>
      <w:r>
        <w:t>讨论；</w:t>
      </w:r>
    </w:p>
    <w:p>
      <w:pPr>
        <w:numPr>
          <w:ilvl w:val="0"/>
          <w:numId w:val="11"/>
        </w:numPr>
        <w:spacing w:after="80" w:line="290" w:lineRule="auto"/>
      </w:pPr>
      <w:r>
        <w:t>结论。</w:t>
      </w:r>
    </w:p>
    <w:p>
      <w:pPr>
        <w:pStyle w:val="Heading2"/>
      </w:pPr>
      <w:r>
        <w:t>9.2 各节证据要求</w:t>
      </w:r>
    </w:p>
    <w:p>
      <w:pPr>
        <w:keepLines w:val="0"/>
      </w:pPr>
      <w:r>
        <w:rPr>
          <w:b/>
        </w:rPr>
        <w:t>引言：</w:t>
      </w:r>
      <w:r>
        <w:t>只提出本文实际解决的问题；最后列 3 项贡献，每一项必须能映射到实验表或图。</w:t>
      </w:r>
    </w:p>
    <w:p>
      <w:pPr>
        <w:keepLines w:val="0"/>
      </w:pPr>
      <w:r>
        <w:rPr>
          <w:b/>
        </w:rPr>
        <w:t>相关工作：</w:t>
      </w:r>
      <w:r>
        <w:t>覆盖中华白海豚闭集分类、传统背鳍轮廓、Happywhale/Patton多物种度量学习、WildlifeDatasets标准化和人工辅助检索。结尾用文字或表格说明本文与现有工作的差异。</w:t>
      </w:r>
    </w:p>
    <w:p>
      <w:pPr>
        <w:keepLines w:val="0"/>
      </w:pPr>
      <w:r>
        <w:rPr>
          <w:b/>
        </w:rPr>
        <w:t>问题定义与数据：</w:t>
      </w:r>
      <w:r>
        <w:t>明确 Candidate 不等于 Confirmed，定义 session、sequence、identity、query、gallery、known、unknown 和 cluster；解释标签可信度和数据拆分。</w:t>
      </w:r>
    </w:p>
    <w:p>
      <w:pPr>
        <w:keepLines w:val="0"/>
      </w:pPr>
      <w:r>
        <w:rPr>
          <w:b/>
        </w:rPr>
        <w:t>方法：</w:t>
      </w:r>
      <w:r>
        <w:t>围绕序列约束训练、质量可靠性、抗污染融合和风险判定展开。YOLO和基础骨干只作为实现基础，不占用过多篇幅。</w:t>
      </w:r>
    </w:p>
    <w:p>
      <w:pPr>
        <w:keepLines w:val="0"/>
      </w:pPr>
      <w:r>
        <w:rPr>
          <w:b/>
        </w:rPr>
        <w:t>实验：</w:t>
      </w:r>
      <w:r>
        <w:t>先写数据、拆分、实现、指标，再写公开主结果、训练消融、融合消融、污染鲁棒性、开放集、质量分层和应用案例。</w:t>
      </w:r>
    </w:p>
    <w:p>
      <w:pPr>
        <w:keepLines w:val="0"/>
      </w:pPr>
      <w:r>
        <w:rPr>
          <w:b/>
        </w:rPr>
        <w:t>讨论：</w:t>
      </w:r>
      <w:r>
        <w:t>主动说明跨年真值不足、左右侧差异、标签噪声、公共数据无连拍元数据、专家审核依赖和推广限制。</w:t>
      </w:r>
    </w:p>
    <w:p>
      <w:pPr>
        <w:keepLines w:val="0"/>
      </w:pPr>
      <w:r>
        <w:rPr>
          <w:b/>
        </w:rPr>
        <w:t>结论：</w:t>
      </w:r>
      <w:r>
        <w:t>不引入新数字，不把候选发现描述为自动确认。</w:t>
      </w:r>
    </w:p>
    <w:p>
      <w:pPr>
        <w:pStyle w:val="Heading2"/>
      </w:pPr>
      <w:r>
        <w:t>9.3 计划图表</w:t>
      </w:r>
    </w:p>
    <w:p>
      <w:pPr>
        <w:keepLines w:val="0"/>
      </w:pPr>
      <w:r>
        <w:rPr>
          <w:b/>
        </w:rPr>
        <w:t>图：</w:t>
      </w:r>
    </w:p>
    <w:p>
      <w:pPr>
        <w:numPr>
          <w:ilvl w:val="0"/>
          <w:numId w:val="11"/>
        </w:numPr>
        <w:spacing w:after="80" w:line="290" w:lineRule="auto"/>
      </w:pPr>
      <w:r>
        <w:t>整体技术路线图；</w:t>
      </w:r>
    </w:p>
    <w:p>
      <w:pPr>
        <w:numPr>
          <w:ilvl w:val="0"/>
          <w:numId w:val="11"/>
        </w:numPr>
        <w:spacing w:after="80" w:line="290" w:lineRule="auto"/>
      </w:pPr>
      <w:r>
        <w:t>序列约束采样和损失示意图；</w:t>
      </w:r>
    </w:p>
    <w:p>
      <w:pPr>
        <w:numPr>
          <w:ilvl w:val="0"/>
          <w:numId w:val="11"/>
        </w:numPr>
        <w:spacing w:after="80" w:line="290" w:lineRule="auto"/>
      </w:pPr>
      <w:r>
        <w:t>质量感知抗污染融合示意图；</w:t>
      </w:r>
    </w:p>
    <w:p>
      <w:pPr>
        <w:numPr>
          <w:ilvl w:val="0"/>
          <w:numId w:val="11"/>
        </w:numPr>
        <w:spacing w:after="80" w:line="290" w:lineRule="auto"/>
      </w:pPr>
      <w:r>
        <w:t>连拍安全数据划分示意图；</w:t>
      </w:r>
    </w:p>
    <w:p>
      <w:pPr>
        <w:numPr>
          <w:ilvl w:val="0"/>
          <w:numId w:val="11"/>
        </w:numPr>
        <w:spacing w:after="80" w:line="290" w:lineRule="auto"/>
      </w:pPr>
      <w:r>
        <w:t>污染比例—性能曲线；</w:t>
      </w:r>
    </w:p>
    <w:p>
      <w:pPr>
        <w:numPr>
          <w:ilvl w:val="0"/>
          <w:numId w:val="11"/>
        </w:numPr>
        <w:spacing w:after="80" w:line="290" w:lineRule="auto"/>
      </w:pPr>
      <w:r>
        <w:t>开放集 ROC/PR/OSCR 曲线；</w:t>
      </w:r>
    </w:p>
    <w:p>
      <w:pPr>
        <w:numPr>
          <w:ilvl w:val="0"/>
          <w:numId w:val="11"/>
        </w:numPr>
        <w:spacing w:after="80" w:line="290" w:lineRule="auto"/>
      </w:pPr>
      <w:r>
        <w:t>不同质量和视角分层结果；</w:t>
      </w:r>
    </w:p>
    <w:p>
      <w:pPr>
        <w:numPr>
          <w:ilvl w:val="0"/>
          <w:numId w:val="11"/>
        </w:numPr>
        <w:spacing w:after="80" w:line="290" w:lineRule="auto"/>
      </w:pPr>
      <w:r>
        <w:t>正确候选、错误候选和大簇污染案例。</w:t>
      </w:r>
    </w:p>
    <w:p>
      <w:pPr>
        <w:keepLines w:val="0"/>
      </w:pPr>
      <w:r>
        <w:rPr>
          <w:b/>
        </w:rPr>
        <w:t>表：</w:t>
      </w:r>
    </w:p>
    <w:p>
      <w:pPr>
        <w:numPr>
          <w:ilvl w:val="0"/>
          <w:numId w:val="11"/>
        </w:numPr>
        <w:spacing w:after="80" w:line="290" w:lineRule="auto"/>
      </w:pPr>
      <w:r>
        <w:t>数据集与划分统计；</w:t>
      </w:r>
    </w:p>
    <w:p>
      <w:pPr>
        <w:numPr>
          <w:ilvl w:val="0"/>
          <w:numId w:val="11"/>
        </w:numPr>
        <w:spacing w:after="80" w:line="290" w:lineRule="auto"/>
      </w:pPr>
      <w:r>
        <w:t>与同类论文的方法差异；</w:t>
      </w:r>
    </w:p>
    <w:p>
      <w:pPr>
        <w:numPr>
          <w:ilvl w:val="0"/>
          <w:numId w:val="11"/>
        </w:numPr>
        <w:spacing w:after="80" w:line="290" w:lineRule="auto"/>
      </w:pPr>
      <w:r>
        <w:t>Happywhale统一协议主结果；</w:t>
      </w:r>
    </w:p>
    <w:p>
      <w:pPr>
        <w:numPr>
          <w:ilvl w:val="0"/>
          <w:numId w:val="11"/>
        </w:numPr>
        <w:spacing w:after="80" w:line="290" w:lineRule="auto"/>
      </w:pPr>
      <w:r>
        <w:t>本地严格跨序列主结果；</w:t>
      </w:r>
    </w:p>
    <w:p>
      <w:pPr>
        <w:numPr>
          <w:ilvl w:val="0"/>
          <w:numId w:val="11"/>
        </w:numPr>
        <w:spacing w:after="80" w:line="290" w:lineRule="auto"/>
      </w:pPr>
      <w:r>
        <w:t>训练损失消融；</w:t>
      </w:r>
    </w:p>
    <w:p>
      <w:pPr>
        <w:numPr>
          <w:ilvl w:val="0"/>
          <w:numId w:val="11"/>
        </w:numPr>
        <w:spacing w:after="80" w:line="290" w:lineRule="auto"/>
      </w:pPr>
      <w:r>
        <w:t>簇级融合消融；</w:t>
      </w:r>
    </w:p>
    <w:p>
      <w:pPr>
        <w:numPr>
          <w:ilvl w:val="0"/>
          <w:numId w:val="11"/>
        </w:numPr>
        <w:spacing w:after="80" w:line="290" w:lineRule="auto"/>
      </w:pPr>
      <w:r>
        <w:t>开放集固定 FAR 操作点；</w:t>
      </w:r>
    </w:p>
    <w:p>
      <w:pPr>
        <w:numPr>
          <w:ilvl w:val="0"/>
          <w:numId w:val="11"/>
        </w:numPr>
        <w:spacing w:after="80" w:line="290" w:lineRule="auto"/>
      </w:pPr>
      <w:r>
        <w:t>质量/视角分层；</w:t>
      </w:r>
    </w:p>
    <w:p>
      <w:pPr>
        <w:numPr>
          <w:ilvl w:val="0"/>
          <w:numId w:val="11"/>
        </w:numPr>
        <w:spacing w:after="80" w:line="290" w:lineRule="auto"/>
      </w:pPr>
      <w:r>
        <w:t>计算成本与人工审核工作量；</w:t>
      </w:r>
    </w:p>
    <w:p>
      <w:pPr>
        <w:numPr>
          <w:ilvl w:val="0"/>
          <w:numId w:val="11"/>
        </w:numPr>
        <w:spacing w:after="80" w:line="290" w:lineRule="auto"/>
      </w:pPr>
      <w:r>
        <w:t>失败类型和局限性。</w:t>
      </w:r>
    </w:p>
    <w:p>
      <w:r>
        <w:br w:type="page"/>
      </w:r>
    </w:p>
    <w:p>
      <w:pPr>
        <w:pStyle w:val="Heading1"/>
      </w:pPr>
      <w:r>
        <w:t>10. 风险登记与应对</w:t>
      </w:r>
    </w:p>
    <w:tbl>
      <w:tblPr>
        <w:tblW w:type="dxa" w:w="9360"/>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2100"/>
        <w:gridCol w:w="1800"/>
        <w:gridCol w:w="4010"/>
      </w:tblGrid>
      <w:tr>
        <w:trPr>
          <w:tblHeader w:val="true"/>
        </w:trPr>
        <w:tc>
          <w:tcPr>
            <w:tcW w:type="dxa" w:w="145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风险</w:t>
            </w:r>
          </w:p>
        </w:tc>
        <w:tc>
          <w:tcPr>
            <w:tcW w:type="dxa" w:w="21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触发信号</w:t>
            </w:r>
          </w:p>
        </w:tc>
        <w:tc>
          <w:tcPr>
            <w:tcW w:type="dxa" w:w="180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影响</w:t>
            </w:r>
          </w:p>
        </w:tc>
        <w:tc>
          <w:tcPr>
            <w:tcW w:type="dxa" w:w="4010"/>
            <w:tcMar>
              <w:top w:w="80" w:type="dxa"/>
              <w:start w:w="120" w:type="dxa"/>
              <w:bottom w:w="80" w:type="dxa"/>
              <w:end w:w="120" w:type="dxa"/>
            </w:tcMar>
            <w:vAlign w:val="center"/>
            <w:shd w:fill="E8EEF5"/>
          </w:tcPr>
          <w:p>
            <w:pPr>
              <w:spacing w:before="0" w:after="0" w:line="269" w:lineRule="auto"/>
              <w:jc w:val="center"/>
            </w:pPr>
            <w:r>
              <w:rPr>
                <w:rFonts w:ascii="Calibri" w:hAnsi="Calibri" w:eastAsia="Microsoft YaHei"/>
                <w:b/>
                <w:color w:val="1E3A5F"/>
                <w:sz w:val="18"/>
              </w:rPr>
              <w:t>应对</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序列训练无稳定提升</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三种子方向不一致</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训练创新不成立</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检查采样器有效率；降为协议贡献</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融合只对理想簇有效</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真实HDBSCAN簇无增益</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方法脱离应用</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加入簇污染建模和子簇质量；必要时缩小主张</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Happywhale冠军无法完整复现</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算力、数据或脚本缺失</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对比说服力下降</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保证单B7核心方法；完整集成只作上限</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公共协议与竞赛不同</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无官方隐藏测试标签</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不能比较排行榜</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使用统一自建协议并清楚区分公开成绩</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本地跨年同体为0</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双审无确认正样本</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无法证明跨年能力</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不报告跨年准确率；使用公开开放集验证</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标签噪声较高</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同组内部特征极不一致</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训练/测试失真</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候选标签分层；争议样本敏感性分析</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左右侧差异明显</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跨侧性能显著下降</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泛化受限</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分层报告；研究侧别感知图库或增强</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小样本统计不稳</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CI过宽</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结论不确定</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以个体为单位Bootstrap；补数据而非只调模型</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质量权重过拟合</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仅单一验证集有效</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方法泛化差</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优先可解释固定特征；独立校准；跨数据验证</w:t>
            </w:r>
          </w:p>
        </w:tc>
      </w:tr>
      <w:tr>
        <w:tc>
          <w:tcPr>
            <w:tcW w:type="dxa" w:w="1450"/>
            <w:tcMar>
              <w:top w:w="80" w:type="dxa"/>
              <w:start w:w="120" w:type="dxa"/>
              <w:bottom w:w="80" w:type="dxa"/>
              <w:end w:w="120" w:type="dxa"/>
            </w:tcMar>
            <w:vAlign w:val="center"/>
          </w:tcPr>
          <w:p>
            <w:pPr>
              <w:spacing w:before="0" w:after="0" w:line="269" w:lineRule="auto"/>
              <w:jc w:val="center"/>
            </w:pPr>
            <w:r>
              <w:rPr>
                <w:rFonts w:ascii="Calibri" w:hAnsi="Calibri" w:eastAsia="Microsoft YaHei"/>
                <w:color w:val="202124"/>
                <w:sz w:val="18"/>
              </w:rPr>
              <w:t>数据许可限制</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数据不能公开</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复现受限</w:t>
            </w:r>
          </w:p>
        </w:tc>
        <w:tc>
          <w:tcPr>
            <w:tcW w:type="dxa" w:w="4010"/>
            <w:tcMar>
              <w:top w:w="80" w:type="dxa"/>
              <w:start w:w="120" w:type="dxa"/>
              <w:bottom w:w="80" w:type="dxa"/>
              <w:end w:w="120" w:type="dxa"/>
            </w:tcMar>
            <w:vAlign w:val="center"/>
          </w:tcPr>
          <w:p>
            <w:pPr>
              <w:spacing w:before="0" w:after="0" w:line="269" w:lineRule="auto"/>
              <w:jc w:val="left"/>
            </w:pPr>
            <w:r>
              <w:rPr>
                <w:rFonts w:ascii="Calibri" w:hAnsi="Calibri" w:eastAsia="Microsoft YaHei"/>
                <w:color w:val="202124"/>
                <w:sz w:val="18"/>
              </w:rPr>
              <w:t>公开代码、拆分ID和生成脚本，不分发原始图片</w:t>
            </w:r>
          </w:p>
        </w:tc>
      </w:tr>
    </w:tbl>
    <w:p>
      <w:pPr>
        <w:spacing w:before="0" w:after="40"/>
      </w:pPr>
    </w:p>
    <w:p>
      <w:pPr>
        <w:pStyle w:val="Heading1"/>
      </w:pPr>
      <w:r>
        <w:t>11. 可复现性、伦理与数据治理</w:t>
      </w:r>
    </w:p>
    <w:p>
      <w:pPr>
        <w:numPr>
          <w:ilvl w:val="0"/>
          <w:numId w:val="11"/>
        </w:numPr>
        <w:spacing w:after="80" w:line="290" w:lineRule="auto"/>
      </w:pPr>
      <w:r>
        <w:t>原始图像、个人信息、调查地点敏感信息和模型权重按数据协议管理；</w:t>
      </w:r>
    </w:p>
    <w:p>
      <w:pPr>
        <w:numPr>
          <w:ilvl w:val="0"/>
          <w:numId w:val="11"/>
        </w:numPr>
        <w:spacing w:after="80" w:line="290" w:lineRule="auto"/>
      </w:pPr>
      <w:r>
        <w:t>Happywhale和BelugaID原始数据不提交到代码仓库；</w:t>
      </w:r>
    </w:p>
    <w:p>
      <w:pPr>
        <w:numPr>
          <w:ilvl w:val="0"/>
          <w:numId w:val="11"/>
        </w:numPr>
        <w:spacing w:after="80" w:line="290" w:lineRule="auto"/>
      </w:pPr>
      <w:r>
        <w:t>公开代码不包含真实密钥、Token、Cookie或私人数据盘路径；</w:t>
      </w:r>
    </w:p>
    <w:p>
      <w:pPr>
        <w:numPr>
          <w:ilvl w:val="0"/>
          <w:numId w:val="11"/>
        </w:numPr>
        <w:spacing w:after="80" w:line="290" w:lineRule="auto"/>
      </w:pPr>
      <w:r>
        <w:t>论文公开拆分规则、样本ID、随机种子和指标脚本，在许可范围内公开特征或匿名预测；</w:t>
      </w:r>
    </w:p>
    <w:p>
      <w:pPr>
        <w:numPr>
          <w:ilvl w:val="0"/>
          <w:numId w:val="11"/>
        </w:numPr>
        <w:spacing w:after="80" w:line="290" w:lineRule="auto"/>
      </w:pPr>
      <w:r>
        <w:t>模型候选不得直接变更正式个体档案；</w:t>
      </w:r>
    </w:p>
    <w:p>
      <w:pPr>
        <w:numPr>
          <w:ilvl w:val="0"/>
          <w:numId w:val="11"/>
        </w:numPr>
        <w:spacing w:after="80" w:line="290" w:lineRule="auto"/>
      </w:pPr>
      <w:r>
        <w:t>跨时间确认采用双人复核并记录分歧；</w:t>
      </w:r>
    </w:p>
    <w:p>
      <w:pPr>
        <w:numPr>
          <w:ilvl w:val="0"/>
          <w:numId w:val="11"/>
        </w:numPr>
        <w:spacing w:after="80" w:line="290" w:lineRule="auto"/>
      </w:pPr>
      <w:r>
        <w:t>失败案例展示时避免暴露敏感调查位置和未获许可的原图；</w:t>
      </w:r>
    </w:p>
    <w:p>
      <w:pPr>
        <w:numPr>
          <w:ilvl w:val="0"/>
          <w:numId w:val="11"/>
        </w:numPr>
        <w:spacing w:after="80" w:line="290" w:lineRule="auto"/>
      </w:pPr>
      <w:r>
        <w:t>所有外部代码明确来源和许可证，无明确许可证的冠军仓库只借鉴思想并独立实现。</w:t>
      </w:r>
    </w:p>
    <w:p>
      <w:pPr>
        <w:pStyle w:val="Heading1"/>
      </w:pPr>
      <w:r>
        <w:t>12. 启动后七天行动清单</w:t>
      </w:r>
    </w:p>
    <w:p>
      <w:pPr>
        <w:pStyle w:val="Heading2"/>
      </w:pPr>
      <w:r>
        <w:t>第1—2天：协议和材料清点</w:t>
      </w:r>
    </w:p>
    <w:p>
      <w:pPr>
        <w:numPr>
          <w:ilvl w:val="0"/>
          <w:numId w:val="11"/>
        </w:numPr>
        <w:spacing w:after="80" w:line="290" w:lineRule="auto"/>
      </w:pPr>
      <w:r>
        <w:t>建立论文实验总目录和实验注册表；</w:t>
      </w:r>
    </w:p>
    <w:p>
      <w:pPr>
        <w:numPr>
          <w:ilvl w:val="0"/>
          <w:numId w:val="11"/>
        </w:numPr>
        <w:spacing w:after="80" w:line="290" w:lineRule="auto"/>
      </w:pPr>
      <w:r>
        <w:t>导出本地完整 manifest，补齐 identity/session/sequence/segment/status 字段；</w:t>
      </w:r>
    </w:p>
    <w:p>
      <w:pPr>
        <w:numPr>
          <w:ilvl w:val="0"/>
          <w:numId w:val="11"/>
        </w:numPr>
        <w:spacing w:after="80" w:line="290" w:lineRule="auto"/>
      </w:pPr>
      <w:r>
        <w:t>生成同图、同串、同身份跨集合违规报告；</w:t>
      </w:r>
    </w:p>
    <w:p>
      <w:pPr>
        <w:numPr>
          <w:ilvl w:val="0"/>
          <w:numId w:val="11"/>
        </w:numPr>
        <w:spacing w:after="80" w:line="290" w:lineRule="auto"/>
      </w:pPr>
      <w:r>
        <w:t>标记 candidate/unresolved 样本，禁止进入监督主实验；</w:t>
      </w:r>
    </w:p>
    <w:p>
      <w:pPr>
        <w:numPr>
          <w:ilvl w:val="0"/>
          <w:numId w:val="11"/>
        </w:numPr>
        <w:spacing w:after="80" w:line="290" w:lineRule="auto"/>
      </w:pPr>
      <w:r>
        <w:t>确认 Happywhale 全量数据获取方式和剩余空间。</w:t>
      </w:r>
    </w:p>
    <w:p>
      <w:pPr>
        <w:pStyle w:val="Heading2"/>
      </w:pPr>
      <w:r>
        <w:t>第3—4天：修复公开评估</w:t>
      </w:r>
    </w:p>
    <w:p>
      <w:pPr>
        <w:numPr>
          <w:ilvl w:val="0"/>
          <w:numId w:val="11"/>
        </w:numPr>
        <w:spacing w:after="80" w:line="290" w:lineRule="auto"/>
      </w:pPr>
      <w:r>
        <w:t>修复 BelugaID gallery 局部索引映射；</w:t>
      </w:r>
    </w:p>
    <w:p>
      <w:pPr>
        <w:numPr>
          <w:ilvl w:val="0"/>
          <w:numId w:val="11"/>
        </w:numPr>
        <w:spacing w:after="80" w:line="290" w:lineRule="auto"/>
      </w:pPr>
      <w:r>
        <w:t>构造小型手工可核对场景并增加回归测试；</w:t>
      </w:r>
    </w:p>
    <w:p>
      <w:pPr>
        <w:numPr>
          <w:ilvl w:val="0"/>
          <w:numId w:val="11"/>
        </w:numPr>
        <w:spacing w:after="80" w:line="290" w:lineRule="auto"/>
      </w:pPr>
      <w:r>
        <w:t>为跨序列样本挖掘增加最难正样本、最近负样本和回退策略测试；</w:t>
      </w:r>
    </w:p>
    <w:p>
      <w:pPr>
        <w:numPr>
          <w:ilvl w:val="0"/>
          <w:numId w:val="11"/>
        </w:numPr>
        <w:spacing w:after="80" w:line="290" w:lineRule="auto"/>
      </w:pPr>
      <w:r>
        <w:t>固定统一检索指标和逐样本预测格式；</w:t>
      </w:r>
    </w:p>
    <w:p>
      <w:pPr>
        <w:numPr>
          <w:ilvl w:val="0"/>
          <w:numId w:val="11"/>
        </w:numPr>
        <w:spacing w:after="80" w:line="290" w:lineRule="auto"/>
      </w:pPr>
      <w:r>
        <w:t>重跑现有 Happywhale 分片和 BelugaID 基线，仅作管线检查。</w:t>
      </w:r>
    </w:p>
    <w:p>
      <w:pPr>
        <w:pStyle w:val="Heading2"/>
      </w:pPr>
      <w:r>
        <w:t>第5—7天：冻结基线</w:t>
      </w:r>
    </w:p>
    <w:p>
      <w:pPr>
        <w:numPr>
          <w:ilvl w:val="0"/>
          <w:numId w:val="11"/>
        </w:numPr>
        <w:spacing w:after="80" w:line="290" w:lineRule="auto"/>
      </w:pPr>
      <w:r>
        <w:t>冻结本地严格跨序列划分；</w:t>
      </w:r>
    </w:p>
    <w:p>
      <w:pPr>
        <w:numPr>
          <w:ilvl w:val="0"/>
          <w:numId w:val="11"/>
        </w:numPr>
        <w:spacing w:after="80" w:line="290" w:lineRule="auto"/>
      </w:pPr>
      <w:r>
        <w:t>重跑 DINOv2、MegaDescriptor 和 r4；</w:t>
      </w:r>
    </w:p>
    <w:p>
      <w:pPr>
        <w:numPr>
          <w:ilvl w:val="0"/>
          <w:numId w:val="11"/>
        </w:numPr>
        <w:spacing w:after="80" w:line="290" w:lineRule="auto"/>
      </w:pPr>
      <w:r>
        <w:t>生成 R@1/R@5/mAP、置信区间和失败清单；</w:t>
      </w:r>
    </w:p>
    <w:p>
      <w:pPr>
        <w:numPr>
          <w:ilvl w:val="0"/>
          <w:numId w:val="11"/>
        </w:numPr>
        <w:spacing w:after="80" w:line="290" w:lineRule="auto"/>
      </w:pPr>
      <w:r>
        <w:t>检查所有数字能否回溯到逐样本预测；</w:t>
      </w:r>
    </w:p>
    <w:p>
      <w:pPr>
        <w:numPr>
          <w:ilvl w:val="0"/>
          <w:numId w:val="11"/>
        </w:numPr>
        <w:spacing w:after="80" w:line="290" w:lineRule="auto"/>
      </w:pPr>
      <w:r>
        <w:t>完成 G0/G1 只读审查，再开始新方法实现。</w:t>
      </w:r>
    </w:p>
    <w:p>
      <w:pPr>
        <w:pStyle w:val="Heading1"/>
      </w:pPr>
      <w:r>
        <w:t>13. 项目产物目录建议</w:t>
      </w:r>
    </w:p>
    <w:tbl>
      <w:tblPr>
        <w:tblW w:type="dxa" w:w="9360"/>
        <w:tblLayout w:type="fixed"/>
        <w:tblLook w:firstColumn="1" w:firstRow="1" w:lastColumn="0" w:lastRow="0" w:noHBand="0" w:noVBand="1" w:val="04A0"/>
        <w:tblInd w:w="120" w:type="dxa"/>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9360"/>
      </w:tblGrid>
      <w:tr>
        <w:tc>
          <w:tcPr>
            <w:tcW w:type="dxa" w:w="9360"/>
            <w:tcMar>
              <w:top w:w="80" w:type="dxa"/>
              <w:start w:w="120" w:type="dxa"/>
              <w:bottom w:w="80" w:type="dxa"/>
              <w:end w:w="120" w:type="dxa"/>
            </w:tcMar>
            <w:vAlign w:val="center"/>
            <w:shd w:fill="F7F8FA"/>
          </w:tcPr>
          <w:p>
            <w:pPr>
              <w:pStyle w:val="CodeBlock"/>
            </w:pPr>
            <w:r>
              <w:rPr>
                <w:rFonts w:ascii="Consolas" w:hAnsi="Consolas" w:eastAsia="Microsoft YaHei"/>
                <w:color w:val="1F4D78"/>
                <w:sz w:val="17"/>
              </w:rPr>
              <w:t>docs/paper/</w:t>
            </w:r>
            <w:r>
              <w:br/>
            </w:r>
            <w:r>
              <w:rPr>
                <w:rFonts w:ascii="Consolas" w:hAnsi="Consolas" w:eastAsia="Microsoft YaHei"/>
                <w:color w:val="1F4D78"/>
                <w:sz w:val="17"/>
              </w:rPr>
              <w:t xml:space="preserve">  protocol_v1.md</w:t>
            </w:r>
            <w:r>
              <w:br/>
            </w:r>
            <w:r>
              <w:rPr>
                <w:rFonts w:ascii="Consolas" w:hAnsi="Consolas" w:eastAsia="Microsoft YaHei"/>
                <w:color w:val="1F4D78"/>
                <w:sz w:val="17"/>
              </w:rPr>
              <w:t xml:space="preserve">  label_policy.md</w:t>
            </w:r>
            <w:r>
              <w:br/>
            </w:r>
            <w:r>
              <w:rPr>
                <w:rFonts w:ascii="Consolas" w:hAnsi="Consolas" w:eastAsia="Microsoft YaHei"/>
                <w:color w:val="1F4D78"/>
                <w:sz w:val="17"/>
              </w:rPr>
              <w:t xml:space="preserve">  review_sop.md</w:t>
            </w:r>
            <w:r>
              <w:br/>
            </w:r>
            <w:r>
              <w:rPr>
                <w:rFonts w:ascii="Consolas" w:hAnsi="Consolas" w:eastAsia="Microsoft YaHei"/>
                <w:color w:val="1F4D78"/>
                <w:sz w:val="17"/>
              </w:rPr>
              <w:t xml:space="preserve">  experiment_registry.csv</w:t>
            </w:r>
            <w:r>
              <w:br/>
            </w:r>
            <w:r>
              <w:rPr>
                <w:rFonts w:ascii="Consolas" w:hAnsi="Consolas" w:eastAsia="Microsoft YaHei"/>
                <w:color w:val="1F4D78"/>
                <w:sz w:val="17"/>
              </w:rPr>
              <w:t xml:space="preserve">  manuscript_outline.md</w:t>
            </w:r>
            <w:r>
              <w:br/>
            </w:r>
            <w:r>
              <w:rPr>
                <w:rFonts w:ascii="Consolas" w:hAnsi="Consolas" w:eastAsia="Microsoft YaHei"/>
                <w:color w:val="1F4D78"/>
                <w:sz w:val="17"/>
              </w:rPr>
            </w:r>
            <w:r>
              <w:br/>
            </w:r>
            <w:r>
              <w:rPr>
                <w:rFonts w:ascii="Consolas" w:hAnsi="Consolas" w:eastAsia="Microsoft YaHei"/>
                <w:color w:val="1F4D78"/>
                <w:sz w:val="17"/>
              </w:rPr>
              <w:t>experiments/paper/</w:t>
            </w:r>
            <w:r>
              <w:br/>
            </w:r>
            <w:r>
              <w:rPr>
                <w:rFonts w:ascii="Consolas" w:hAnsi="Consolas" w:eastAsia="Microsoft YaHei"/>
                <w:color w:val="1F4D78"/>
                <w:sz w:val="17"/>
              </w:rPr>
              <w:t xml:space="preserve">  check_splits.py</w:t>
            </w:r>
            <w:r>
              <w:br/>
            </w:r>
            <w:r>
              <w:rPr>
                <w:rFonts w:ascii="Consolas" w:hAnsi="Consolas" w:eastAsia="Microsoft YaHei"/>
                <w:color w:val="1F4D78"/>
                <w:sz w:val="17"/>
              </w:rPr>
              <w:t xml:space="preserve">  run_baselines.py</w:t>
            </w:r>
            <w:r>
              <w:br/>
            </w:r>
            <w:r>
              <w:rPr>
                <w:rFonts w:ascii="Consolas" w:hAnsi="Consolas" w:eastAsia="Microsoft YaHei"/>
                <w:color w:val="1F4D78"/>
                <w:sz w:val="17"/>
              </w:rPr>
              <w:t xml:space="preserve">  train_sequence_aware.py</w:t>
            </w:r>
            <w:r>
              <w:br/>
            </w:r>
            <w:r>
              <w:rPr>
                <w:rFonts w:ascii="Consolas" w:hAnsi="Consolas" w:eastAsia="Microsoft YaHei"/>
                <w:color w:val="1F4D78"/>
                <w:sz w:val="17"/>
              </w:rPr>
              <w:t xml:space="preserve">  eval_cluster_fusion.py</w:t>
            </w:r>
            <w:r>
              <w:br/>
            </w:r>
            <w:r>
              <w:rPr>
                <w:rFonts w:ascii="Consolas" w:hAnsi="Consolas" w:eastAsia="Microsoft YaHei"/>
                <w:color w:val="1F4D78"/>
                <w:sz w:val="17"/>
              </w:rPr>
              <w:t xml:space="preserve">  eval_contamination.py</w:t>
            </w:r>
            <w:r>
              <w:br/>
            </w:r>
            <w:r>
              <w:rPr>
                <w:rFonts w:ascii="Consolas" w:hAnsi="Consolas" w:eastAsia="Microsoft YaHei"/>
                <w:color w:val="1F4D78"/>
                <w:sz w:val="17"/>
              </w:rPr>
              <w:t xml:space="preserve">  eval_openset.py</w:t>
            </w:r>
            <w:r>
              <w:br/>
            </w:r>
            <w:r>
              <w:rPr>
                <w:rFonts w:ascii="Consolas" w:hAnsi="Consolas" w:eastAsia="Microsoft YaHei"/>
                <w:color w:val="1F4D78"/>
                <w:sz w:val="17"/>
              </w:rPr>
              <w:t xml:space="preserve">  reproduce_champion_baseline.py</w:t>
            </w:r>
            <w:r>
              <w:br/>
            </w:r>
            <w:r>
              <w:rPr>
                <w:rFonts w:ascii="Consolas" w:hAnsi="Consolas" w:eastAsia="Microsoft YaHei"/>
                <w:color w:val="1F4D78"/>
                <w:sz w:val="17"/>
              </w:rPr>
              <w:t xml:space="preserve">  build_paper_tables.py</w:t>
            </w:r>
            <w:r>
              <w:br/>
            </w:r>
            <w:r>
              <w:rPr>
                <w:rFonts w:ascii="Consolas" w:hAnsi="Consolas" w:eastAsia="Microsoft YaHei"/>
                <w:color w:val="1F4D78"/>
                <w:sz w:val="17"/>
              </w:rPr>
            </w:r>
            <w:r>
              <w:br/>
            </w:r>
            <w:r>
              <w:rPr>
                <w:rFonts w:ascii="Consolas" w:hAnsi="Consolas" w:eastAsia="Microsoft YaHei"/>
                <w:color w:val="1F4D78"/>
                <w:sz w:val="17"/>
              </w:rPr>
              <w:t>outputs/paper/</w:t>
            </w:r>
            <w:r>
              <w:br/>
            </w:r>
            <w:r>
              <w:rPr>
                <w:rFonts w:ascii="Consolas" w:hAnsi="Consolas" w:eastAsia="Microsoft YaHei"/>
                <w:color w:val="1F4D78"/>
                <w:sz w:val="17"/>
              </w:rPr>
              <w:t xml:space="preserve">  data_audit/</w:t>
            </w:r>
            <w:r>
              <w:br/>
            </w:r>
            <w:r>
              <w:rPr>
                <w:rFonts w:ascii="Consolas" w:hAnsi="Consolas" w:eastAsia="Microsoft YaHei"/>
                <w:color w:val="1F4D78"/>
                <w:sz w:val="17"/>
              </w:rPr>
              <w:t xml:space="preserve">  baselines/</w:t>
            </w:r>
            <w:r>
              <w:br/>
            </w:r>
            <w:r>
              <w:rPr>
                <w:rFonts w:ascii="Consolas" w:hAnsi="Consolas" w:eastAsia="Microsoft YaHei"/>
                <w:color w:val="1F4D78"/>
                <w:sz w:val="17"/>
              </w:rPr>
              <w:t xml:space="preserve">  sequence_ablation/</w:t>
            </w:r>
            <w:r>
              <w:br/>
            </w:r>
            <w:r>
              <w:rPr>
                <w:rFonts w:ascii="Consolas" w:hAnsi="Consolas" w:eastAsia="Microsoft YaHei"/>
                <w:color w:val="1F4D78"/>
                <w:sz w:val="17"/>
              </w:rPr>
              <w:t xml:space="preserve">  fusion_ablation/</w:t>
            </w:r>
            <w:r>
              <w:br/>
            </w:r>
            <w:r>
              <w:rPr>
                <w:rFonts w:ascii="Consolas" w:hAnsi="Consolas" w:eastAsia="Microsoft YaHei"/>
                <w:color w:val="1F4D78"/>
                <w:sz w:val="17"/>
              </w:rPr>
              <w:t xml:space="preserve">  contamination/</w:t>
            </w:r>
            <w:r>
              <w:br/>
            </w:r>
            <w:r>
              <w:rPr>
                <w:rFonts w:ascii="Consolas" w:hAnsi="Consolas" w:eastAsia="Microsoft YaHei"/>
                <w:color w:val="1F4D78"/>
                <w:sz w:val="17"/>
              </w:rPr>
              <w:t xml:space="preserve">  openset/</w:t>
            </w:r>
            <w:r>
              <w:br/>
            </w:r>
            <w:r>
              <w:rPr>
                <w:rFonts w:ascii="Consolas" w:hAnsi="Consolas" w:eastAsia="Microsoft YaHei"/>
                <w:color w:val="1F4D78"/>
                <w:sz w:val="17"/>
              </w:rPr>
              <w:t xml:space="preserve">  happywhale_comparison/</w:t>
            </w:r>
            <w:r>
              <w:br/>
            </w:r>
            <w:r>
              <w:rPr>
                <w:rFonts w:ascii="Consolas" w:hAnsi="Consolas" w:eastAsia="Microsoft YaHei"/>
                <w:color w:val="1F4D78"/>
                <w:sz w:val="17"/>
              </w:rPr>
              <w:t xml:space="preserve">  local_field_study/</w:t>
            </w:r>
            <w:r>
              <w:br/>
            </w:r>
            <w:r>
              <w:rPr>
                <w:rFonts w:ascii="Consolas" w:hAnsi="Consolas" w:eastAsia="Microsoft YaHei"/>
                <w:color w:val="1F4D78"/>
                <w:sz w:val="17"/>
              </w:rPr>
              <w:t xml:space="preserve">  final_tables/</w:t>
            </w:r>
            <w:r>
              <w:br/>
            </w:r>
            <w:r>
              <w:rPr>
                <w:rFonts w:ascii="Consolas" w:hAnsi="Consolas" w:eastAsia="Microsoft YaHei"/>
                <w:color w:val="1F4D78"/>
                <w:sz w:val="17"/>
              </w:rPr>
              <w:t xml:space="preserve">  final_figures/</w:t>
            </w:r>
          </w:p>
        </w:tc>
      </w:tr>
    </w:tbl>
    <w:p>
      <w:pPr>
        <w:spacing w:after="40"/>
      </w:pPr>
    </w:p>
    <w:p>
      <w:pPr>
        <w:keepLines w:val="0"/>
      </w:pPr>
      <w:r>
        <w:t xml:space="preserve">目录名称是建议，不要求为写论文而大规模重构现有项目。应优先复用当前 </w:t>
      </w:r>
      <w:r>
        <w:rPr>
          <w:rFonts w:ascii="Consolas" w:hAnsi="Consolas" w:eastAsia="Microsoft YaHei"/>
          <w:color w:val="1F4D78"/>
          <w:sz w:val="21"/>
        </w:rPr>
        <w:t>experiments/</w:t>
      </w:r>
      <w:r>
        <w:t>、</w:t>
      </w:r>
      <w:r>
        <w:rPr>
          <w:rFonts w:ascii="Consolas" w:hAnsi="Consolas" w:eastAsia="Microsoft YaHei"/>
          <w:color w:val="1F4D78"/>
          <w:sz w:val="21"/>
        </w:rPr>
        <w:t>outputs/</w:t>
      </w:r>
      <w:r>
        <w:t xml:space="preserve"> 和训练评估接口，只增加论文所需的最小封装。</w:t>
      </w:r>
    </w:p>
    <w:p>
      <w:r>
        <w:br w:type="page"/>
      </w:r>
    </w:p>
    <w:p>
      <w:pPr>
        <w:pStyle w:val="Heading1"/>
      </w:pPr>
      <w:r>
        <w:t>14. 关键参考资料</w:t>
      </w:r>
    </w:p>
    <w:p>
      <w:pPr>
        <w:numPr>
          <w:ilvl w:val="0"/>
          <w:numId w:val="11"/>
        </w:numPr>
        <w:spacing w:after="80" w:line="290" w:lineRule="auto"/>
      </w:pPr>
      <w:r>
        <w:t>张东晓, 袁梦, 祝茜, 王先艳. 考虑类间差异损失的中华白海豚个体识别. 计算机辅助设计与图形学学报, 2024, 36(9): 1384-1393. DOI: 10.3724/SP.J.1089.2024.19983.</w:t>
      </w:r>
    </w:p>
    <w:p>
      <w:pPr>
        <w:numPr>
          <w:ilvl w:val="0"/>
          <w:numId w:val="11"/>
        </w:numPr>
        <w:spacing w:after="80" w:line="290" w:lineRule="auto"/>
      </w:pPr>
      <w:r>
        <w:t>Patton, P. T., et al. A deep learning approach to photo-identification demonstrates high performance on two dozen cetacean species. Methods in Ecology and Evolution, 2023. DOI: 10.1111/2041-210X.14167.</w:t>
      </w:r>
    </w:p>
    <w:p>
      <w:pPr>
        <w:numPr>
          <w:ilvl w:val="0"/>
          <w:numId w:val="11"/>
        </w:numPr>
        <w:spacing w:after="80" w:line="290" w:lineRule="auto"/>
      </w:pPr>
      <w:r>
        <w:t>Čermák, V., et al. WildlifeDatasets: An open-source toolkit for animal re-identification. arXiv:2311.09118.</w:t>
      </w:r>
    </w:p>
    <w:p>
      <w:pPr>
        <w:numPr>
          <w:ilvl w:val="0"/>
          <w:numId w:val="11"/>
        </w:numPr>
        <w:spacing w:after="80" w:line="290" w:lineRule="auto"/>
      </w:pPr>
      <w:r>
        <w:t>Thompson, J. W., et al. Rise of the Machines: Best Practices and Experimental Evaluation of Computer-Assisted Dorsal Fin Image Matching Systems for Bottlenose Dolphins. Frontiers in Marine Science, 2022. DOI: 10.3389/fmars.2022.849813.</w:t>
      </w:r>
    </w:p>
    <w:p>
      <w:pPr>
        <w:numPr>
          <w:ilvl w:val="0"/>
          <w:numId w:val="11"/>
        </w:numPr>
        <w:spacing w:after="80" w:line="290" w:lineRule="auto"/>
      </w:pPr>
      <w:r>
        <w:t>Happywhale 1st place solution repository: https://github.com/knshnb/kaggle-happywhale-1st-place.</w:t>
      </w:r>
    </w:p>
    <w:p>
      <w:pPr>
        <w:numPr>
          <w:ilvl w:val="0"/>
          <w:numId w:val="11"/>
        </w:numPr>
        <w:spacing w:after="80" w:line="290" w:lineRule="auto"/>
      </w:pPr>
      <w:r>
        <w:t>《自动化学报》投稿指南: https://aas.net.cn/news/tougaozhinan.htm.</w:t>
      </w:r>
    </w:p>
    <w:p>
      <w:pPr>
        <w:pStyle w:val="Heading1"/>
      </w:pPr>
      <w:r>
        <w:t>15. 最终完成定义</w:t>
      </w:r>
    </w:p>
    <w:p>
      <w:pPr>
        <w:keepLines w:val="0"/>
      </w:pPr>
      <w:r>
        <w:t>本研究计划完成，不以“代码能够运行”为唯一标准，而以下列证据同时具备为准：</w:t>
      </w:r>
    </w:p>
    <w:p>
      <w:pPr>
        <w:numPr>
          <w:ilvl w:val="0"/>
          <w:numId w:val="11"/>
        </w:numPr>
        <w:spacing w:after="80" w:line="290" w:lineRule="auto"/>
      </w:pPr>
      <w:r>
        <w:t>数据、标签和划分通过无泄漏审计；</w:t>
      </w:r>
    </w:p>
    <w:p>
      <w:pPr>
        <w:numPr>
          <w:ilvl w:val="0"/>
          <w:numId w:val="11"/>
        </w:numPr>
        <w:spacing w:after="80" w:line="290" w:lineRule="auto"/>
      </w:pPr>
      <w:r>
        <w:t>Happywhale冠军派生单模型与当前方法在统一协议下完成比较；</w:t>
      </w:r>
    </w:p>
    <w:p>
      <w:pPr>
        <w:numPr>
          <w:ilvl w:val="0"/>
          <w:numId w:val="11"/>
        </w:numPr>
        <w:spacing w:after="80" w:line="290" w:lineRule="auto"/>
      </w:pPr>
      <w:r>
        <w:t>序列约束训练或抗污染簇级融合至少有一个形成稳定、可复现的主要增益；</w:t>
      </w:r>
    </w:p>
    <w:p>
      <w:pPr>
        <w:numPr>
          <w:ilvl w:val="0"/>
          <w:numId w:val="11"/>
        </w:numPr>
        <w:spacing w:after="80" w:line="290" w:lineRule="auto"/>
      </w:pPr>
      <w:r>
        <w:t>完整消融能够说明每个新增模块的必要性；</w:t>
      </w:r>
    </w:p>
    <w:p>
      <w:pPr>
        <w:numPr>
          <w:ilvl w:val="0"/>
          <w:numId w:val="11"/>
        </w:numPr>
        <w:spacing w:after="80" w:line="290" w:lineRule="auto"/>
      </w:pPr>
      <w:r>
        <w:t>开放集结果在固定错误接受率下报告，并区分公开数据真值与本地候选；</w:t>
      </w:r>
    </w:p>
    <w:p>
      <w:pPr>
        <w:numPr>
          <w:ilvl w:val="0"/>
          <w:numId w:val="11"/>
        </w:numPr>
        <w:spacing w:after="80" w:line="290" w:lineRule="auto"/>
      </w:pPr>
      <w:r>
        <w:t>本地应用结果经过双人复核，不把候选当成确认身份；</w:t>
      </w:r>
    </w:p>
    <w:p>
      <w:pPr>
        <w:numPr>
          <w:ilvl w:val="0"/>
          <w:numId w:val="11"/>
        </w:numPr>
        <w:spacing w:after="80" w:line="290" w:lineRule="auto"/>
      </w:pPr>
      <w:r>
        <w:t>主要结果包含多种子、置信区间、失败分析和计算成本；</w:t>
      </w:r>
    </w:p>
    <w:p>
      <w:pPr>
        <w:numPr>
          <w:ilvl w:val="0"/>
          <w:numId w:val="11"/>
        </w:numPr>
        <w:spacing w:after="80" w:line="290" w:lineRule="auto"/>
      </w:pPr>
      <w:r>
        <w:t>论文所有数字由固定脚本生成，能够回溯到原始预测；</w:t>
      </w:r>
    </w:p>
    <w:p>
      <w:pPr>
        <w:numPr>
          <w:ilvl w:val="0"/>
          <w:numId w:val="11"/>
        </w:numPr>
        <w:spacing w:after="80" w:line="290" w:lineRule="auto"/>
      </w:pPr>
      <w:r>
        <w:t>完成《自动化学报》双盲稿、复现说明和投稿材料；</w:t>
      </w:r>
    </w:p>
    <w:p>
      <w:pPr>
        <w:numPr>
          <w:ilvl w:val="0"/>
          <w:numId w:val="11"/>
        </w:numPr>
        <w:spacing w:after="80" w:line="290" w:lineRule="auto"/>
      </w:pPr>
      <w:r>
        <w:t>独立审查未发现主张越界、协议混用或未说明的数据限制。</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F6368"/>
        <w:sz w:val="18"/>
      </w:rPr>
      <w:t xml:space="preserve">第 </w:t>
    </w:r>
    <w:fldSimple w:instr="PAGE">
      <w:r>
        <w:rPr>
          <w:rFonts w:ascii="Calibri" w:hAnsi="Calibri" w:eastAsia="Microsoft YaHei"/>
          <w:color w:val="5F6368"/>
          <w:sz w:val="18"/>
        </w:rPr>
        <w:t>1</w:t>
      </w:r>
    </w:fldSimple>
    <w:r>
      <w:rPr>
        <w:rFonts w:ascii="Calibri" w:hAnsi="Calibri" w:eastAsia="Microsoft YaHei"/>
        <w:color w:val="5F6368"/>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368"/>
        <w:sz w:val="18"/>
      </w:rPr>
      <w:t>研究计划书  |  中华白海豚个体重识别</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pPr>
      <w:keepLines/>
      <w:spacing w:before="100" w:after="140"/>
      <w:jc w:val="center"/>
    </w:pPr>
    <w:rPr>
      <w:rFonts w:ascii="Cambria Math" w:hAnsi="Cambria Math" w:eastAsia="Microsoft YaHei"/>
      <w:sz w:val="21"/>
    </w:rPr>
  </w:style>
  <w:style w:type="paragraph" w:customStyle="1" w:styleId="CodeBlock">
    <w:name w:val="Code Block"/>
    <w:pPr>
      <w:spacing w:after="0" w:line="252" w:lineRule="auto"/>
      <w:ind w:left="259"/>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中华白海豚个体重识别论文研究计划书</dc:title>
  <dc:subject>序列约束与质量感知簇级融合研究计划</dc:subject>
  <dc:creator/>
  <cp:keywords>中华白海豚, 个体重识别, 序列约束, 簇级融合, 开放集</cp:keywords>
  <dc:description>generated by python-docx</dc:description>
  <cp:lastModifiedBy/>
  <cp:revision>1</cp:revision>
  <dcterms:created xsi:type="dcterms:W3CDTF">2013-12-23T23:15:00Z</dcterms:created>
  <dcterms:modified xsi:type="dcterms:W3CDTF">2013-12-23T23:15:00Z</dcterms:modified>
  <cp:category/>
</cp:coreProperties>
</file>