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4"/>
        <w:pBdr/>
        <w:spacing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w:t xml:space="preserve">Предпроектное обследование: анализ бизнес- процессов и моделирование.</w:t>
      </w: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1. Цели предпроектного обследования</w:t>
      </w:r>
      <w:r/>
    </w:p>
    <w:p>
      <w:pPr>
        <w:pStyle w:val="962"/>
        <w:pBdr/>
        <w:spacing/>
        <w:ind/>
        <w:rPr>
          <w14:ligatures w14:val="none"/>
        </w:rPr>
      </w:pPr>
      <w:r>
        <w:t xml:space="preserve">Пол</w:t>
      </w:r>
      <w:r>
        <w:t xml:space="preserve">учить объективное понимание того, как организация работает «как есть» (AS-IS)</w:t>
      </w:r>
      <w:r/>
    </w:p>
    <w:p>
      <w:pPr>
        <w:pStyle w:val="962"/>
        <w:pBdr/>
        <w:spacing/>
        <w:ind/>
        <w:rPr>
          <w14:ligatures w14:val="none"/>
        </w:rPr>
      </w:pPr>
      <w:r>
        <w:t xml:space="preserve">Выявить проблемы, потери, узкие места и неэффективности в существующих процессах</w:t>
      </w:r>
      <w:r/>
    </w:p>
    <w:p>
      <w:pPr>
        <w:pStyle w:val="962"/>
        <w:pBdr/>
        <w:spacing/>
        <w:ind/>
        <w:rPr>
          <w14:ligatures w14:val="none"/>
        </w:rPr>
      </w:pPr>
      <w:r>
        <w:t xml:space="preserve">Определить требования к будущей информационной системе</w:t>
      </w:r>
      <w:r/>
    </w:p>
    <w:p>
      <w:pPr>
        <w:pStyle w:val="962"/>
        <w:pBdr/>
        <w:spacing/>
        <w:ind/>
        <w:rPr>
          <w14:ligatures w14:val="none"/>
        </w:rPr>
      </w:pPr>
      <w:r>
        <w:t xml:space="preserve">Сформировать основу для проектирования целевых процессов «как должно быть» (TO-BE)</w:t>
      </w:r>
      <w:r/>
    </w:p>
    <w:p>
      <w:pPr>
        <w:pStyle w:val="96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2. Этапы предпроектного обследования</w:t>
      </w:r>
      <w:r/>
    </w:p>
    <w:tbl>
      <w:tblPr>
        <w:jc w:val="center"/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71"/>
      </w:tblPr>
      <w:tblGrid>
        <w:gridCol w:w="3135"/>
        <w:gridCol w:w="12331"/>
        <w:gridCol w:w="573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3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Этап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Содержание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Результат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3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Планирование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Определение границ обследования, выбор процессов, назначение интервьюируемых, согласование графика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Утвержденный план обследования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3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Сбор информации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Интервью, анкетирование, наблюдение, анализ документов (регламенты, инструкции, формы отчетов)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Сырые данные о процессах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3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Моделирование AS-IS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Построение графических моделей процессов, выявление связей, ролей, точек принятия решений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Модели бизнес-процессов в нотации BPMN/IDEF0/EPC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3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Анализ и диагностика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Выявление проблем, дублирования, избыточных согласований, разрывов, ручных операций, информационных разрывов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Реестр проблем и зон оптимизации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3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Формирование предложений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Разработка целевых процессов TO-BE, определение зон автоматизации, уточнение требований к ИС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3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Модели TO-BE, уточненное техническое задание</w:t>
            </w:r>
            <w:r/>
          </w:p>
        </w:tc>
      </w:tr>
    </w:tbl>
    <w:p>
      <w:pPr>
        <w:pStyle w:val="96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3. Методы сбора информации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Интервью</w:t>
      </w:r>
      <w:r>
        <w:t xml:space="preserve"> – основной метод. Проводится с руководителями подразделений, ключевыми специалистами и исполнителями. Цель: понять последовательность действий, используемые документы, точки принятия решений, существующие сложности.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Наблюдение</w:t>
      </w:r>
      <w:r>
        <w:t xml:space="preserve"> – присутствие аналитика на рабочем месте для фиксации реального хода процесса. Позволяет выявить расхождения между «как говорят» и «как делают».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Анализ документов</w:t>
      </w:r>
      <w:r>
        <w:t xml:space="preserve"> – изучение должностных инструкций, регламентов, шаблонов документов, отчетов, журналов учета. Дает представление о формальных требованиях и реально используемых формах.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Анкетирование</w:t>
      </w:r>
      <w:r>
        <w:t xml:space="preserve"> – применяется для сбора статистических данных или охвата большого числа сотрудников при ограниченных сроках.</w:t>
      </w:r>
      <w:r/>
    </w:p>
    <w:p>
      <w:pPr>
        <w:pStyle w:val="96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4. Нотации м</w:t>
      </w:r>
      <w:r>
        <w:t xml:space="preserve">оделирования бизнес-процессов</w:t>
      </w:r>
      <w:r/>
    </w:p>
    <w:tbl>
      <w:tblPr>
        <w:jc w:val="center"/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71"/>
      </w:tblPr>
      <w:tblGrid>
        <w:gridCol w:w="3758"/>
        <w:gridCol w:w="8992"/>
        <w:gridCol w:w="736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Нотация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992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Назначение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363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Преимущества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BPMN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992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Детальное описание процессов с событиями, шлюзами, потоками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363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Понятна и бизнесу, и ИТ; поддерживается большинством инструментов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IDEF0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992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Функциональное моделирование с акцентом на входы, выходы, механизмы, управление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363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Хороша для описания верхнего уровня, иерархической декомпозиции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EPC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992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Описание логики процессов с событиями, функциями, правилами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363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Удобна для последующей настройки в ERP-системах (SAP, и др.)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Диаграмма потоков данных (DFD)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992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Акцент на движении данных между процессами и хранилищами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363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Полезна при проектировании обмена информацией</w:t>
            </w:r>
            <w:r/>
          </w:p>
        </w:tc>
      </w:tr>
    </w:tbl>
    <w:p>
      <w:pPr>
        <w:pStyle w:val="96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5. Структура модели бизнес-процесса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Полноценная модель бизнес-процесса включает следующие элементы: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Границы процесса</w:t>
      </w:r>
      <w:r>
        <w:t xml:space="preserve"> – четкое определение начала (событие-триггер) и конца (результат). Например, начало: «поступила заявка от клиента», конец: «отгружен товар, выставлен счет».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Роли и участники</w:t>
      </w:r>
      <w:r>
        <w:t xml:space="preserve"> – кто выполняет каждую функцию. Роли могут быть должностными позициями или функциональными ролями в системе.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Последовательность действий (функций)</w:t>
      </w:r>
      <w:r>
        <w:t xml:space="preserve"> – шаги, из которых состоит процесс, с указанием их порядка, включая параллельные ветви и альтернативные пути.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Точки принятия решений</w:t>
      </w:r>
      <w:r>
        <w:t xml:space="preserve"> – места, где в зависимости от условий выбирается дальнейший путь (правила, исключения).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Входы и выходы</w:t>
      </w:r>
      <w:r>
        <w:t xml:space="preserve"> – документы, данные, материалы, которые требуются для выполнения шага, и которые создаются в результате.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Используемые информационные системы</w:t>
      </w:r>
      <w:r>
        <w:t xml:space="preserve"> – какие системы (или их отсутствие) используются на каждом шаге.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Временные и стоимостные характеристики</w:t>
      </w:r>
      <w:r>
        <w:t xml:space="preserve"> – длительность выполнения шагов, стоимость операций, периодичность.</w:t>
      </w:r>
      <w:r/>
    </w:p>
    <w:p>
      <w:pPr>
        <w:pStyle w:val="96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6. Типовые проблемы, выявляемые при анализе AS-IS</w:t>
      </w:r>
      <w:r/>
    </w:p>
    <w:tbl>
      <w:tblPr>
        <w:jc w:val="center"/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71"/>
      </w:tblPr>
      <w:tblGrid>
        <w:gridCol w:w="6238"/>
        <w:gridCol w:w="105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Проблема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0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Признаки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Избыточные согласования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0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Документ проходит 5–7 согласований, каждое занимает дни; реально влияющих на содержание – 2–3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Ручной ввод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0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Одна и та же информация перепечатывается в несколько систем или таблиц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Разрывы процессов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0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Нет четкой передачи ответственности; документ «зависает» между подразделениями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Дублирование функций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0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Одна и та же операция выполняется в разных местах независимо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Отсутствие контроля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0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Нет возможности отследить статус выполнения, сроки, ответственного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Бумажный документооборот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0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Документы распечатываются, подписываются физически, сканируются, теряются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Нормативно-справочная информация не унифицирована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0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Один и тот же контрагент называется по-разному, нет единых справочников</w:t>
            </w:r>
            <w:r/>
          </w:p>
        </w:tc>
      </w:tr>
    </w:tbl>
    <w:p>
      <w:pPr>
        <w:pStyle w:val="96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7. Моделирование TO-BE (целевое состояние)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На основе анализа AS-IS разрабатываются модели целевых процессов TO-BE. Основные изменения, отражаемые в TO-BE: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Устранение выявленных проблем</w:t>
      </w:r>
      <w:r>
        <w:t xml:space="preserve"> – ликвидация избыточных шагов, дублирования, разрывов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Автоматизация</w:t>
      </w:r>
      <w:r>
        <w:t xml:space="preserve"> – ручные операции заменяются функциями информационной системы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Перенос контроля</w:t>
      </w:r>
      <w:r>
        <w:t xml:space="preserve"> – контроль исполнения возлагается на систему (маршрутизация, уведомления, блокировки)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Унификация данных</w:t>
      </w:r>
      <w:r>
        <w:t xml:space="preserve"> – ввод данных в единой точке, использование единых справочников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Прозрачность</w:t>
      </w:r>
      <w:r>
        <w:t xml:space="preserve"> – возможность отслеживания статусов, сроков, истории изменений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Регламентация</w:t>
      </w:r>
      <w:r>
        <w:t xml:space="preserve"> – закрепление новых процессов в обновленных инструкциях и регламентах</w:t>
      </w:r>
      <w:r/>
    </w:p>
    <w:p>
      <w:pPr>
        <w:pStyle w:val="96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8. Артефакты предпроектного обследования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По итогам обследования формируются следующие документы:</w:t>
      </w:r>
      <w:r/>
    </w:p>
    <w:tbl>
      <w:tblPr>
        <w:jc w:val="center"/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71"/>
      </w:tblPr>
      <w:tblGrid>
        <w:gridCol w:w="4117"/>
        <w:gridCol w:w="1089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Артефакт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94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Содержание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Модели процессов AS-IS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94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Графическое описание существующих процессов в выбранной нотации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Реестр проблем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94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Систематизированный список выявленных проблем с указанием влияния и приоритета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Модели процессов TO-BE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94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Целевые процессы с выделенными зонами автоматизации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Матрица ответственности (RACI)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94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Распределение ролей и ответственности в целевых процессах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Требования к ИС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94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Детализированный перечень функциональных и нефункциональных требований, вытекающих из моделей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Отчет о предпроектном обследовании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94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Сводный документ, фиксирующий результаты и рекомендации</w:t>
            </w:r>
            <w:r/>
          </w:p>
        </w:tc>
      </w:tr>
    </w:tbl>
    <w:p>
      <w:pPr>
        <w:pStyle w:val="96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64"/>
        <w:pBdr/>
        <w:spacing/>
        <w:ind/>
        <w:rPr>
          <w:highlight w:val="none"/>
          <w14:ligatures w14:val="none"/>
        </w:rPr>
      </w:pPr>
      <w:r>
        <w:t xml:space="preserve">9. Рекомендации по проведению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Вовлекать исполнителей</w:t>
      </w:r>
      <w:r>
        <w:t xml:space="preserve">, а не только руководителей – именно исполнители знают реальные детали и проблемы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Фиксировать не только нормативную картину</w:t>
      </w:r>
      <w:r>
        <w:t xml:space="preserve">, но и фактические отклонения – часто они важнее формальных регламентов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Использовать единый репозиторий моделей</w:t>
      </w:r>
      <w:r>
        <w:t xml:space="preserve"> для обеспечения целостности и версионности</w:t>
      </w:r>
      <w:r/>
    </w:p>
    <w:p>
      <w:pPr>
        <w:pStyle w:val="964"/>
        <w:pBdr/>
        <w:spacing/>
        <w:ind/>
        <w:rPr>
          <w14:ligatures w14:val="none"/>
        </w:rPr>
      </w:pPr>
      <w:r>
        <w:t xml:space="preserve">Согласовывать модели с заказчиком</w:t>
      </w:r>
      <w:r>
        <w:t xml:space="preserve"> после каждого ключевого этапа, чтобы избежать недопонимания на поздних стадиях</w:t>
      </w:r>
      <w:r/>
    </w:p>
    <w:p>
      <w:pPr>
        <w:pStyle w:val="964"/>
        <w:pBdr/>
        <w:spacing/>
        <w:ind/>
        <w:rPr>
          <w:rStyle w:val="963"/>
          <w14:ligatures w14:val="none"/>
        </w:rPr>
      </w:pPr>
      <w:r>
        <w:t xml:space="preserve">Не перегружать детализацией</w:t>
      </w:r>
      <w:r>
        <w:t xml:space="preserve"> там, где это не нужно для проектирования системы – избыточная детализация увеличивает сроки без пропорционального роста качества</w:t>
      </w:r>
      <w:r/>
      <w:r/>
      <w:r/>
      <w:r>
        <w:rPr>
          <w:rStyle w:val="963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968"/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962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968"/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968"/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968"/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968"/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968"/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Heading 1"/>
    <w:basedOn w:val="956"/>
    <w:next w:val="956"/>
    <w:link w:val="9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8">
    <w:name w:val="Heading 2"/>
    <w:basedOn w:val="956"/>
    <w:next w:val="956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9">
    <w:name w:val="Heading 3"/>
    <w:basedOn w:val="956"/>
    <w:next w:val="956"/>
    <w:link w:val="9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0">
    <w:name w:val="Heading 4"/>
    <w:basedOn w:val="956"/>
    <w:next w:val="956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1">
    <w:name w:val="Heading 5"/>
    <w:basedOn w:val="956"/>
    <w:next w:val="956"/>
    <w:link w:val="9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2">
    <w:name w:val="Heading 6"/>
    <w:basedOn w:val="956"/>
    <w:next w:val="956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3">
    <w:name w:val="Heading 7"/>
    <w:basedOn w:val="956"/>
    <w:next w:val="956"/>
    <w:link w:val="9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4">
    <w:name w:val="Heading 8"/>
    <w:basedOn w:val="956"/>
    <w:next w:val="956"/>
    <w:link w:val="9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Heading 9"/>
    <w:basedOn w:val="956"/>
    <w:next w:val="956"/>
    <w:link w:val="9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character" w:styleId="907">
    <w:name w:val="Heading 1 Char"/>
    <w:basedOn w:val="906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06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3 Char"/>
    <w:basedOn w:val="906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0">
    <w:name w:val="Heading 4 Char"/>
    <w:basedOn w:val="906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1">
    <w:name w:val="Heading 5 Char"/>
    <w:basedOn w:val="906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2">
    <w:name w:val="Heading 6 Char"/>
    <w:basedOn w:val="906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3">
    <w:name w:val="Heading 7 Char"/>
    <w:basedOn w:val="906"/>
    <w:link w:val="9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4">
    <w:name w:val="Heading 8 Char"/>
    <w:basedOn w:val="906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9 Char"/>
    <w:basedOn w:val="906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Title"/>
    <w:basedOn w:val="956"/>
    <w:next w:val="956"/>
    <w:link w:val="9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7">
    <w:name w:val="Title Char"/>
    <w:basedOn w:val="906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8">
    <w:name w:val="Subtitle"/>
    <w:basedOn w:val="956"/>
    <w:next w:val="956"/>
    <w:link w:val="9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9">
    <w:name w:val="Subtitle Char"/>
    <w:basedOn w:val="906"/>
    <w:link w:val="9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0">
    <w:name w:val="Quote"/>
    <w:basedOn w:val="956"/>
    <w:next w:val="956"/>
    <w:link w:val="9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1">
    <w:name w:val="Quote Char"/>
    <w:basedOn w:val="906"/>
    <w:link w:val="9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6"/>
    <w:next w:val="956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06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6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928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929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0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1">
    <w:name w:val="Header"/>
    <w:basedOn w:val="956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Header Char"/>
    <w:basedOn w:val="906"/>
    <w:link w:val="931"/>
    <w:uiPriority w:val="99"/>
    <w:pPr>
      <w:pBdr/>
      <w:spacing/>
      <w:ind/>
    </w:pPr>
  </w:style>
  <w:style w:type="paragraph" w:styleId="933">
    <w:name w:val="Footer"/>
    <w:basedOn w:val="956"/>
    <w:link w:val="9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4">
    <w:name w:val="Footer Char"/>
    <w:basedOn w:val="906"/>
    <w:link w:val="933"/>
    <w:uiPriority w:val="99"/>
    <w:pPr>
      <w:pBdr/>
      <w:spacing/>
      <w:ind/>
    </w:p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06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06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/>
      <w:ind/>
    </w:pPr>
  </w:style>
  <w:style w:type="table" w:styleId="9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8" w:default="1">
    <w:name w:val="No List"/>
    <w:uiPriority w:val="99"/>
    <w:semiHidden/>
    <w:unhideWhenUsed/>
    <w:pPr>
      <w:pBdr/>
      <w:spacing/>
      <w:ind/>
    </w:pPr>
  </w:style>
  <w:style w:type="paragraph" w:styleId="959">
    <w:name w:val="No Spacing"/>
    <w:basedOn w:val="956"/>
    <w:uiPriority w:val="1"/>
    <w:qFormat/>
    <w:pPr>
      <w:pBdr/>
      <w:spacing w:after="0" w:line="240" w:lineRule="auto"/>
      <w:ind/>
    </w:pPr>
  </w:style>
  <w:style w:type="paragraph" w:styleId="960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61" w:customStyle="1">
    <w:name w:val="1ВИСспис_character"/>
    <w:link w:val="962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8"/>
      <w:szCs w:val="28"/>
    </w:rPr>
  </w:style>
  <w:style w:type="paragraph" w:styleId="962" w:customStyle="1">
    <w:name w:val="1ВИСспис"/>
    <w:basedOn w:val="960"/>
    <w:link w:val="961"/>
    <w:qFormat/>
    <w:pPr>
      <w:widowControl w:val="false"/>
      <w:numPr>
        <w:ilvl w:val="0"/>
        <w:numId w:val="7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tabs>
        <w:tab w:val="left" w:leader="none" w:pos="850"/>
      </w:tabs>
      <w:spacing w:after="0" w:after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8"/>
      <w:szCs w:val="28"/>
    </w:rPr>
  </w:style>
  <w:style w:type="character" w:styleId="963" w:customStyle="1">
    <w:name w:val="1ВИСтхт_character"/>
    <w:link w:val="964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/>
      <w:sz w:val="28"/>
    </w:rPr>
  </w:style>
  <w:style w:type="paragraph" w:styleId="964" w:customStyle="1">
    <w:name w:val="1ВИСтхт"/>
    <w:basedOn w:val="956"/>
    <w:link w:val="963"/>
    <w:qFormat/>
    <w:pPr>
      <w:widowControl w:val="false"/>
      <w:suppressLineNumbers w:val="false"/>
      <w:pBdr/>
      <w:spacing w:after="0" w:afterAutospacing="0" w:line="360" w:lineRule="auto"/>
      <w:ind w:firstLine="709"/>
      <w:jc w:val="both"/>
    </w:pPr>
    <w:rPr>
      <w:rFonts w:ascii="Times New Roman" w:hAnsi="Times New Roman" w:eastAsia="Times New Roman" w:cs="Times New Roman"/>
      <w:b w:val="0"/>
      <w:bCs w:val="0"/>
      <w:color w:val="000000"/>
      <w:sz w:val="28"/>
    </w:rPr>
  </w:style>
  <w:style w:type="character" w:styleId="965" w:customStyle="1">
    <w:name w:val="1ВИТтб_character"/>
    <w:link w:val="96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z w:val="22"/>
      <w:szCs w:val="22"/>
      <w:u w:val="none"/>
    </w:rPr>
  </w:style>
  <w:style w:type="paragraph" w:styleId="966" w:customStyle="1">
    <w:name w:val="1ВИТтб"/>
    <w:basedOn w:val="956"/>
    <w:link w:val="965"/>
    <w:qFormat/>
    <w:pPr>
      <w:pBdr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sz w:val="22"/>
      <w:szCs w:val="22"/>
      <w:u w:val="none"/>
    </w:rPr>
  </w:style>
  <w:style w:type="character" w:styleId="967" w:customStyle="1">
    <w:name w:val="1ВИСспис2_character"/>
    <w:link w:val="968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/>
      <w:sz w:val="28"/>
      <w:szCs w:val="28"/>
    </w:rPr>
  </w:style>
  <w:style w:type="paragraph" w:styleId="968" w:customStyle="1">
    <w:name w:val="1ВИСспис2"/>
    <w:basedOn w:val="960"/>
    <w:link w:val="967"/>
    <w:qFormat/>
    <w:pPr>
      <w:numPr>
        <w:ilvl w:val="0"/>
        <w:numId w:val="6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tabs>
        <w:tab w:val="left" w:leader="none" w:pos="850"/>
      </w:tabs>
      <w:spacing w:after="0" w:after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2026-03-25T02:25:26Z</dcterms:modified>
</cp:coreProperties>
</file>