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A27B2F">
      <w:pPr>
        <w:pStyle w:val="Nadpis1"/>
      </w:pPr>
      <w:r>
        <w:t>Datové typy</w:t>
      </w:r>
    </w:p>
    <w:p w14:paraId="6A45AE33" w14:textId="52C2DEEA" w:rsidR="00A27B2F" w:rsidRDefault="00A27B2F" w:rsidP="00A27B2F">
      <w:pPr>
        <w:pStyle w:val="Nadpis2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A27B2F">
      <w:pPr>
        <w:pStyle w:val="Nadpis2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A27B2F">
      <w:pPr>
        <w:pStyle w:val="Nadpis2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100A45D4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Random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79D1F6A0" w:rsidR="008A02D8" w:rsidRDefault="00050685" w:rsidP="008A02D8">
      <w:pPr>
        <w:pStyle w:val="Nadpis2"/>
      </w:pPr>
      <w:r>
        <w:t>Funkce</w:t>
      </w:r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proofErr w:type="gramStart"/>
      <w:r w:rsidR="00FB52E4">
        <w:t>Integer</w:t>
      </w:r>
      <w:proofErr w:type="spellEnd"/>
      <w:r w:rsidR="00FB52E4">
        <w:t>(</w:t>
      </w:r>
      <w:proofErr w:type="spellStart"/>
      <w:proofErr w:type="gramEnd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try</w:t>
      </w:r>
      <w:proofErr w:type="gramEnd"/>
      <w:r>
        <w:t>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336FA63B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 xml:space="preserve">té samé </w:t>
      </w:r>
      <w:proofErr w:type="spellStart"/>
      <w:r w:rsidR="0002022A">
        <w:t>funcke</w:t>
      </w:r>
      <w:r>
        <w:t>celé</w:t>
      </w:r>
      <w:proofErr w:type="spellEnd"/>
      <w:r>
        <w:t xml:space="preserve"> funkce</w:t>
      </w:r>
    </w:p>
    <w:p w14:paraId="45CC07EB" w14:textId="7E78E46C" w:rsidR="008A02D8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  <w:bookmarkStart w:id="0" w:name="_GoBack"/>
      <w:bookmarkEnd w:id="0"/>
    </w:p>
    <w:sectPr w:rsidR="008A0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07AB8"/>
    <w:multiLevelType w:val="hybridMultilevel"/>
    <w:tmpl w:val="C1D6A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2022A"/>
    <w:rsid w:val="00050685"/>
    <w:rsid w:val="00406FB0"/>
    <w:rsid w:val="007A4FCA"/>
    <w:rsid w:val="007C1336"/>
    <w:rsid w:val="008A02D8"/>
    <w:rsid w:val="008B0373"/>
    <w:rsid w:val="00A27B2F"/>
    <w:rsid w:val="00A35A2B"/>
    <w:rsid w:val="00AC4A30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251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12</cp:revision>
  <dcterms:created xsi:type="dcterms:W3CDTF">2024-09-13T07:55:00Z</dcterms:created>
  <dcterms:modified xsi:type="dcterms:W3CDTF">2024-10-18T08:46:00Z</dcterms:modified>
</cp:coreProperties>
</file>