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C7" w:rsidRPr="000F1769" w:rsidRDefault="00FA67C7" w:rsidP="001B71B3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>
        <w:rPr>
          <w:lang w:val="ru-RU" w:eastAsia="ru-RU"/>
        </w:rPr>
        <w:t>5. Экология и промышленная безопасность</w:t>
      </w:r>
    </w:p>
    <w:bookmarkEnd w:id="0"/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Использование ПЭВМ в последние годы становится все активнее в различных сферах человеческой жизни, в особенности в профессиональной деятельности. Наряду с многочисленными преимуществами, такими как повышение эффективности, производительности и прочими, существует также и ряд недостатков, которые прежде всего связаны с негативным влиянием ПЭВМ на здоровье человека при несоблюдении правил и норм безопасного использования </w:t>
      </w:r>
      <w:r w:rsidR="00764283">
        <w:t>подобной техники.</w:t>
      </w:r>
      <w:r w:rsidRPr="003F37D9">
        <w:t xml:space="preserve">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Разработка и дальнейшее использование программного обеспечения, описанные в данном дипломном проекте, непосредственно связаны с использованием ПЭВМ. Данный раздел посвящен анализу вредных факторов, воздействующих на работника, анализу и проектированию средств защиты от воздействия этих факторов. </w:t>
      </w:r>
    </w:p>
    <w:p w:rsidR="00FA67C7" w:rsidRPr="00A27D41" w:rsidRDefault="00FA67C7" w:rsidP="001B71B3">
      <w:pPr>
        <w:pStyle w:val="2"/>
        <w:spacing w:after="100" w:afterAutospacing="1"/>
        <w:ind w:firstLine="851"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.1. Возможные последствия работы на ПЭВМ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Как было упомянуто ранее, работа на ПЭВМ может оказать негативное влияние на здоровье работника, а также привести к возникновению ряда профессиональных заболеваний. Далее перечислим наиболее распространенные из них. </w:t>
      </w:r>
    </w:p>
    <w:p w:rsidR="00FA67C7" w:rsidRPr="003F37D9" w:rsidRDefault="00FA67C7" w:rsidP="001B71B3">
      <w:pPr>
        <w:ind w:firstLine="851"/>
        <w:contextualSpacing/>
      </w:pPr>
      <w:r w:rsidRPr="003F37D9">
        <w:rPr>
          <w:shd w:val="clear" w:color="auto" w:fill="FFFFFF"/>
        </w:rPr>
        <w:t>Заболевания ТПН (травмы повторяющихся нагрузок) – это болезни нервов, мышц и сухожилий руки. Наиболее часто страдают кисти, запястье и плечо, в редких случаях болезнь затрагивает плечевую и шейную области. Подобные заболевания обычно наступают в результате непрерывной работы на неправильно организованном рабочем месте.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тендовагинит – воспаление и опухание сухожилий. Заболевание распространяется на кисть, запястье, плечо;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травматический эпикондилит (теннисный локоть, лучевой бурсит) – раздражение сухожилий, соединяющих предплечья и локтевой сустав;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lastRenderedPageBreak/>
        <w:t xml:space="preserve">болезнь де Карвена – разновидность тендовагинита, при которой страдают сухожилия, связанные с большим пальцем кисти руки;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тендосиновит – воспаление синовиальной оболочки сухожильного основания кисти и запястья;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синдром канала запястья – ущемление медиального нерва руки в результате опухания сухожилия или синовиальной оболочки либо повторяющегося изгиба запястья. </w:t>
      </w:r>
    </w:p>
    <w:p w:rsidR="00FA67C7" w:rsidRPr="003F37D9" w:rsidRDefault="00FA67C7" w:rsidP="001B71B3">
      <w:pPr>
        <w:ind w:firstLine="851"/>
      </w:pPr>
      <w:r w:rsidRPr="003F37D9">
        <w:t>Существует также большое количество прочих заболеваний, с которыми в той или иной степени сталкивается множество пользователей ПЭВМ в процессе работы.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>зрительные и глазные симптомы: быстрая утомляемость глаз, резь и боль в глазах, слезоточивость, снижение остроты зрения и запаса относительной аккомодации (потеря возможности глазных мышц сокращаться), ложная (от спазма аккомодации) и истинная близорукость, нарушение бинокулярного (объемного) зрения, пелена перед глазами, изменение цвета предметов, покраснение и ощущения усталости век;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 xml:space="preserve">физические недомогания: сонливость, головные боли, онемение конечностей, боли в спине, шее, запястный синдром (болезненное поражение срединного нерва запястья), сухость кожи и слизистых и т.п.; 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>психические расстройства и нервно-соматические нарушения: чувство тревоги, нарушение сна, сужение интересов, ослабление памяти и др.;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 xml:space="preserve">повышение уровня заболеваемости бронхитом, бронхиальной астмой, острыми респираторными заболеваниями, неврозами, остеохондрозами, проявление или обострение заболеваний желудочно-кишечного тракта. </w:t>
      </w:r>
    </w:p>
    <w:p w:rsidR="00FA67C7" w:rsidRPr="003F37D9" w:rsidRDefault="00FA67C7" w:rsidP="001B71B3">
      <w:pPr>
        <w:ind w:firstLine="851"/>
      </w:pPr>
      <w:r w:rsidRPr="003F37D9">
        <w:t>Подобные проявления заболеваний резко возрастают с увеличением времени работы на ПК и являются следствием ряда опасных и вр</w:t>
      </w:r>
      <w:r w:rsidR="0062352A">
        <w:t>едных производственных факторов: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повышенные зрительные нагрузки (зависят от качества изображения, наличия бликов на экране, длительности работы);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lastRenderedPageBreak/>
        <w:t xml:space="preserve">адинамия глазных мышц, т.е. их малая подвижность при высоком статическом зрительном напряжении в течение длительного времени;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длительные статические нагрузки вследствие нерациональной организации рабочего места (неудобные кресла, отсутствие пюпитров для текста и т.д.);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гиподинамия;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несоответствующие допустимым нормам условия труда: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повышенная температура из-за постоянного нагрева деталей ПК, пониженная влажность, пониженная или повышенная подвижность воздуха;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>повышенный уровень запыленности и загазованности воздуха;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повышенный или пониженный уровень освещенности, повышенная яркость, пульсация светового потока;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повышенный уровень шума от работающих вентиляторов охлаждения ПК и принтеров, от неотрегулированных источников люминесцентного освещения;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нарушение норм аэроионного состава воздуха (концентрация полезных для организма отрицательно заряженных ионов кислорода зачастую ниже нормы в 10 – 50 раз, а вредных положительных значительно превышает норму);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повышенный уровень напряжения в электрических цепях питания и управления ПК, который может привести </w:t>
      </w:r>
      <w:r w:rsidR="0062352A">
        <w:t xml:space="preserve">к электротравме оператора при </w:t>
      </w:r>
      <w:r w:rsidRPr="003F37D9">
        <w:t xml:space="preserve"> отсутствии заземл</w:t>
      </w:r>
      <w:r w:rsidR="0062352A">
        <w:t>ения или зануления оборудования;</w:t>
      </w:r>
    </w:p>
    <w:p w:rsidR="001B71B3" w:rsidRDefault="00FA67C7" w:rsidP="0062352A">
      <w:pPr>
        <w:pStyle w:val="af7"/>
        <w:numPr>
          <w:ilvl w:val="0"/>
          <w:numId w:val="6"/>
        </w:numPr>
        <w:ind w:firstLine="851"/>
      </w:pPr>
      <w:r w:rsidRPr="003F37D9">
        <w:t>наличие переменного электромагнитного поля низкой частоты 15 – 110 кГц, которое генерируют многочисленные катушки внутри монитора (катушки строчной и кадровой развертки, силовых трансформаторов и катушки коррекции), а также другие электроустановки вне ПК, силовые кабели, особенно при отсутствии заземле</w:t>
      </w:r>
      <w:r w:rsidR="0062352A">
        <w:t>ния или зануления оборудования</w:t>
      </w:r>
      <w:r w:rsidRPr="003F37D9">
        <w:t xml:space="preserve"> </w:t>
      </w:r>
      <w:r w:rsidR="005E4157">
        <w:t>[12]</w:t>
      </w:r>
      <w:r w:rsidRPr="003F37D9">
        <w:t xml:space="preserve">. </w:t>
      </w:r>
    </w:p>
    <w:p w:rsidR="00FA67C7" w:rsidRPr="003F37D9" w:rsidRDefault="001B71B3" w:rsidP="0062352A">
      <w:pPr>
        <w:spacing w:after="100" w:afterAutospacing="1"/>
        <w:ind w:firstLine="851"/>
        <w:contextualSpacing/>
      </w:pPr>
      <w:r w:rsidRPr="003F37D9">
        <w:t xml:space="preserve">Соблюдение санитарных правил позволит работнику снизить или в полной мере устранить влияние на здоровье опасных и вредных факторов </w:t>
      </w:r>
      <w:r w:rsidRPr="003F37D9">
        <w:lastRenderedPageBreak/>
        <w:t xml:space="preserve">производственной среды и трудового процесса при работе за ПК. Эти санитарные требования описаны в СанПин 2.2.2/2.4.1340-03. 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 Основные требования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Выполнение данного дипломного проекта связано с эксплуатацией персональной электронно-вычислительной машины (ПЭВМ). Однако ПЭВМ помимо расширения человеческих возможностей и повышения эффективности и производительности труда может также оказывать и отрицательное воздействие на состояние здоровья работника. Далее приведены основные требования к организации и условиям рабочего процесса. </w:t>
      </w:r>
    </w:p>
    <w:p w:rsidR="00FA67C7" w:rsidRPr="00A27D41" w:rsidRDefault="00FA67C7" w:rsidP="001B71B3">
      <w:pPr>
        <w:pStyle w:val="3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.2.1. Основные требования к организации рабочего помещения</w:t>
      </w:r>
    </w:p>
    <w:p w:rsidR="00FA67C7" w:rsidRPr="003F37D9" w:rsidRDefault="00FA67C7" w:rsidP="001B71B3">
      <w:pPr>
        <w:spacing w:after="100" w:afterAutospacing="1"/>
        <w:ind w:firstLine="851"/>
        <w:contextualSpacing/>
        <w:rPr>
          <w:bdr w:val="none" w:sz="0" w:space="0" w:color="auto" w:frame="1"/>
          <w:lang w:eastAsia="ru-RU"/>
        </w:rPr>
      </w:pPr>
      <w:r w:rsidRPr="003F37D9">
        <w:rPr>
          <w:bdr w:val="none" w:sz="0" w:space="0" w:color="auto" w:frame="1"/>
          <w:lang w:eastAsia="ru-RU"/>
        </w:rPr>
        <w:t xml:space="preserve">В рабочем помещении уровни естественного и искусственного освещения должны соответствовать требованиям действующей нормативной документации. </w:t>
      </w:r>
      <w:r w:rsidRPr="003F37D9">
        <w:t>В качестве источников света при искусственном освещении следует применять преимущественно люминесцен</w:t>
      </w:r>
      <w:r w:rsidR="001202BA">
        <w:t>т</w:t>
      </w:r>
      <w:r w:rsidRPr="003F37D9">
        <w:t>ные лампы типа ЛБ и компактные люминесцентные лампы. В светильниках местного освещения допускается применение ламп накаливания. Освещение не должно создавать бликов на поверхности экрана.</w:t>
      </w:r>
    </w:p>
    <w:p w:rsidR="00FA67C7" w:rsidRPr="003F37D9" w:rsidRDefault="00FA67C7" w:rsidP="001B71B3">
      <w:pPr>
        <w:ind w:firstLine="851"/>
      </w:pPr>
      <w:r w:rsidRPr="003F37D9">
        <w:t xml:space="preserve">Рабочие столы следует размещать таким образом, чтобы </w:t>
      </w:r>
      <w:r w:rsidR="001202BA">
        <w:t>дисплеи ПЭВМ</w:t>
      </w:r>
      <w:r w:rsidRPr="003F37D9">
        <w:t xml:space="preserve"> были ориентированы боковой стороной к световым проемам, чтобы естественный свет падал преимущественно слева. 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t>Окна в помещениях, где эксплуатируется вычислительная техника, преимущественно должны быть ориентированы на север и северо-восток.</w:t>
      </w:r>
      <w:r w:rsidRPr="003F37D9">
        <w:rPr>
          <w:sz w:val="20"/>
          <w:szCs w:val="20"/>
          <w:lang w:eastAsia="ru-RU"/>
        </w:rPr>
        <w:t xml:space="preserve"> </w:t>
      </w:r>
      <w:r w:rsidRPr="003F37D9">
        <w:t>Оконные проемы должны быть оборудованы регулируемыми устройствами типа: жалюзи, занавесей, внешних козырьков и др.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t>Площадь на одно рабочее место пользователей ПЭВМ с ВДТ</w:t>
      </w:r>
      <w:r w:rsidR="001202BA">
        <w:rPr>
          <w:bdr w:val="none" w:sz="0" w:space="0" w:color="auto" w:frame="1"/>
          <w:lang w:eastAsia="ru-RU"/>
        </w:rPr>
        <w:t xml:space="preserve"> (видео – дисплейный терминал)</w:t>
      </w:r>
      <w:r w:rsidRPr="003F37D9">
        <w:rPr>
          <w:bdr w:val="none" w:sz="0" w:space="0" w:color="auto" w:frame="1"/>
          <w:lang w:eastAsia="ru-RU"/>
        </w:rPr>
        <w:t xml:space="preserve"> на базе плоских дискретных экранов (жидкокристаллические, плазменные) должна составлять не менее 4,5 м</w:t>
      </w:r>
      <w:r w:rsidRPr="003F37D9">
        <w:rPr>
          <w:bdr w:val="none" w:sz="0" w:space="0" w:color="auto" w:frame="1"/>
          <w:vertAlign w:val="superscript"/>
          <w:lang w:eastAsia="ru-RU"/>
        </w:rPr>
        <w:t>2</w:t>
      </w:r>
      <w:r w:rsidRPr="003F37D9">
        <w:rPr>
          <w:bdr w:val="none" w:sz="0" w:space="0" w:color="auto" w:frame="1"/>
          <w:lang w:eastAsia="ru-RU"/>
        </w:rPr>
        <w:t>.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lastRenderedPageBreak/>
        <w:t>Для внутренней отделки интерьера помещений, где расположены ПЭВМ, должны использоваться диффузно отражающие материалы с коэффициентом отражения для потолка - 0,7 - 0,8; для стен - 0,5 - 0,6; для пола - 0,3 - 0,5.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rPr>
          <w:bdr w:val="none" w:sz="0" w:space="0" w:color="auto" w:frame="1"/>
          <w:lang w:eastAsia="ru-RU"/>
        </w:rPr>
        <w:t xml:space="preserve">Помещения, где размещаются рабочие места с ПЭВМ, должны быть оборудованы защитным заземлением в соответствии с техническими требованиями по эксплуатации </w:t>
      </w:r>
      <w:r w:rsidR="005E4157">
        <w:rPr>
          <w:bdr w:val="none" w:sz="0" w:space="0" w:color="auto" w:frame="1"/>
          <w:lang w:eastAsia="ru-RU"/>
        </w:rPr>
        <w:t>[10]</w:t>
      </w:r>
      <w:r w:rsidRPr="003F37D9">
        <w:rPr>
          <w:bdr w:val="none" w:sz="0" w:space="0" w:color="auto" w:frame="1"/>
          <w:lang w:eastAsia="ru-RU"/>
        </w:rPr>
        <w:t>.</w:t>
      </w:r>
    </w:p>
    <w:p w:rsidR="00FA67C7" w:rsidRPr="00A27D41" w:rsidRDefault="00FA67C7" w:rsidP="001B71B3">
      <w:pPr>
        <w:pStyle w:val="3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.2.2. Основные требования к воздействию вредных факторов</w:t>
      </w:r>
    </w:p>
    <w:p w:rsidR="00FA67C7" w:rsidRPr="003F37D9" w:rsidRDefault="00FA67C7" w:rsidP="001B71B3">
      <w:pPr>
        <w:ind w:firstLine="851"/>
        <w:contextualSpacing/>
      </w:pPr>
      <w:r w:rsidRPr="003F37D9">
        <w:t>Основными устройствами, используемые для выполнения данного проекта, являются ПЭВМ, видео</w:t>
      </w:r>
      <w:r w:rsidR="001202BA">
        <w:t xml:space="preserve"> - </w:t>
      </w:r>
      <w:r w:rsidRPr="003F37D9">
        <w:t xml:space="preserve">дисплейный терминал (ВДТ) на базе жидкокристаллического экрана, сетевое устройство (маршрутизатор). Среди факторов, подлежащих контролю при работе с вышеперечисленными устройствами, выделим следующие: 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>уровень шума и вибрации;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rPr>
          <w:kern w:val="36"/>
          <w:bdr w:val="none" w:sz="0" w:space="0" w:color="auto" w:frame="1"/>
          <w:lang w:eastAsia="ru-RU"/>
        </w:rPr>
        <w:t>микроклимат, содержание вредных химических веществ в воздухе;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 xml:space="preserve">уровень электромагнитных полей (ЭМП); 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 xml:space="preserve">визуальные показатели ВДТ. </w:t>
      </w:r>
    </w:p>
    <w:p w:rsidR="00FA67C7" w:rsidRPr="003F37D9" w:rsidRDefault="00FA67C7" w:rsidP="001B71B3">
      <w:pPr>
        <w:ind w:firstLine="851"/>
      </w:pPr>
      <w:r w:rsidRPr="003F37D9">
        <w:t xml:space="preserve">Допустимые параметры на указанные факторы описаны в приложениях к СанПин 2.2.2/2.4.1340-03 и кратко представлены ниже. </w:t>
      </w:r>
    </w:p>
    <w:p w:rsidR="001202BA" w:rsidRDefault="00FA67C7" w:rsidP="001202BA">
      <w:pPr>
        <w:ind w:firstLine="851"/>
        <w:rPr>
          <w:sz w:val="20"/>
          <w:szCs w:val="20"/>
          <w:lang w:eastAsia="ru-RU"/>
        </w:rPr>
      </w:pPr>
      <w:r w:rsidRPr="003F37D9">
        <w:t xml:space="preserve">Требования к уровню акустического шума описаны в разделе 5 СанПин 2.2.2/2.4.1340-03. Для рабочих помещений эквивалентный уровень звука не должен превышать 60 дБА, а максимальный уровень звука не должен превышать 70 дБА. </w:t>
      </w:r>
      <w:r w:rsidRPr="003F37D9">
        <w:rPr>
          <w:bdr w:val="none" w:sz="0" w:space="0" w:color="auto" w:frame="1"/>
          <w:lang w:eastAsia="ru-RU"/>
        </w:rPr>
        <w:t xml:space="preserve">При выполнении работ с использованием ПЭВМ уровень вибрации не должен превышать допустимых значений для жилых и общественных зданий в соответствии с действующими санитарно-эпидемиологическими нормативами. Шумящее оборудование (печатающие устройства, серверы и т.п.), уровни шума которого превышают нормативные, должно размещаться вне помещений с ПЭВМ </w:t>
      </w:r>
      <w:r w:rsidR="005E4157">
        <w:rPr>
          <w:bdr w:val="none" w:sz="0" w:space="0" w:color="auto" w:frame="1"/>
          <w:lang w:eastAsia="ru-RU"/>
        </w:rPr>
        <w:t>[10]</w:t>
      </w:r>
      <w:r w:rsidRPr="003F37D9">
        <w:rPr>
          <w:bdr w:val="none" w:sz="0" w:space="0" w:color="auto" w:frame="1"/>
          <w:lang w:eastAsia="ru-RU"/>
        </w:rPr>
        <w:t>.</w:t>
      </w:r>
      <w:r w:rsidR="001202BA">
        <w:rPr>
          <w:sz w:val="20"/>
          <w:szCs w:val="20"/>
          <w:lang w:eastAsia="ru-RU"/>
        </w:rPr>
        <w:t xml:space="preserve"> </w:t>
      </w:r>
    </w:p>
    <w:p w:rsidR="00FA67C7" w:rsidRPr="003F37D9" w:rsidRDefault="00FA67C7" w:rsidP="001202BA">
      <w:pPr>
        <w:ind w:firstLine="851"/>
        <w:rPr>
          <w:sz w:val="20"/>
          <w:szCs w:val="20"/>
          <w:lang w:eastAsia="ru-RU"/>
        </w:rPr>
      </w:pPr>
      <w:r w:rsidRPr="003F37D9">
        <w:lastRenderedPageBreak/>
        <w:t xml:space="preserve">Требования к </w:t>
      </w:r>
      <w:bookmarkStart w:id="1" w:name="i48286"/>
      <w:r w:rsidRPr="003F37D9">
        <w:rPr>
          <w:bdr w:val="none" w:sz="0" w:space="0" w:color="auto" w:frame="1"/>
        </w:rPr>
        <w:t>микроклимату, содержанию аэроионов и вредных химических веществ в воздухе на рабочих местах</w:t>
      </w:r>
      <w:bookmarkEnd w:id="1"/>
      <w:r w:rsidRPr="003F37D9">
        <w:t xml:space="preserve"> описаны в разделе 4 СанПин 2.2.2/2.4.1340-03. </w:t>
      </w:r>
      <w:r w:rsidRPr="003F37D9">
        <w:rPr>
          <w:bdr w:val="none" w:sz="0" w:space="0" w:color="auto" w:frame="1"/>
        </w:rPr>
        <w:t>В рабочих помещениях всех типов должны обеспечиваться оптимальные п</w:t>
      </w:r>
      <w:r w:rsidR="001202BA">
        <w:rPr>
          <w:bdr w:val="none" w:sz="0" w:space="0" w:color="auto" w:frame="1"/>
        </w:rPr>
        <w:t>араметры микроклимата (таблица 5</w:t>
      </w:r>
      <w:r w:rsidRPr="003F37D9">
        <w:rPr>
          <w:bdr w:val="none" w:sz="0" w:space="0" w:color="auto" w:frame="1"/>
        </w:rPr>
        <w:t>.1).</w:t>
      </w:r>
    </w:p>
    <w:p w:rsidR="00FA67C7" w:rsidRPr="003F37D9" w:rsidRDefault="00FA67C7" w:rsidP="001B71B3">
      <w:pPr>
        <w:ind w:firstLine="851"/>
        <w:rPr>
          <w:bdr w:val="none" w:sz="0" w:space="0" w:color="auto" w:frame="1"/>
        </w:rPr>
      </w:pPr>
      <w:r w:rsidRPr="003F37D9">
        <w:rPr>
          <w:bdr w:val="none" w:sz="0" w:space="0" w:color="auto" w:frame="1"/>
        </w:rPr>
        <w:t>В помещениях, оборудованных ПЭВМ, должна проводиться ежедневная влажная уборка и систематическое проветривание после каждого часа работы на ПЭВМ.</w:t>
      </w:r>
      <w:r w:rsidRPr="003F37D9">
        <w:rPr>
          <w:sz w:val="20"/>
          <w:szCs w:val="20"/>
        </w:rPr>
        <w:t xml:space="preserve"> </w:t>
      </w:r>
      <w:r w:rsidRPr="003F37D9">
        <w:rPr>
          <w:bdr w:val="none" w:sz="0" w:space="0" w:color="auto" w:frame="1"/>
        </w:rPr>
        <w:t>Уровни положительных и отрицательных аэроионов в воздухе помещений, где расположены ПЭВМ, должны соответствовать действующим санитарно-эпидемиологическим нормативам</w:t>
      </w:r>
      <w:r w:rsidRPr="003F37D9">
        <w:rPr>
          <w:bdr w:val="none" w:sz="0" w:space="0" w:color="auto" w:frame="1"/>
          <w:lang w:eastAsia="ru-RU"/>
        </w:rPr>
        <w:t xml:space="preserve"> </w:t>
      </w:r>
      <w:r w:rsidR="005E4157">
        <w:rPr>
          <w:bdr w:val="none" w:sz="0" w:space="0" w:color="auto" w:frame="1"/>
          <w:lang w:eastAsia="ru-RU"/>
        </w:rPr>
        <w:t>[10]</w:t>
      </w:r>
      <w:r w:rsidRPr="003F37D9">
        <w:rPr>
          <w:bdr w:val="none" w:sz="0" w:space="0" w:color="auto" w:frame="1"/>
        </w:rPr>
        <w:t>.</w:t>
      </w:r>
    </w:p>
    <w:p w:rsidR="00FA67C7" w:rsidRPr="003F37D9" w:rsidRDefault="001202BA" w:rsidP="001B71B3">
      <w:pPr>
        <w:ind w:firstLine="851"/>
      </w:pPr>
      <w:r>
        <w:t>В таблице 5</w:t>
      </w:r>
      <w:r w:rsidR="00FA67C7" w:rsidRPr="003F37D9">
        <w:t xml:space="preserve">.1. представлены оптимальные параметры микроклимата для категории работ </w:t>
      </w:r>
      <w:r w:rsidR="00FA67C7" w:rsidRPr="003F37D9">
        <w:rPr>
          <w:lang w:val="en-US"/>
        </w:rPr>
        <w:t>Ia</w:t>
      </w:r>
      <w:r w:rsidR="00FA67C7" w:rsidRPr="003F37D9">
        <w:t xml:space="preserve"> (с интенсивностью энерготрат до 120 ккал/ч (до 139 Вт), производимые сидя и сопровождающиеся незначительным физическим напряжением) для холодного и теплового периодов года соответственно </w:t>
      </w:r>
      <w:r w:rsidR="005E4157">
        <w:t>[17]</w:t>
      </w:r>
      <w:r w:rsidR="00FA67C7" w:rsidRPr="003F37D9">
        <w:t>.</w:t>
      </w:r>
    </w:p>
    <w:p w:rsidR="00FA67C7" w:rsidRPr="003F37D9" w:rsidRDefault="001202BA" w:rsidP="001B71B3">
      <w:pPr>
        <w:spacing w:before="120" w:after="120"/>
        <w:ind w:firstLine="851"/>
        <w:rPr>
          <w:bdr w:val="none" w:sz="0" w:space="0" w:color="auto" w:frame="1"/>
          <w:shd w:val="clear" w:color="auto" w:fill="FFFFFF"/>
        </w:rPr>
      </w:pPr>
      <w:r>
        <w:t>Таблица 5</w:t>
      </w:r>
      <w:r w:rsidR="00FA67C7" w:rsidRPr="003F37D9">
        <w:t xml:space="preserve">.1 – </w:t>
      </w:r>
      <w:r w:rsidR="00FA67C7" w:rsidRPr="003F37D9">
        <w:rPr>
          <w:bdr w:val="none" w:sz="0" w:space="0" w:color="auto" w:frame="1"/>
          <w:shd w:val="clear" w:color="auto" w:fill="FFFFFF"/>
        </w:rPr>
        <w:t>Оптимальные параметры микроклимата</w:t>
      </w:r>
    </w:p>
    <w:tbl>
      <w:tblPr>
        <w:tblStyle w:val="aa"/>
        <w:tblW w:w="4834" w:type="pct"/>
        <w:jc w:val="center"/>
        <w:tblLook w:val="04A0"/>
      </w:tblPr>
      <w:tblGrid>
        <w:gridCol w:w="2049"/>
        <w:gridCol w:w="2552"/>
        <w:gridCol w:w="2403"/>
        <w:gridCol w:w="2797"/>
      </w:tblGrid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Температура воздуха, °C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Температура поверхностей, °C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Относительная влажность, %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Скорость движения воздуха, м/с</w:t>
            </w:r>
          </w:p>
        </w:tc>
      </w:tr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22 - 24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21 - 25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0,1</w:t>
            </w:r>
          </w:p>
        </w:tc>
      </w:tr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23 - 25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22 - 26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0,1</w:t>
            </w:r>
          </w:p>
        </w:tc>
      </w:tr>
    </w:tbl>
    <w:p w:rsidR="001202BA" w:rsidRDefault="001202BA" w:rsidP="001202BA">
      <w:pPr>
        <w:ind w:firstLine="0"/>
        <w:rPr>
          <w:shd w:val="clear" w:color="auto" w:fill="FFFFFF"/>
        </w:rPr>
      </w:pPr>
      <w:bookmarkStart w:id="2" w:name="i505990"/>
    </w:p>
    <w:p w:rsidR="00E339CB" w:rsidRDefault="00E339CB" w:rsidP="001B71B3">
      <w:pPr>
        <w:ind w:firstLine="851"/>
        <w:rPr>
          <w:shd w:val="clear" w:color="auto" w:fill="FFFFFF"/>
        </w:rPr>
      </w:pPr>
    </w:p>
    <w:p w:rsidR="00FA67C7" w:rsidRPr="003F37D9" w:rsidRDefault="00FA67C7" w:rsidP="001B71B3">
      <w:p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Предельно допустимые значения визуальных параметров ВДТ, контролируемые на рабочих </w:t>
      </w:r>
      <w:r w:rsidR="001202BA">
        <w:rPr>
          <w:shd w:val="clear" w:color="auto" w:fill="FFFFFF"/>
        </w:rPr>
        <w:t>местах, представлены в таблице 5.2</w:t>
      </w:r>
      <w:r w:rsidRPr="003F37D9">
        <w:rPr>
          <w:shd w:val="clear" w:color="auto" w:fill="FFFFFF"/>
        </w:rPr>
        <w:t>.</w:t>
      </w:r>
    </w:p>
    <w:p w:rsidR="00FA67C7" w:rsidRPr="003F37D9" w:rsidRDefault="001202BA" w:rsidP="001202BA">
      <w:pPr>
        <w:shd w:val="clear" w:color="auto" w:fill="FFFFFF"/>
        <w:spacing w:before="120" w:after="120" w:line="210" w:lineRule="atLeast"/>
        <w:ind w:firstLine="851"/>
        <w:rPr>
          <w:lang w:eastAsia="ru-RU"/>
        </w:rPr>
      </w:pPr>
      <w:r>
        <w:t>Таблица 5.2</w:t>
      </w:r>
      <w:r w:rsidR="00FA67C7" w:rsidRPr="003F37D9">
        <w:t xml:space="preserve"> –</w:t>
      </w:r>
      <w:r w:rsidR="00FA67C7" w:rsidRPr="003F37D9">
        <w:rPr>
          <w:b/>
          <w:bCs/>
          <w:bdr w:val="none" w:sz="0" w:space="0" w:color="auto" w:frame="1"/>
        </w:rPr>
        <w:t xml:space="preserve"> </w:t>
      </w:r>
      <w:r w:rsidR="00FA67C7" w:rsidRPr="003F37D9">
        <w:rPr>
          <w:lang w:eastAsia="ru-RU"/>
        </w:rPr>
        <w:t>Визуальные параметры ВДТ на рабочих местах</w:t>
      </w:r>
    </w:p>
    <w:p w:rsidR="00FA67C7" w:rsidRPr="003F37D9" w:rsidRDefault="00FA67C7" w:rsidP="001B71B3">
      <w:pPr>
        <w:shd w:val="clear" w:color="auto" w:fill="FFFFFF"/>
        <w:spacing w:line="210" w:lineRule="atLeast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0"/>
        <w:gridCol w:w="5692"/>
        <w:gridCol w:w="3016"/>
      </w:tblGrid>
      <w:tr w:rsidR="00FA67C7" w:rsidRPr="003F37D9" w:rsidTr="001202BA">
        <w:trPr>
          <w:trHeight w:val="468"/>
          <w:tblHeader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0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Параметры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0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Допустимые значения</w:t>
            </w:r>
          </w:p>
        </w:tc>
      </w:tr>
      <w:tr w:rsidR="00FA67C7" w:rsidRPr="003F37D9" w:rsidTr="001202BA">
        <w:trPr>
          <w:trHeight w:val="952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Яркость белого поля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vertAlign w:val="superscript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35 кд/м</w:t>
            </w:r>
            <w:r w:rsidRPr="003F37D9">
              <w:rPr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</w:tr>
      <w:tr w:rsidR="00FA67C7" w:rsidRPr="003F37D9" w:rsidTr="001202BA">
        <w:trPr>
          <w:trHeight w:val="934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Неравномерность яркости рабочего поля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Не более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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>20 %</w:t>
            </w:r>
          </w:p>
        </w:tc>
      </w:tr>
      <w:tr w:rsidR="00FA67C7" w:rsidRPr="003F37D9" w:rsidTr="001202BA">
        <w:trPr>
          <w:trHeight w:val="495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lastRenderedPageBreak/>
              <w:t>3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3:1</w:t>
            </w:r>
          </w:p>
        </w:tc>
      </w:tr>
      <w:tr w:rsidR="00FA67C7" w:rsidRPr="003F37D9" w:rsidTr="001202BA">
        <w:trPr>
          <w:trHeight w:val="141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Временная нестабильность изображения (мелькание)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должна фиксироваться</w:t>
            </w:r>
          </w:p>
        </w:tc>
      </w:tr>
      <w:tr w:rsidR="00FA67C7" w:rsidRPr="003F37D9" w:rsidTr="001202BA">
        <w:trPr>
          <w:trHeight w:val="141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ind w:firstLine="0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        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Не более 2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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>10</w:t>
            </w:r>
            <w:r w:rsidR="00FA67C7" w:rsidRPr="003F37D9">
              <w:rPr>
                <w:bdr w:val="none" w:sz="0" w:space="0" w:color="auto" w:frame="1"/>
                <w:vertAlign w:val="superscript"/>
                <w:lang w:eastAsia="ru-RU"/>
              </w:rPr>
              <w:t>-4</w:t>
            </w:r>
            <w:r w:rsidR="00FA67C7" w:rsidRPr="003F37D9">
              <w:rPr>
                <w:bdr w:val="none" w:sz="0" w:space="0" w:color="auto" w:frame="1"/>
                <w:vertAlign w:val="superscript"/>
                <w:lang w:val="en-US" w:eastAsia="ru-RU"/>
              </w:rPr>
              <w:t>L</w:t>
            </w:r>
            <w:r w:rsidR="00FA67C7" w:rsidRPr="003F37D9">
              <w:rPr>
                <w:bdr w:val="none" w:sz="0" w:space="0" w:color="auto" w:frame="1"/>
                <w:lang w:eastAsia="ru-RU"/>
              </w:rPr>
              <w:t>, L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>- проектное расстояние наблюдения, мм</w:t>
            </w:r>
          </w:p>
        </w:tc>
      </w:tr>
    </w:tbl>
    <w:p w:rsidR="00FA67C7" w:rsidRPr="003F37D9" w:rsidRDefault="00FA67C7" w:rsidP="001B71B3">
      <w:pPr>
        <w:ind w:firstLine="851"/>
      </w:pPr>
    </w:p>
    <w:p w:rsidR="00FA67C7" w:rsidRPr="003F37D9" w:rsidRDefault="00FA67C7" w:rsidP="001B71B3">
      <w:pPr>
        <w:ind w:firstLine="851"/>
      </w:pPr>
      <w:r w:rsidRPr="003F37D9">
        <w:t>В справочном приложении 12 к СанПин 2.2.2/2.4.1340-03</w:t>
      </w:r>
      <w:bookmarkEnd w:id="2"/>
      <w:r w:rsidRPr="003F37D9">
        <w:t xml:space="preserve"> описаны </w:t>
      </w:r>
      <w:bookmarkStart w:id="3" w:name="i513315"/>
      <w:r w:rsidRPr="003F37D9">
        <w:t>средства защиты от излучений оптического диапазона и электромагнитных полей ПЭВМ, среди которых</w:t>
      </w:r>
      <w:bookmarkEnd w:id="3"/>
      <w:r w:rsidR="0017256C">
        <w:t>: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приэкранные защитные фильтры для видеомониторов;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нейтрализаторы электрических полей промышленной частоты;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spacing w:after="100" w:afterAutospacing="1"/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очки защитные со спектральными фильтрами ЛС и НСФ, разрешенные Минздравом России для работы с ПЭВМ.</w:t>
      </w:r>
    </w:p>
    <w:p w:rsidR="00FA67C7" w:rsidRPr="00A27D41" w:rsidRDefault="00FA67C7" w:rsidP="001B71B3">
      <w:pPr>
        <w:pStyle w:val="3"/>
        <w:spacing w:after="100" w:afterAutospacing="1"/>
        <w:ind w:firstLine="851"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.2.3. Основные требования к эргономике и психологии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Рабочее место необходимо организовать таким образом, чтобы оно отвечало всем требованиям к эргономике и не доставляло никаких неудобств в процессе работы. </w:t>
      </w:r>
    </w:p>
    <w:p w:rsidR="00FA67C7" w:rsidRPr="003F37D9" w:rsidRDefault="00FA67C7" w:rsidP="001B71B3">
      <w:pPr>
        <w:ind w:firstLine="851"/>
        <w:contextualSpacing/>
      </w:pPr>
      <w:r w:rsidRPr="003F37D9">
        <w:t>Конструкция рабочего стола должна обеспечивать оптимальное размещение всех элементов оборудования с учетом их конструктивных особенностей</w:t>
      </w:r>
      <w:r w:rsidRPr="003F37D9">
        <w:rPr>
          <w:bdr w:val="none" w:sz="0" w:space="0" w:color="auto" w:frame="1"/>
          <w:lang w:eastAsia="ru-RU"/>
        </w:rPr>
        <w:t>, а также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0,5 - 0,7</w:t>
      </w:r>
      <w:r w:rsidRPr="003F37D9">
        <w:t xml:space="preserve">. 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lastRenderedPageBreak/>
        <w:t>Клавиатуру следует располагать на поверхности стола на расстоянии 10 – 30 см от края, обращенного к пользователю, или на специальной поверхности, отделенной от основной столешницы. Во время работы с клавиатурой кисти рук должны быть максимально распрямлены. Локти должны быть расположены как можно ближе к телу. Нужно сидеть, опираясь на спинку кресла, шея должна быть выпрямлена. Рабочее место должно быть оборудовано пюпит</w:t>
      </w:r>
      <w:r w:rsidR="00514DD6">
        <w:t>ром и подставкой для ног (рис. 5</w:t>
      </w:r>
      <w:r w:rsidRPr="003F37D9">
        <w:t xml:space="preserve">.1). </w:t>
      </w:r>
    </w:p>
    <w:p w:rsidR="00FA67C7" w:rsidRPr="003F37D9" w:rsidRDefault="00FA67C7" w:rsidP="001B71B3">
      <w:pPr>
        <w:ind w:firstLine="851"/>
      </w:pPr>
      <w:r w:rsidRPr="003F37D9">
        <w:t xml:space="preserve">Конструкция кресла должна обеспечивать поддержание рациональной рабочей позы, а также позволять изменять позу с целью снижения статического напряжения мышц шейно-плечевой области и спины для предупреждения развития утомления. Кресло должно быть подъемно-поворотным и регулируемым по высоте, углам наклона спинки и сиденья, расстоянию спинки от переднего края сиденья. 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t xml:space="preserve"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 </w:t>
      </w:r>
      <w:r w:rsidR="005E4157">
        <w:rPr>
          <w:bdr w:val="none" w:sz="0" w:space="0" w:color="auto" w:frame="1"/>
          <w:lang w:eastAsia="ru-RU"/>
        </w:rPr>
        <w:t>[11]</w:t>
      </w:r>
      <w:r w:rsidRPr="003F37D9">
        <w:rPr>
          <w:bdr w:val="none" w:sz="0" w:space="0" w:color="auto" w:frame="1"/>
          <w:lang w:eastAsia="ru-RU"/>
        </w:rPr>
        <w:t>.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t>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FA67C7" w:rsidRPr="003F37D9" w:rsidRDefault="00FA67C7" w:rsidP="001B71B3">
      <w:pPr>
        <w:ind w:firstLine="851"/>
      </w:pPr>
      <w:r w:rsidRPr="003F37D9">
        <w:t xml:space="preserve">Для предупреждения развития переутомления при работе на ПК необходимо устройство перерывов длительностью не менее 15 мин. после каждых 45 мин. работы. </w:t>
      </w:r>
    </w:p>
    <w:p w:rsidR="00FA67C7" w:rsidRPr="003F37D9" w:rsidRDefault="00FA67C7" w:rsidP="001B71B3">
      <w:pPr>
        <w:ind w:firstLine="851"/>
      </w:pPr>
    </w:p>
    <w:p w:rsidR="00FA67C7" w:rsidRPr="003F37D9" w:rsidRDefault="00FA67C7" w:rsidP="001B71B3">
      <w:pPr>
        <w:ind w:firstLine="851"/>
        <w:jc w:val="center"/>
      </w:pPr>
      <w:r w:rsidRPr="003F37D9">
        <w:rPr>
          <w:noProof/>
          <w:lang w:eastAsia="ru-RU"/>
        </w:rPr>
        <w:lastRenderedPageBreak/>
        <w:drawing>
          <wp:inline distT="0" distB="0" distL="0" distR="0">
            <wp:extent cx="3819525" cy="4086225"/>
            <wp:effectExtent l="19050" t="0" r="9525" b="0"/>
            <wp:docPr id="3" name="Рисунок 1" descr="http://edu.dvgups.ru/METDOC/ENF/BGD/PTB/LEK/3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BGD/PTB/LEK/3.files/image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14DD6" w:rsidP="001B71B3">
      <w:pPr>
        <w:ind w:firstLine="851"/>
      </w:pPr>
      <w:r>
        <w:t>Рисунок 5</w:t>
      </w:r>
      <w:r w:rsidR="00FA67C7" w:rsidRPr="003F37D9">
        <w:t xml:space="preserve">.1 – Рекомендуемая организация рабочего места </w:t>
      </w:r>
    </w:p>
    <w:p w:rsidR="00FA67C7" w:rsidRPr="003F37D9" w:rsidRDefault="00FA67C7" w:rsidP="001B71B3">
      <w:pPr>
        <w:ind w:firstLine="851"/>
      </w:pPr>
      <w:r w:rsidRPr="003F37D9">
        <w:t xml:space="preserve">1 – аппарат аэроионной профилактики; </w:t>
      </w:r>
    </w:p>
    <w:p w:rsidR="00FA67C7" w:rsidRPr="003F37D9" w:rsidRDefault="00FA67C7" w:rsidP="001B71B3">
      <w:pPr>
        <w:ind w:firstLine="851"/>
      </w:pPr>
      <w:r w:rsidRPr="003F37D9">
        <w:t xml:space="preserve">2 – рабочее кресло; </w:t>
      </w:r>
    </w:p>
    <w:p w:rsidR="00FA67C7" w:rsidRPr="003F37D9" w:rsidRDefault="00FA67C7" w:rsidP="001B71B3">
      <w:pPr>
        <w:ind w:firstLine="851"/>
      </w:pPr>
      <w:r w:rsidRPr="003F37D9">
        <w:t xml:space="preserve">3 – подставка под кисти рук; </w:t>
      </w:r>
    </w:p>
    <w:p w:rsidR="00FA67C7" w:rsidRPr="003F37D9" w:rsidRDefault="00FA67C7" w:rsidP="001B71B3">
      <w:pPr>
        <w:ind w:firstLine="851"/>
      </w:pPr>
      <w:r w:rsidRPr="003F37D9">
        <w:t xml:space="preserve">4 – подставка под документы (пюпитр); </w:t>
      </w:r>
    </w:p>
    <w:p w:rsidR="00FA67C7" w:rsidRPr="003F37D9" w:rsidRDefault="00FA67C7" w:rsidP="001B71B3">
      <w:pPr>
        <w:ind w:firstLine="851"/>
      </w:pPr>
      <w:r w:rsidRPr="003F37D9">
        <w:t xml:space="preserve">5 – регулируемая по высоте подставка для ног; </w:t>
      </w:r>
    </w:p>
    <w:p w:rsidR="00FA67C7" w:rsidRPr="003F37D9" w:rsidRDefault="00FA67C7" w:rsidP="001B71B3">
      <w:pPr>
        <w:ind w:firstLine="851"/>
      </w:pPr>
      <w:r w:rsidRPr="003F37D9">
        <w:t xml:space="preserve">6 – заземленная панель питания. </w:t>
      </w:r>
    </w:p>
    <w:p w:rsidR="00FA67C7" w:rsidRPr="003F37D9" w:rsidRDefault="00FA67C7" w:rsidP="001B71B3">
      <w:pPr>
        <w:ind w:firstLine="851"/>
      </w:pPr>
      <w:r w:rsidRPr="003F37D9">
        <w:t xml:space="preserve">Во время перерывов необходимо выполнять сквозное проветривание помещения при обязательном выходе работника из него; упражнения физкультурной паузы и упражнения для глаз. При появлении начальных признаков усталости индивидуально выполнять упражнения для снятия локального утомления.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Конструкция ПЭВМ должна обеспечивать возможность поворота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мягкие тона с диффузным рассеиванием </w:t>
      </w:r>
      <w:r w:rsidRPr="003F37D9">
        <w:lastRenderedPageBreak/>
        <w:t xml:space="preserve">света, все блоки устройства ПЭВМ должны иметь матовую поверхность и не иметь деталей, способных создавать блики. Конструкция ВДТ должна предусматривать регулирование яркости и контрастности </w:t>
      </w:r>
      <w:r w:rsidR="005E4157">
        <w:t>[12]</w:t>
      </w:r>
      <w:r w:rsidRPr="003F37D9">
        <w:t xml:space="preserve">. 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 xml:space="preserve">.3. Расчет системы искусственного освещения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Основным методом защиты зрения инженера во время работы, способствующим повышению безопасности труда и эффективности работы, является правильно спланированная и выполненная система освещения производственных помещений. В данной части приведен анализ рабочего помещения, в котором проводилась работа над дипломным проектом, и расчет требуемой системы освещения. </w:t>
      </w:r>
    </w:p>
    <w:p w:rsidR="00FA67C7" w:rsidRPr="003F37D9" w:rsidRDefault="00FA67C7" w:rsidP="001B71B3">
      <w:pPr>
        <w:ind w:firstLine="851"/>
      </w:pPr>
      <w:r w:rsidRPr="003F37D9">
        <w:t>Для выполнения данной работы было спроектировано рабочее помещение, которое представляет собой аудит</w:t>
      </w:r>
      <w:r w:rsidR="005A1726">
        <w:t>орию размера Ш x Д x В – 4 x 5</w:t>
      </w:r>
      <w:r w:rsidRPr="003F37D9">
        <w:t xml:space="preserve"> x 2,8 </w:t>
      </w:r>
      <w:r w:rsidR="005A1726">
        <w:t>(рисунок 5</w:t>
      </w:r>
      <w:r w:rsidRPr="003F37D9">
        <w:t xml:space="preserve">.2). Задачей данного расчета системы искусственного освещения является определение мощности осветительной установки в целом для достижения заданного уровня освещенности на рабочем месте, а также выбор типа и расположения светильников. </w:t>
      </w:r>
    </w:p>
    <w:p w:rsidR="00FA67C7" w:rsidRPr="003F37D9" w:rsidRDefault="00FA67C7" w:rsidP="001B71B3">
      <w:pPr>
        <w:ind w:firstLine="851"/>
      </w:pPr>
      <w:r w:rsidRPr="003F37D9">
        <w:t xml:space="preserve">Расчет системы освещения в помещении произведен с использованием бесплатной программы проектирования и расчета освещения </w:t>
      </w:r>
      <w:r w:rsidRPr="003F37D9">
        <w:rPr>
          <w:i/>
          <w:lang w:val="en-US"/>
        </w:rPr>
        <w:t>DiaLux</w:t>
      </w:r>
      <w:r w:rsidRPr="003F37D9">
        <w:t>. Описана методика расчета системы и приведены изолюксы на потолке и расположение ламп.</w:t>
      </w:r>
    </w:p>
    <w:p w:rsidR="00FA67C7" w:rsidRPr="003F37D9" w:rsidRDefault="00FA67C7" w:rsidP="001B71B3">
      <w:pPr>
        <w:ind w:firstLine="851"/>
      </w:pPr>
      <w:r w:rsidRPr="003F37D9">
        <w:t>В расчётном задании должны быть рассмотрены следующие вопросы: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системы освещения;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источников света;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светильников и их размещение;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нормируемой освещённости;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расчет системы искусственного освещения.</w:t>
      </w:r>
    </w:p>
    <w:p w:rsidR="00FA67C7" w:rsidRPr="003F37D9" w:rsidRDefault="00FA67C7" w:rsidP="001B71B3">
      <w:pPr>
        <w:ind w:firstLine="851"/>
        <w:jc w:val="center"/>
      </w:pPr>
    </w:p>
    <w:p w:rsidR="00FA67C7" w:rsidRPr="003F37D9" w:rsidRDefault="00EF443D" w:rsidP="001B71B3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39491" cy="5199808"/>
            <wp:effectExtent l="0" t="0" r="8890" b="1270"/>
            <wp:docPr id="1" name="Рисунок 1" descr="C:\Users\Filatov\Desktop\Диплом\Диплом мой\Экология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atov\Desktop\Диплом\Диплом мой\Экология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09" cy="51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A1726" w:rsidP="001B71B3">
      <w:pPr>
        <w:ind w:firstLine="851"/>
        <w:jc w:val="center"/>
      </w:pPr>
      <w:r>
        <w:t>Рисунок 5</w:t>
      </w:r>
      <w:r w:rsidR="00FA67C7" w:rsidRPr="003F37D9">
        <w:t>.2 – План рабочего помещения</w:t>
      </w:r>
    </w:p>
    <w:p w:rsidR="00FA67C7" w:rsidRPr="003F37D9" w:rsidRDefault="00FA67C7" w:rsidP="001B71B3">
      <w:pPr>
        <w:ind w:firstLine="851"/>
      </w:pPr>
      <w:r w:rsidRPr="003F37D9">
        <w:t>Для производственных помещений всех назначений применяются системы общего (равномерного или локализованного) и комбинированного (общего и местного) освещения. Выбор системы проводится с учётом особенностей производственного процесса и размещения технологического оборудования.</w:t>
      </w:r>
    </w:p>
    <w:p w:rsidR="00FA67C7" w:rsidRPr="003F37D9" w:rsidRDefault="00FA67C7" w:rsidP="001B71B3">
      <w:pPr>
        <w:ind w:firstLine="851"/>
      </w:pPr>
      <w:r w:rsidRPr="003F37D9">
        <w:t xml:space="preserve">Для применения в небольших рабочих помещениях, где нет теней на рассматриваемой поверхности (помещение для работы инженеров-разработчиков), рекомендуется система общего равномерного освещения </w:t>
      </w:r>
      <w:r w:rsidR="005E4157">
        <w:t>[13]</w:t>
      </w:r>
      <w:r w:rsidRPr="003F37D9">
        <w:t>.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В системах одного общего освещения офисных помещений, а также для общего освещения в системе комбинированного освещения во всех случаях рекомендуется использовать люминесцентные лампы </w:t>
      </w:r>
      <w:r w:rsidR="005E4157">
        <w:t>[13]</w:t>
      </w:r>
      <w:r w:rsidRPr="003F37D9">
        <w:t xml:space="preserve">. 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lastRenderedPageBreak/>
        <w:t xml:space="preserve">5.3.1 </w:t>
      </w:r>
      <w:r w:rsidRPr="005A1726">
        <w:rPr>
          <w:szCs w:val="28"/>
          <w:lang w:val="ru-RU"/>
        </w:rPr>
        <w:t>Выбор светильников и их размещение</w:t>
      </w:r>
    </w:p>
    <w:p w:rsidR="00FA67C7" w:rsidRPr="005A1726" w:rsidRDefault="00FA67C7" w:rsidP="005A1726">
      <w:pPr>
        <w:pStyle w:val="a8"/>
        <w:spacing w:after="100" w:afterAutospacing="1"/>
        <w:contextualSpacing/>
        <w:rPr>
          <w:lang w:val="ru-RU"/>
        </w:rPr>
      </w:pPr>
      <w:r w:rsidRPr="003F37D9">
        <w:rPr>
          <w:rFonts w:eastAsia="Calibri"/>
        </w:rPr>
        <w:t>Источники света, применяемые для искусственного освещения, делят на две группы – газоразрядные лампы и лампы накаливания.</w:t>
      </w:r>
      <w:r w:rsidRPr="003F37D9">
        <w:t xml:space="preserve"> </w:t>
      </w:r>
      <w:r w:rsidRPr="003F37D9">
        <w:rPr>
          <w:rFonts w:eastAsia="Calibri"/>
        </w:rPr>
        <w:t>Наиболее распространённым</w:t>
      </w:r>
      <w:r w:rsidRPr="003F37D9">
        <w:t xml:space="preserve">и являются люминесцентные лампы </w:t>
      </w:r>
      <w:r w:rsidRPr="003F37D9">
        <w:rPr>
          <w:rFonts w:eastAsia="Calibri"/>
        </w:rPr>
        <w:t>белого цвета (ЛБ).</w:t>
      </w:r>
      <w:r w:rsidRPr="003F37D9">
        <w:t xml:space="preserve"> Для данного помещения с помощью дополнительно устанавливаемых электронных каталогов были выбраны светильники </w:t>
      </w:r>
      <w:r w:rsidR="005A1726" w:rsidRPr="005A1726">
        <w:rPr>
          <w:i/>
          <w:color w:val="000000"/>
          <w:szCs w:val="20"/>
        </w:rPr>
        <w:t>OSRAM 4050300356860 LUM DECO EL/P 13 W</w:t>
      </w:r>
      <w:r w:rsidR="00C464D8">
        <w:rPr>
          <w:i/>
          <w:color w:val="000000"/>
          <w:szCs w:val="20"/>
          <w:lang w:val="ru-RU"/>
        </w:rPr>
        <w:t xml:space="preserve"> </w:t>
      </w:r>
      <w:r w:rsidR="00C464D8" w:rsidRPr="00C464D8">
        <w:rPr>
          <w:color w:val="000000"/>
          <w:szCs w:val="20"/>
          <w:lang w:val="ru-RU"/>
        </w:rPr>
        <w:t xml:space="preserve">с одной газоразрядной лампой мощностью </w:t>
      </w:r>
      <w:r w:rsidR="00C464D8" w:rsidRPr="005E4157">
        <w:rPr>
          <w:color w:val="000000"/>
          <w:szCs w:val="20"/>
          <w:lang w:val="ru-RU"/>
        </w:rPr>
        <w:t xml:space="preserve">13 </w:t>
      </w:r>
      <w:r w:rsidR="00C464D8" w:rsidRPr="00C464D8">
        <w:rPr>
          <w:color w:val="000000"/>
          <w:szCs w:val="20"/>
          <w:lang w:val="ru-RU"/>
        </w:rPr>
        <w:t>ватт</w:t>
      </w:r>
      <w:r w:rsidR="005A1726">
        <w:rPr>
          <w:i/>
          <w:color w:val="000000"/>
          <w:szCs w:val="20"/>
          <w:lang w:val="ru-RU"/>
        </w:rPr>
        <w:t xml:space="preserve">. </w:t>
      </w:r>
      <w:r w:rsidRPr="003F37D9">
        <w:t xml:space="preserve">Такие светильники рекомендуются для нормальных помещений с хорошим отражением потолка и стен и допускаются при умеренной влажности и запыленности. </w:t>
      </w:r>
    </w:p>
    <w:p w:rsidR="00FA67C7" w:rsidRPr="003F37D9" w:rsidRDefault="00FA67C7" w:rsidP="001B71B3">
      <w:pPr>
        <w:pStyle w:val="a8"/>
      </w:pPr>
      <w:r w:rsidRPr="003F37D9">
        <w:t>В зависимости от типа светильников существуют требования к величине наиболее выгодного относительного расстояния между ними:</w:t>
      </w:r>
    </w:p>
    <w:p w:rsidR="00FA67C7" w:rsidRPr="003F37D9" w:rsidRDefault="00FA67C7" w:rsidP="001B71B3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</m:oMath>
      <w:r w:rsidRPr="003F37D9">
        <w:t xml:space="preserve"> – расстояние между соседними светильниками;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 высота подвеса светильника над рабочей поверхностью. </w:t>
      </w:r>
    </w:p>
    <w:p w:rsidR="00FA67C7" w:rsidRPr="003F37D9" w:rsidRDefault="00FA67C7" w:rsidP="001B71B3">
      <w:pPr>
        <w:ind w:firstLine="851"/>
      </w:pPr>
      <w:r w:rsidRPr="003F37D9">
        <w:t xml:space="preserve">При этом различают наиболее выгодное светотехническое расположение светильников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3F37D9">
        <w:t xml:space="preserve">, при котором достигается наибольшая равномерность освещенности по площади помещения, и энергетически наиболее выгодное расположение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3F37D9">
        <w:t xml:space="preserve">, при котором обеспечивается нормируемая освещенность при наименьших энергетических затратах. </w:t>
      </w:r>
    </w:p>
    <w:p w:rsidR="00FA67C7" w:rsidRPr="003F37D9" w:rsidRDefault="005A1726" w:rsidP="001B71B3">
      <w:pPr>
        <w:ind w:firstLine="851"/>
      </w:pPr>
      <w:r>
        <w:t>На рисунке 5.3</w:t>
      </w:r>
      <w:r w:rsidR="00FA67C7" w:rsidRPr="003F37D9">
        <w:t xml:space="preserve"> представлен план расположения светильников, полученный при моделировании заданного помещения с использованием выбранных светильников в программе </w:t>
      </w:r>
      <w:r w:rsidR="00FA67C7" w:rsidRPr="003F37D9">
        <w:rPr>
          <w:i/>
          <w:lang w:val="en-US"/>
        </w:rPr>
        <w:t>Dialux</w:t>
      </w:r>
      <w:r w:rsidR="00FA67C7" w:rsidRPr="003F37D9">
        <w:t xml:space="preserve">. Общее число светильников составляет </w:t>
      </w:r>
      <w:r w:rsidR="00C464D8">
        <w:t>25</w:t>
      </w:r>
      <w:r w:rsidR="00FA67C7" w:rsidRPr="003F37D9">
        <w:t xml:space="preserve"> штук. </w:t>
      </w:r>
    </w:p>
    <w:p w:rsidR="00FA67C7" w:rsidRPr="003F37D9" w:rsidRDefault="00EF443D" w:rsidP="001B71B3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67595" cy="4329780"/>
            <wp:effectExtent l="0" t="0" r="0" b="0"/>
            <wp:docPr id="2" name="Рисунок 2" descr="C:\Users\Filatov\Desktop\Диплом\Диплом мой\Экология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atov\Desktop\Диплом\Диплом мой\Экология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90" cy="43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A1726" w:rsidP="001B71B3">
      <w:pPr>
        <w:spacing w:after="100" w:afterAutospacing="1"/>
        <w:ind w:firstLine="851"/>
        <w:contextualSpacing/>
        <w:jc w:val="center"/>
      </w:pPr>
      <w:r>
        <w:t>Рисунок 5.3</w:t>
      </w:r>
      <w:r w:rsidR="00FA67C7" w:rsidRPr="003F37D9">
        <w:t xml:space="preserve"> – План размещения светильников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t xml:space="preserve">5.3.2 </w:t>
      </w:r>
      <w:r w:rsidRPr="005A1726">
        <w:rPr>
          <w:szCs w:val="28"/>
          <w:lang w:val="ru-RU"/>
        </w:rPr>
        <w:t>Выбор нормируемой освещённости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Основные требования и значения нормируемой освещенности рабочих поверхностей изложены в санитарных нормах и правилах. Нормированная минимальная освещенность (Лк) определяется по таблице 1 разд.5.3 СП 52.13330.2011. Работу инженера-разработчика следует отнести к разряду точных работ (3 разряд зрительной работы, подразряд В). Следовательно, минимальная освещенность должна быть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=300</m:t>
        </m:r>
      </m:oMath>
      <w:r w:rsidRPr="003F37D9">
        <w:rPr>
          <w:rFonts w:eastAsiaTheme="minorEastAsia"/>
        </w:rPr>
        <w:t xml:space="preserve"> Лк</w:t>
      </w:r>
      <w:r w:rsidRPr="003F37D9">
        <w:t xml:space="preserve"> при использовании газоразрядных ламп. Коэффициент запаса, учитывающий уменьшение светового потока лампы в результате загрязнения светильников в процессе эксплуатации (его значение определяется по таблице 3 разд</w:t>
      </w:r>
      <w:bookmarkStart w:id="4" w:name="_GoBack"/>
      <w:bookmarkEnd w:id="4"/>
      <w:r w:rsidRPr="003F37D9">
        <w:t xml:space="preserve">. 5.3 СП 52.13330.2011) в данном случае равен </w:t>
      </w:r>
      <m:oMath>
        <m:r>
          <w:rPr>
            <w:rFonts w:ascii="Cambria Math" w:hAnsi="Cambria Math"/>
          </w:rPr>
          <m:t>k=1,2</m:t>
        </m:r>
      </m:oMath>
      <w:r w:rsidRPr="003F37D9">
        <w:t xml:space="preserve">. 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lastRenderedPageBreak/>
        <w:t xml:space="preserve">5.3.3 </w:t>
      </w:r>
      <w:r w:rsidRPr="005A1726">
        <w:rPr>
          <w:szCs w:val="28"/>
          <w:lang w:val="ru-RU"/>
        </w:rPr>
        <w:t>Расчет системы искусственного освещения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Для определения светового потока каждой лампы используют метод коэффициента использования светового потока. Он пригоден для помещений с равномерным размещением светильников, определения освещенности только на горизонтальной поверхности; при расчете учитывается световой поток, отраженный от стен и потолка. </w:t>
      </w:r>
    </w:p>
    <w:p w:rsidR="00FA67C7" w:rsidRPr="003F37D9" w:rsidRDefault="00FA67C7" w:rsidP="001B71B3">
      <w:pPr>
        <w:ind w:firstLine="851"/>
      </w:pPr>
      <w:r w:rsidRPr="003F37D9">
        <w:t>Световой поток двух ламп светильника рассчитывается по формуле:</w:t>
      </w:r>
    </w:p>
    <w:p w:rsidR="00FA67C7" w:rsidRPr="003F37D9" w:rsidRDefault="00FA67C7" w:rsidP="001B71B3">
      <w:pPr>
        <w:ind w:firstLine="851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∙S∙k∙z</m:t>
              </m:r>
            </m:num>
            <m:den>
              <m:r>
                <w:rPr>
                  <w:rFonts w:ascii="Cambria Math" w:hAnsi="Cambria Math"/>
                </w:rPr>
                <m:t>η∙N</m:t>
              </m:r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3F37D9">
        <w:rPr>
          <w:rFonts w:eastAsiaTheme="minorEastAsia"/>
        </w:rPr>
        <w:t xml:space="preserve"> </w:t>
      </w:r>
      <w:r w:rsidRPr="003F37D9">
        <w:t xml:space="preserve">– выбранная нормируемая освещенность, Лк; </w:t>
      </w:r>
      <m:oMath>
        <m:r>
          <w:rPr>
            <w:rFonts w:ascii="Cambria Math" w:hAnsi="Cambria Math"/>
          </w:rPr>
          <m:t>S</m:t>
        </m:r>
      </m:oMath>
      <w:r w:rsidRPr="003F37D9">
        <w:t xml:space="preserve"> – площадь помещения,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F37D9">
        <w:t xml:space="preserve">; </w:t>
      </w:r>
      <m:oMath>
        <m:r>
          <w:rPr>
            <w:rFonts w:ascii="Cambria Math" w:hAnsi="Cambria Math"/>
          </w:rPr>
          <m:t>k</m:t>
        </m:r>
      </m:oMath>
      <w:r w:rsidRPr="003F37D9">
        <w:t xml:space="preserve"> – коэффициент запаса; </w:t>
      </w:r>
      <m:oMath>
        <m:r>
          <w:rPr>
            <w:rFonts w:ascii="Cambria Math" w:hAnsi="Cambria Math"/>
          </w:rPr>
          <m:t>z</m:t>
        </m:r>
      </m:oMath>
      <w:r w:rsidRPr="003F37D9">
        <w:t xml:space="preserve"> – отношение средней освещенности к минимальной (</w:t>
      </w:r>
      <m:oMath>
        <m:r>
          <w:rPr>
            <w:rFonts w:ascii="Cambria Math" w:hAnsi="Cambria Math"/>
          </w:rPr>
          <m:t>z=1,1-1,15</m:t>
        </m:r>
      </m:oMath>
      <w:r w:rsidRPr="003F37D9">
        <w:t xml:space="preserve">); </w:t>
      </w:r>
      <m:oMath>
        <m:r>
          <w:rPr>
            <w:rFonts w:ascii="Cambria Math" w:hAnsi="Cambria Math"/>
          </w:rPr>
          <m:t>N</m:t>
        </m:r>
      </m:oMath>
      <w:r w:rsidRPr="003F37D9">
        <w:t xml:space="preserve"> – число светильн</w:t>
      </w:r>
      <w:r w:rsidR="001510CF">
        <w:t>иков (25</w:t>
      </w:r>
      <w:r w:rsidRPr="003F37D9">
        <w:t xml:space="preserve"> шт.); </w:t>
      </w:r>
      <m:oMath>
        <m:r>
          <w:rPr>
            <w:rFonts w:ascii="Cambria Math" w:hAnsi="Cambria Math"/>
          </w:rPr>
          <m:t>η</m:t>
        </m:r>
      </m:oMath>
      <w:r w:rsidRPr="003F37D9">
        <w:t xml:space="preserve"> – коэффициент использования светового потока ламп, зависящий от типа светильника, коэффициентов отражения потолка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3F37D9">
        <w:t xml:space="preserve"> и стен</w:t>
      </w:r>
      <w:r w:rsidRPr="003F37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3F37D9">
        <w:t xml:space="preserve"> и индекса помещения </w:t>
      </w:r>
      <m:oMath>
        <m:r>
          <w:rPr>
            <w:rFonts w:ascii="Cambria Math" w:hAnsi="Cambria Math"/>
          </w:rPr>
          <m:t>i</m:t>
        </m:r>
      </m:oMath>
      <w:r w:rsidRPr="003F37D9">
        <w:t xml:space="preserve">. </w:t>
      </w:r>
    </w:p>
    <w:p w:rsidR="00FA67C7" w:rsidRPr="003F37D9" w:rsidRDefault="00FA67C7" w:rsidP="001B71B3">
      <w:pPr>
        <w:ind w:firstLine="851"/>
      </w:pPr>
      <w:r w:rsidRPr="003F37D9">
        <w:t>Индекс помещения выражает геометрические соотношения в помещении и определяется следующим образом.</w:t>
      </w:r>
    </w:p>
    <w:p w:rsidR="00FA67C7" w:rsidRPr="003F37D9" w:rsidRDefault="00FA67C7" w:rsidP="001B71B3">
      <w:pPr>
        <w:ind w:firstLine="851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a∙b</m:t>
              </m:r>
            </m:num>
            <m:den>
              <m:r>
                <w:rPr>
                  <w:rFonts w:ascii="Cambria Math" w:hAnsi="Cambria Math"/>
                </w:rPr>
                <m:t>h∙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 высота подвеса светильника над рабочей поверхностью; </w:t>
      </w:r>
      <m:oMath>
        <m:r>
          <w:rPr>
            <w:rFonts w:ascii="Cambria Math" w:hAnsi="Cambria Math"/>
          </w:rPr>
          <m:t>a</m:t>
        </m:r>
      </m:oMath>
      <w:r w:rsidRPr="003F37D9">
        <w:t xml:space="preserve"> и </w:t>
      </w:r>
      <m:oMath>
        <m:r>
          <w:rPr>
            <w:rFonts w:ascii="Cambria Math" w:hAnsi="Cambria Math"/>
          </w:rPr>
          <m:t>b</m:t>
        </m:r>
      </m:oMath>
      <w:r w:rsidRPr="003F37D9">
        <w:t xml:space="preserve"> – характерные размеры помещения (его ширина и длина). </w:t>
      </w:r>
    </w:p>
    <w:p w:rsidR="00FA67C7" w:rsidRPr="003F37D9" w:rsidRDefault="00FA67C7" w:rsidP="001B71B3">
      <w:pPr>
        <w:ind w:firstLine="851"/>
      </w:pPr>
      <w:r w:rsidRPr="003F37D9">
        <w:t xml:space="preserve">В результате расчетов получим </w:t>
      </w:r>
    </w:p>
    <w:p w:rsidR="00FA67C7" w:rsidRPr="003F37D9" w:rsidRDefault="00FA67C7" w:rsidP="001B71B3">
      <w:pPr>
        <w:ind w:firstLine="851"/>
        <w:jc w:val="center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5∙4</m:t>
            </m:r>
          </m:num>
          <m:den>
            <m:r>
              <w:rPr>
                <w:rFonts w:ascii="Cambria Math" w:hAnsi="Cambria Math"/>
              </w:rPr>
              <m:t>2,8∙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4+5</m:t>
                </m:r>
              </m:e>
            </m:d>
          </m:den>
        </m:f>
        <m:r>
          <w:rPr>
            <w:rFonts w:ascii="Cambria Math" w:hAnsi="Cambria Math"/>
          </w:rPr>
          <m:t>≈0,79</m:t>
        </m:r>
      </m:oMath>
      <w:r w:rsidRPr="003F37D9">
        <w:t>.</w:t>
      </w:r>
    </w:p>
    <w:p w:rsidR="00FA67C7" w:rsidRPr="003F37D9" w:rsidRDefault="00FA67C7" w:rsidP="001B71B3">
      <w:pPr>
        <w:ind w:firstLine="851"/>
      </w:pPr>
      <w:r w:rsidRPr="003F37D9"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=50%</m:t>
        </m:r>
      </m:oMath>
      <w:r w:rsidRPr="003F37D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30%</m:t>
        </m:r>
      </m:oMath>
      <w:r w:rsidRPr="003F37D9">
        <w:t xml:space="preserve">, исходя из чего по таблице (СНиП 23-05-95) определяем </w:t>
      </w:r>
      <m:oMath>
        <m:r>
          <w:rPr>
            <w:rFonts w:ascii="Cambria Math" w:hAnsi="Cambria Math"/>
          </w:rPr>
          <m:t>η=31%</m:t>
        </m:r>
      </m:oMath>
      <w:r w:rsidRPr="003F37D9">
        <w:t>. Таким образом, получим</w:t>
      </w:r>
    </w:p>
    <w:p w:rsidR="00FA67C7" w:rsidRPr="003F37D9" w:rsidRDefault="00FA67C7" w:rsidP="001B71B3">
      <w:pPr>
        <w:ind w:firstLine="851"/>
        <w:jc w:val="center"/>
      </w:pPr>
      <m:oMath>
        <m:r>
          <w:rPr>
            <w:rFonts w:ascii="Cambria Math" w:hAnsi="Cambria Math"/>
          </w:rPr>
          <m:t>F≈852</m:t>
        </m:r>
      </m:oMath>
      <w:r w:rsidRPr="003F37D9">
        <w:rPr>
          <w:rFonts w:eastAsiaTheme="minorEastAsia"/>
        </w:rPr>
        <w:t xml:space="preserve"> Лм</w:t>
      </w:r>
      <w:r w:rsidRPr="003F37D9">
        <w:t xml:space="preserve"> </w:t>
      </w:r>
    </w:p>
    <w:p w:rsidR="00FA67C7" w:rsidRPr="003F37D9" w:rsidRDefault="00FA67C7" w:rsidP="001B71B3">
      <w:pPr>
        <w:ind w:firstLine="851"/>
      </w:pPr>
      <w:r w:rsidRPr="003F37D9">
        <w:t>(на один светильник).</w:t>
      </w:r>
    </w:p>
    <w:p w:rsidR="00FA67C7" w:rsidRPr="003F37D9" w:rsidRDefault="00FA67C7" w:rsidP="001B71B3">
      <w:pPr>
        <w:ind w:firstLine="851"/>
      </w:pPr>
      <w:r w:rsidRPr="003F37D9">
        <w:t xml:space="preserve">В практике допускается отклонение потока выбранной лампы от расчетного до –10 и +20%. Сравним практическое значение светового потока, </w:t>
      </w:r>
      <w:r w:rsidRPr="003F37D9">
        <w:lastRenderedPageBreak/>
        <w:t xml:space="preserve">полученное при расчете в системе </w:t>
      </w:r>
      <w:r w:rsidRPr="003F37D9">
        <w:rPr>
          <w:i/>
          <w:lang w:val="en-US"/>
        </w:rPr>
        <w:t>Dialux</w:t>
      </w:r>
      <w:r w:rsidRPr="003F37D9">
        <w:t xml:space="preserve">, и теоретическое.  Получим, что практическое значение оказалось </w:t>
      </w:r>
      <w:r w:rsidR="00BF63A0">
        <w:t>меньше</w:t>
      </w:r>
      <w:r w:rsidRPr="003F37D9">
        <w:t xml:space="preserve"> теоретического примерно на </w:t>
      </w:r>
      <w:r w:rsidR="00BF63A0">
        <w:t>8</w:t>
      </w:r>
      <w:r w:rsidRPr="003F37D9">
        <w:t xml:space="preserve">%. </w:t>
      </w:r>
    </w:p>
    <w:p w:rsidR="00FA67C7" w:rsidRPr="003F37D9" w:rsidRDefault="00FA67C7" w:rsidP="001B71B3">
      <w:pPr>
        <w:ind w:firstLine="851"/>
      </w:pPr>
      <w:r w:rsidRPr="003F37D9">
        <w:t>Ниже приведена таблица с полученными при расчете значениями для иск</w:t>
      </w:r>
      <w:r w:rsidR="00BF63A0">
        <w:t>усственного освещения (таблицы 5.3 и 5.4</w:t>
      </w:r>
      <w:r w:rsidRPr="003F37D9">
        <w:t>), а также показаны изолюксы на рабоче</w:t>
      </w:r>
      <w:r w:rsidR="00BF63A0">
        <w:t>й плоскости помещения (рисунок 5.4</w:t>
      </w:r>
      <w:r w:rsidRPr="003F37D9">
        <w:t>) и 3</w:t>
      </w:r>
      <w:r w:rsidRPr="003F37D9">
        <w:rPr>
          <w:lang w:val="en-US"/>
        </w:rPr>
        <w:t>D</w:t>
      </w:r>
      <w:r w:rsidRPr="003F37D9">
        <w:t>-визуализация рез</w:t>
      </w:r>
      <w:r w:rsidR="00BF63A0">
        <w:t>ультата моделирования (рисунок 5.5</w:t>
      </w:r>
      <w:r w:rsidRPr="003F37D9">
        <w:t>).</w:t>
      </w:r>
    </w:p>
    <w:p w:rsidR="00FA67C7" w:rsidRPr="003F37D9" w:rsidRDefault="00BF63A0" w:rsidP="001B71B3">
      <w:pPr>
        <w:spacing w:before="120" w:after="120"/>
        <w:ind w:firstLine="851"/>
        <w:jc w:val="center"/>
        <w:rPr>
          <w:bdr w:val="none" w:sz="0" w:space="0" w:color="auto" w:frame="1"/>
          <w:shd w:val="clear" w:color="auto" w:fill="FFFFFF"/>
        </w:rPr>
      </w:pPr>
      <w:r>
        <w:t>Таблица 5.3</w:t>
      </w:r>
      <w:r w:rsidR="00FA67C7" w:rsidRPr="003F37D9">
        <w:t xml:space="preserve"> – </w:t>
      </w:r>
      <w:r w:rsidR="00FA67C7" w:rsidRPr="003F37D9">
        <w:rPr>
          <w:bdr w:val="none" w:sz="0" w:space="0" w:color="auto" w:frame="1"/>
          <w:shd w:val="clear" w:color="auto" w:fill="FFFFFF"/>
        </w:rPr>
        <w:t>Результаты расчета системы освещения</w:t>
      </w:r>
    </w:p>
    <w:tbl>
      <w:tblPr>
        <w:tblStyle w:val="aa"/>
        <w:tblW w:w="4944" w:type="pct"/>
        <w:tblLook w:val="04A0"/>
      </w:tblPr>
      <w:tblGrid>
        <w:gridCol w:w="2088"/>
        <w:gridCol w:w="1630"/>
        <w:gridCol w:w="1502"/>
        <w:gridCol w:w="1650"/>
        <w:gridCol w:w="1502"/>
        <w:gridCol w:w="1652"/>
      </w:tblGrid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Поверхность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ρ</m:t>
              </m:r>
            </m:oMath>
            <w:r w:rsidRPr="003F37D9">
              <w:rPr>
                <w:rFonts w:eastAsia="Times New Roman"/>
                <w:szCs w:val="28"/>
              </w:rPr>
              <w:t>, %</w:t>
            </w:r>
          </w:p>
        </w:tc>
        <w:tc>
          <w:tcPr>
            <w:tcW w:w="749" w:type="pct"/>
            <w:hideMark/>
          </w:tcPr>
          <w:p w:rsidR="00FA67C7" w:rsidRPr="003F37D9" w:rsidRDefault="007614B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ср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>, Лк</w:t>
            </w:r>
          </w:p>
        </w:tc>
        <w:tc>
          <w:tcPr>
            <w:tcW w:w="823" w:type="pct"/>
            <w:hideMark/>
          </w:tcPr>
          <w:p w:rsidR="00FA67C7" w:rsidRPr="003F37D9" w:rsidRDefault="007614B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min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 xml:space="preserve">, Лк </w:t>
            </w:r>
          </w:p>
        </w:tc>
        <w:tc>
          <w:tcPr>
            <w:tcW w:w="749" w:type="pct"/>
            <w:hideMark/>
          </w:tcPr>
          <w:p w:rsidR="00FA67C7" w:rsidRPr="003F37D9" w:rsidRDefault="007614B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>, Лк</w:t>
            </w:r>
          </w:p>
        </w:tc>
        <w:tc>
          <w:tcPr>
            <w:tcW w:w="824" w:type="pct"/>
            <w:hideMark/>
          </w:tcPr>
          <w:p w:rsidR="00FA67C7" w:rsidRPr="00BF63A0" w:rsidRDefault="007614B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ср</m:t>
                  </m:r>
                </m:sub>
              </m:sSub>
            </m:oMath>
            <w:r w:rsidR="00FA67C7" w:rsidRPr="00BF63A0">
              <w:rPr>
                <w:rFonts w:eastAsia="Times New Roman"/>
                <w:szCs w:val="28"/>
              </w:rPr>
              <w:t xml:space="preserve"> 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Рабочая плоскость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 xml:space="preserve">/ 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329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203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398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0.618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Полы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177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291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0.096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Потолок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70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122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85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301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0.698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Стенки (4)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261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9.72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907</w:t>
            </w:r>
          </w:p>
        </w:tc>
        <w:tc>
          <w:tcPr>
            <w:tcW w:w="824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/</w:t>
            </w:r>
          </w:p>
        </w:tc>
      </w:tr>
    </w:tbl>
    <w:p w:rsidR="00FA67C7" w:rsidRPr="003F37D9" w:rsidRDefault="00BF63A0" w:rsidP="001B71B3">
      <w:pPr>
        <w:spacing w:before="240" w:after="120"/>
        <w:ind w:firstLine="851"/>
        <w:jc w:val="center"/>
        <w:rPr>
          <w:bdr w:val="none" w:sz="0" w:space="0" w:color="auto" w:frame="1"/>
          <w:shd w:val="clear" w:color="auto" w:fill="FFFFFF"/>
        </w:rPr>
      </w:pPr>
      <w:r>
        <w:t>Таблица 5.4</w:t>
      </w:r>
      <w:r w:rsidR="00FA67C7" w:rsidRPr="003F37D9">
        <w:t xml:space="preserve"> – </w:t>
      </w:r>
      <w:r w:rsidR="00FA67C7" w:rsidRPr="003F37D9">
        <w:rPr>
          <w:bdr w:val="none" w:sz="0" w:space="0" w:color="auto" w:frame="1"/>
          <w:shd w:val="clear" w:color="auto" w:fill="FFFFFF"/>
        </w:rPr>
        <w:t>Результаты расчета светового потока</w:t>
      </w:r>
    </w:p>
    <w:tbl>
      <w:tblPr>
        <w:tblStyle w:val="aa"/>
        <w:tblW w:w="4944" w:type="pct"/>
        <w:tblLayout w:type="fixed"/>
        <w:tblLook w:val="04A0"/>
      </w:tblPr>
      <w:tblGrid>
        <w:gridCol w:w="724"/>
        <w:gridCol w:w="6447"/>
        <w:gridCol w:w="1501"/>
        <w:gridCol w:w="1352"/>
      </w:tblGrid>
      <w:tr w:rsidR="00FA67C7" w:rsidRPr="003F37D9" w:rsidTr="00BB3730">
        <w:trPr>
          <w:trHeight w:val="300"/>
        </w:trPr>
        <w:tc>
          <w:tcPr>
            <w:tcW w:w="684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Ш</w:t>
            </w:r>
            <w:r w:rsidR="00574FBA">
              <w:rPr>
                <w:rFonts w:eastAsia="Times New Roman"/>
                <w:szCs w:val="28"/>
              </w:rPr>
              <w:t>Ш</w:t>
            </w:r>
            <w:r w:rsidRPr="003F37D9">
              <w:rPr>
                <w:rFonts w:eastAsia="Times New Roman"/>
                <w:szCs w:val="28"/>
              </w:rPr>
              <w:t>т</w:t>
            </w:r>
            <w:r w:rsidR="00574FBA">
              <w:rPr>
                <w:rFonts w:eastAsia="Times New Roman"/>
                <w:szCs w:val="28"/>
              </w:rPr>
              <w:t>.</w:t>
            </w:r>
          </w:p>
        </w:tc>
        <w:tc>
          <w:tcPr>
            <w:tcW w:w="6087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Обозначение (Поправочный коэффициент)</w:t>
            </w:r>
          </w:p>
        </w:tc>
        <w:tc>
          <w:tcPr>
            <w:tcW w:w="1417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>F</m:t>
              </m:r>
            </m:oMath>
            <w:r w:rsidRPr="003F37D9">
              <w:rPr>
                <w:rFonts w:eastAsia="Times New Roman"/>
                <w:szCs w:val="28"/>
              </w:rPr>
              <w:t>, Лм</w:t>
            </w:r>
          </w:p>
        </w:tc>
        <w:tc>
          <w:tcPr>
            <w:tcW w:w="1276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>P</m:t>
              </m:r>
            </m:oMath>
            <w:r w:rsidRPr="003F37D9">
              <w:rPr>
                <w:rFonts w:eastAsia="Times New Roman"/>
                <w:szCs w:val="28"/>
              </w:rPr>
              <w:t>, Вт</w:t>
            </w:r>
          </w:p>
        </w:tc>
      </w:tr>
      <w:tr w:rsidR="00FA67C7" w:rsidRPr="003F37D9" w:rsidTr="00BB3730">
        <w:trPr>
          <w:trHeight w:val="300"/>
        </w:trPr>
        <w:tc>
          <w:tcPr>
            <w:tcW w:w="684" w:type="dxa"/>
            <w:hideMark/>
          </w:tcPr>
          <w:p w:rsidR="00FA67C7" w:rsidRPr="003F37D9" w:rsidRDefault="00574FBA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225</w:t>
            </w:r>
          </w:p>
        </w:tc>
        <w:tc>
          <w:tcPr>
            <w:tcW w:w="6087" w:type="dxa"/>
            <w:hideMark/>
          </w:tcPr>
          <w:p w:rsidR="00FA67C7" w:rsidRPr="00BF63A0" w:rsidRDefault="00BF63A0" w:rsidP="001B71B3">
            <w:pPr>
              <w:spacing w:line="240" w:lineRule="auto"/>
              <w:ind w:firstLine="851"/>
              <w:jc w:val="left"/>
              <w:rPr>
                <w:rFonts w:eastAsia="Times New Roman"/>
                <w:i/>
                <w:szCs w:val="28"/>
                <w:lang w:val="en-US"/>
              </w:rPr>
            </w:pPr>
            <w:r w:rsidRPr="00BF63A0">
              <w:rPr>
                <w:i/>
                <w:color w:val="000000"/>
                <w:lang w:val="en-US"/>
              </w:rPr>
              <w:t>OSRAM 4050300356860 LUM DECO EL/P 13 W (1.000)</w:t>
            </w:r>
          </w:p>
        </w:tc>
        <w:tc>
          <w:tcPr>
            <w:tcW w:w="1417" w:type="dxa"/>
            <w:hideMark/>
          </w:tcPr>
          <w:p w:rsidR="00FA67C7" w:rsidRPr="003F37D9" w:rsidRDefault="00BF63A0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780</w:t>
            </w:r>
          </w:p>
        </w:tc>
        <w:tc>
          <w:tcPr>
            <w:tcW w:w="1276" w:type="dxa"/>
            <w:hideMark/>
          </w:tcPr>
          <w:p w:rsidR="00FA67C7" w:rsidRPr="003F37D9" w:rsidRDefault="00BF63A0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13</w:t>
            </w:r>
          </w:p>
        </w:tc>
      </w:tr>
      <w:tr w:rsidR="00FA67C7" w:rsidRPr="003F37D9" w:rsidTr="00BB3730">
        <w:trPr>
          <w:trHeight w:val="300"/>
        </w:trPr>
        <w:tc>
          <w:tcPr>
            <w:tcW w:w="6771" w:type="dxa"/>
            <w:gridSpan w:val="2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Всего</w:t>
            </w:r>
          </w:p>
        </w:tc>
        <w:tc>
          <w:tcPr>
            <w:tcW w:w="1417" w:type="dxa"/>
            <w:hideMark/>
          </w:tcPr>
          <w:p w:rsidR="00FA67C7" w:rsidRPr="003F37D9" w:rsidRDefault="00574FBA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19500</w:t>
            </w:r>
          </w:p>
        </w:tc>
        <w:tc>
          <w:tcPr>
            <w:tcW w:w="1276" w:type="dxa"/>
            <w:hideMark/>
          </w:tcPr>
          <w:p w:rsidR="00FA67C7" w:rsidRPr="003F37D9" w:rsidRDefault="00574FBA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325</w:t>
            </w:r>
            <w:r w:rsidR="00FA67C7" w:rsidRPr="003F37D9">
              <w:rPr>
                <w:rFonts w:eastAsia="Times New Roman"/>
                <w:szCs w:val="28"/>
              </w:rPr>
              <w:t>.0</w:t>
            </w:r>
          </w:p>
        </w:tc>
      </w:tr>
    </w:tbl>
    <w:p w:rsidR="00FA67C7" w:rsidRPr="00AE3405" w:rsidRDefault="00FA67C7" w:rsidP="00AE3405">
      <w:pPr>
        <w:ind w:firstLine="0"/>
        <w:rPr>
          <w:bdr w:val="none" w:sz="0" w:space="0" w:color="auto" w:frame="1"/>
        </w:rPr>
      </w:pPr>
    </w:p>
    <w:p w:rsidR="00FA67C7" w:rsidRPr="003F37D9" w:rsidRDefault="00AE3405" w:rsidP="001B71B3">
      <w:pPr>
        <w:ind w:firstLine="851"/>
        <w:jc w:val="center"/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550723" cy="4028853"/>
            <wp:effectExtent l="0" t="0" r="0" b="0"/>
            <wp:docPr id="6" name="Рисунок 6" descr="C:\Users\Filatov\Desktop\Диплом\Диплом мой\Экология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atov\Desktop\Диплом\Диплом мой\Экология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04" cy="403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AE3405" w:rsidP="001B71B3">
      <w:pPr>
        <w:spacing w:before="120" w:after="120"/>
        <w:ind w:firstLine="851"/>
        <w:jc w:val="center"/>
      </w:pPr>
      <w:r>
        <w:t>Рисунок 5.4</w:t>
      </w:r>
      <w:r w:rsidR="00FA67C7" w:rsidRPr="003F37D9">
        <w:t xml:space="preserve"> – Изолюксы на рабочей плоскости</w:t>
      </w:r>
    </w:p>
    <w:p w:rsidR="00FA67C7" w:rsidRPr="003F37D9" w:rsidRDefault="00AE3405" w:rsidP="001B71B3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>
            <wp:extent cx="5225143" cy="4047926"/>
            <wp:effectExtent l="0" t="0" r="0" b="0"/>
            <wp:docPr id="7" name="Рисунок 7" descr="C:\Users\Filatov\Desktop\Диплом\Диплом мой\Экология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atov\Desktop\Диплом\Диплом мой\Экология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21" cy="404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AE3405" w:rsidP="001B71B3">
      <w:pPr>
        <w:spacing w:before="120" w:after="120"/>
        <w:ind w:firstLine="851"/>
        <w:jc w:val="center"/>
      </w:pPr>
      <w:r>
        <w:t>Рисунок 5.5</w:t>
      </w:r>
      <w:r w:rsidR="00FA67C7" w:rsidRPr="003F37D9">
        <w:t xml:space="preserve"> – Результат моделирования освещения</w:t>
      </w:r>
    </w:p>
    <w:p w:rsidR="00FA67C7" w:rsidRPr="003F37D9" w:rsidRDefault="00FA67C7" w:rsidP="001B71B3">
      <w:pPr>
        <w:ind w:firstLine="851"/>
      </w:pPr>
    </w:p>
    <w:p w:rsidR="00FA67C7" w:rsidRPr="00196114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196114">
        <w:rPr>
          <w:lang w:val="ru-RU"/>
        </w:rPr>
        <w:t xml:space="preserve">.4. Утилизация ртутных ламп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>Отработанные и бракованные люминесцентные лампы, используемые для освещения производственных помещений, относятся к ртутьсодержащим отходам и достаточно часто попадают в бытовой мусор. При этом металлическая ртуть и ее соединения относятся к веществам 1</w:t>
      </w:r>
      <w:r w:rsidRPr="003F37D9">
        <w:rPr>
          <w:lang w:val="en-US"/>
        </w:rPr>
        <w:t> </w:t>
      </w:r>
      <w:r w:rsidRPr="003F37D9">
        <w:t xml:space="preserve">класса опасности </w:t>
      </w:r>
      <w:r w:rsidR="005E4157">
        <w:t>[15]</w:t>
      </w:r>
      <w:r w:rsidRPr="003F37D9">
        <w:t xml:space="preserve">. </w:t>
      </w:r>
    </w:p>
    <w:p w:rsidR="00FA67C7" w:rsidRPr="003F37D9" w:rsidRDefault="00FA67C7" w:rsidP="001B71B3">
      <w:pPr>
        <w:ind w:firstLine="851"/>
      </w:pPr>
      <w:r w:rsidRPr="003F37D9">
        <w:t xml:space="preserve">Для каждого типа ламп существуют различные технологии переработки. Одним из способов утилизации является </w:t>
      </w:r>
      <w:r w:rsidRPr="003F37D9">
        <w:rPr>
          <w:i/>
        </w:rPr>
        <w:t>демеркуризация</w:t>
      </w:r>
      <w:r w:rsidRPr="003F37D9">
        <w:t xml:space="preserve"> – процесс удаления ртути и ее соединений механическими или физико-химическими способами. Его целью является исключение возможности отравления парами ртути животных и человека.</w:t>
      </w:r>
    </w:p>
    <w:p w:rsidR="00FA67C7" w:rsidRPr="003F37D9" w:rsidRDefault="00FA67C7" w:rsidP="001B71B3">
      <w:pPr>
        <w:ind w:firstLine="851"/>
      </w:pPr>
      <w:r w:rsidRPr="003F37D9">
        <w:t xml:space="preserve">Для демеркуризации ртутьсодержащих отходов применяют следующие методы: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механические,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механико-химические,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термические,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>термические с криоконденсацией.</w:t>
      </w:r>
    </w:p>
    <w:p w:rsidR="00FA67C7" w:rsidRPr="003F37D9" w:rsidRDefault="00FA67C7" w:rsidP="001B71B3">
      <w:pPr>
        <w:ind w:firstLine="851"/>
      </w:pPr>
      <w:r w:rsidRPr="003F37D9">
        <w:t>Способ утилизации ламп, разработанный и внедренный Научно-исследовательским центром по проблемам управления ресурсосбережением и отходами, предусматривает с помощью установок УДЛ-100 и УДЛ-150 их и</w:t>
      </w:r>
      <w:r w:rsidR="004F2F91">
        <w:t>змельчение, нагревание стекла</w:t>
      </w:r>
      <w:r w:rsidRPr="003F37D9">
        <w:t xml:space="preserve"> для перевода ртути в парообразное состояние, очистку от нее технологических газов до санитарных норм. Метод позволяет на 95% удалить люминофор и выделить для вторичной цветной металлургии пять самостоятельных металлических концентратов: алюминиевый (цоколи), медно-никелевый (выводы), медно-цинковый (латунные штыри), свинцовый (ножки) и оловянно-свинцовый (припой). </w:t>
      </w:r>
    </w:p>
    <w:p w:rsidR="00FA67C7" w:rsidRPr="003F37D9" w:rsidRDefault="00FA67C7" w:rsidP="001B71B3">
      <w:pPr>
        <w:ind w:firstLine="851"/>
      </w:pPr>
      <w:r w:rsidRPr="003F37D9">
        <w:t xml:space="preserve">Возможно также применение малогабаритных вакуумных термодемеркуризационных установок. Производительность установок составляет 100 – 500 ламп/ч; потребление электроэнергии – 10 кВт/ч; вес – 420 кг; </w:t>
      </w:r>
      <w:r w:rsidRPr="003F37D9">
        <w:lastRenderedPageBreak/>
        <w:t xml:space="preserve">обслуживающий персонал – 2 чел/см; срок окупаемости – 1 год. Установки перерабатывают ртутные лампы, ртутьсодержащие отходы, медицинские и другие приборы и устройства, загрязненные ртутью почвы и строительные материалы </w:t>
      </w:r>
      <w:r w:rsidR="005E4157">
        <w:t>[16]</w:t>
      </w:r>
      <w:r w:rsidRPr="003F37D9">
        <w:t>.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.5. Выводы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Мероприятия по обеспечению безопасности труда являются одной из наиболее важных составляющих любого производственного процесса. От соблюдения соответствующих правил и норм зависит как здоровье людей, так и экономическая эффективность работы предприятия. В данном разделе дипломной работы был представлен обзор вредных и опасных факторов, воздействующих на разработчика, а также способы регулирования вредного воздействия. </w:t>
      </w:r>
    </w:p>
    <w:p w:rsidR="00FA67C7" w:rsidRPr="003F37D9" w:rsidRDefault="00FA67C7" w:rsidP="001B71B3">
      <w:pPr>
        <w:ind w:firstLine="851"/>
      </w:pPr>
      <w:r w:rsidRPr="003F37D9">
        <w:t>В результате проведенных расчетов была разработана и спроектирована система искусственног</w:t>
      </w:r>
      <w:r w:rsidR="004F2F91">
        <w:t>о освещения, состоящая из 25</w:t>
      </w:r>
      <w:r w:rsidRPr="003F37D9">
        <w:t>-ти светильников. Фактическое значение средней освещенности рабочей поверхности при использова</w:t>
      </w:r>
      <w:r w:rsidR="004F2F91">
        <w:t>нии такой установки составляет 329</w:t>
      </w:r>
      <w:r w:rsidRPr="003F37D9">
        <w:t xml:space="preserve"> Лк.</w:t>
      </w:r>
    </w:p>
    <w:p w:rsidR="004F2F91" w:rsidRDefault="004F2F91">
      <w:pPr>
        <w:spacing w:after="200" w:line="276" w:lineRule="auto"/>
        <w:ind w:firstLine="0"/>
        <w:jc w:val="left"/>
        <w:rPr>
          <w:rFonts w:eastAsia="Times New Roman"/>
          <w:b/>
          <w:bCs/>
          <w:szCs w:val="28"/>
          <w:lang/>
        </w:rPr>
      </w:pPr>
      <w:r>
        <w:br w:type="page"/>
      </w:r>
    </w:p>
    <w:p w:rsidR="00FA67C7" w:rsidRPr="003F37D9" w:rsidRDefault="00FA67C7" w:rsidP="001B71B3">
      <w:pPr>
        <w:pStyle w:val="10"/>
        <w:spacing w:after="100" w:afterAutospacing="1"/>
        <w:ind w:firstLine="851"/>
        <w:jc w:val="both"/>
      </w:pPr>
      <w:r w:rsidRPr="003F37D9">
        <w:lastRenderedPageBreak/>
        <w:t>Литература</w:t>
      </w:r>
    </w:p>
    <w:p w:rsidR="00FA67C7" w:rsidRPr="003F37D9" w:rsidRDefault="00FA67C7" w:rsidP="001B71B3">
      <w:pPr>
        <w:pStyle w:val="af7"/>
        <w:numPr>
          <w:ilvl w:val="0"/>
          <w:numId w:val="11"/>
        </w:numPr>
        <w:spacing w:after="100" w:afterAutospacing="1"/>
        <w:ind w:firstLine="851"/>
      </w:pPr>
      <w:r w:rsidRPr="003F37D9">
        <w:t>СанПиН 2.2.2./2.4.1340-03: "Гигиенические требования к видеодисплейным терминалам, персональным электронно-вычислительным машинам и организации работы".</w:t>
      </w:r>
    </w:p>
    <w:p w:rsidR="00F702F0" w:rsidRPr="00F702F0" w:rsidRDefault="00FA67C7" w:rsidP="00F702F0">
      <w:pPr>
        <w:pStyle w:val="af7"/>
        <w:numPr>
          <w:ilvl w:val="0"/>
          <w:numId w:val="11"/>
        </w:numPr>
        <w:ind w:firstLine="851"/>
      </w:pPr>
      <w:r w:rsidRPr="003F37D9">
        <w:t xml:space="preserve">ГОСТ Р 50923-96. Рабочее место оператора. Общие эргономические требования и требования к производственной среде. Методы измерения. Гигиенические критерии оценки условий труда. </w:t>
      </w:r>
    </w:p>
    <w:p w:rsidR="00F702F0" w:rsidRPr="005E4157" w:rsidRDefault="00F702F0" w:rsidP="00F702F0">
      <w:pPr>
        <w:pStyle w:val="af7"/>
        <w:numPr>
          <w:ilvl w:val="0"/>
          <w:numId w:val="11"/>
        </w:numPr>
        <w:ind w:firstLine="851"/>
      </w:pPr>
      <w:r w:rsidRPr="00F702F0">
        <w:rPr>
          <w:bCs/>
          <w:szCs w:val="28"/>
        </w:rPr>
        <w:t>Г</w:t>
      </w:r>
      <w:r>
        <w:rPr>
          <w:bCs/>
          <w:szCs w:val="28"/>
        </w:rPr>
        <w:t xml:space="preserve">игиенические требования к ПЭВМ и организации работы </w:t>
      </w:r>
      <w:r w:rsidRPr="002A5AB1">
        <w:rPr>
          <w:szCs w:val="28"/>
        </w:rPr>
        <w:t>(</w:t>
      </w:r>
      <w:r>
        <w:rPr>
          <w:szCs w:val="28"/>
        </w:rPr>
        <w:t>электронный ресурс</w:t>
      </w:r>
      <w:r w:rsidRPr="002A5AB1">
        <w:rPr>
          <w:szCs w:val="28"/>
        </w:rPr>
        <w:t>)</w:t>
      </w:r>
      <w:r>
        <w:rPr>
          <w:szCs w:val="28"/>
        </w:rPr>
        <w:t xml:space="preserve">. Официальный веб – сайт. (Дата обращения – 07 мая 2015). </w:t>
      </w:r>
      <w:r>
        <w:rPr>
          <w:szCs w:val="28"/>
          <w:lang w:val="en-US"/>
        </w:rPr>
        <w:t>URL</w:t>
      </w:r>
      <w:r w:rsidRPr="005E4157">
        <w:rPr>
          <w:szCs w:val="28"/>
        </w:rPr>
        <w:t>:</w:t>
      </w:r>
      <w:r w:rsidRPr="005E4157">
        <w:t xml:space="preserve"> </w:t>
      </w:r>
      <w:hyperlink r:id="rId12" w:history="1">
        <w:r w:rsidRPr="00F702F0">
          <w:rPr>
            <w:rStyle w:val="af8"/>
            <w:lang w:val="en-US"/>
          </w:rPr>
          <w:t>http</w:t>
        </w:r>
        <w:r w:rsidRPr="005E4157">
          <w:rPr>
            <w:rStyle w:val="af8"/>
          </w:rPr>
          <w:t>://</w:t>
        </w:r>
        <w:r w:rsidRPr="00F702F0">
          <w:rPr>
            <w:rStyle w:val="af8"/>
            <w:lang w:val="en-US"/>
          </w:rPr>
          <w:t>edu</w:t>
        </w:r>
        <w:r w:rsidRPr="005E4157">
          <w:rPr>
            <w:rStyle w:val="af8"/>
          </w:rPr>
          <w:t>.</w:t>
        </w:r>
        <w:r w:rsidRPr="00F702F0">
          <w:rPr>
            <w:rStyle w:val="af8"/>
            <w:lang w:val="en-US"/>
          </w:rPr>
          <w:t>dvgups</w:t>
        </w:r>
        <w:r w:rsidRPr="005E4157">
          <w:rPr>
            <w:rStyle w:val="af8"/>
          </w:rPr>
          <w:t>.</w:t>
        </w:r>
        <w:r w:rsidRPr="00F702F0">
          <w:rPr>
            <w:rStyle w:val="af8"/>
            <w:lang w:val="en-US"/>
          </w:rPr>
          <w:t>ru</w:t>
        </w:r>
        <w:r w:rsidRPr="005E4157">
          <w:rPr>
            <w:rStyle w:val="af8"/>
          </w:rPr>
          <w:t>/</w:t>
        </w:r>
        <w:r w:rsidRPr="00F702F0">
          <w:rPr>
            <w:rStyle w:val="af8"/>
            <w:lang w:val="en-US"/>
          </w:rPr>
          <w:t>METDOC</w:t>
        </w:r>
        <w:r w:rsidRPr="005E4157">
          <w:rPr>
            <w:rStyle w:val="af8"/>
          </w:rPr>
          <w:t>/</w:t>
        </w:r>
        <w:r w:rsidRPr="00F702F0">
          <w:rPr>
            <w:rStyle w:val="af8"/>
            <w:lang w:val="en-US"/>
          </w:rPr>
          <w:t>ENF</w:t>
        </w:r>
        <w:r w:rsidRPr="005E4157">
          <w:rPr>
            <w:rStyle w:val="af8"/>
          </w:rPr>
          <w:t>/</w:t>
        </w:r>
        <w:r w:rsidRPr="00F702F0">
          <w:rPr>
            <w:rStyle w:val="af8"/>
            <w:lang w:val="en-US"/>
          </w:rPr>
          <w:t>BGD</w:t>
        </w:r>
        <w:r w:rsidRPr="005E4157">
          <w:rPr>
            <w:rStyle w:val="af8"/>
          </w:rPr>
          <w:t>/</w:t>
        </w:r>
        <w:r w:rsidRPr="00F702F0">
          <w:rPr>
            <w:rStyle w:val="af8"/>
            <w:lang w:val="en-US"/>
          </w:rPr>
          <w:t>PTB</w:t>
        </w:r>
        <w:r w:rsidRPr="005E4157">
          <w:rPr>
            <w:rStyle w:val="af8"/>
          </w:rPr>
          <w:t>/</w:t>
        </w:r>
        <w:r w:rsidRPr="00F702F0">
          <w:rPr>
            <w:rStyle w:val="af8"/>
            <w:lang w:val="en-US"/>
          </w:rPr>
          <w:t>LEK</w:t>
        </w:r>
        <w:r w:rsidRPr="005E4157">
          <w:rPr>
            <w:rStyle w:val="af8"/>
          </w:rPr>
          <w:t>/3.</w:t>
        </w:r>
        <w:r w:rsidRPr="00F702F0">
          <w:rPr>
            <w:rStyle w:val="af8"/>
            <w:lang w:val="en-US"/>
          </w:rPr>
          <w:t>HTM</w:t>
        </w:r>
      </w:hyperlink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Расчёт искусственного освещения. Методические указания к выполнению индивидуальных заданий для студентов дневного и заочного обучения всех специальностей. – Томск: Изд. ТПУ, 2005.</w:t>
      </w:r>
    </w:p>
    <w:p w:rsidR="00FA67C7" w:rsidRPr="007919B8" w:rsidRDefault="007919B8" w:rsidP="007919B8">
      <w:pPr>
        <w:pStyle w:val="af7"/>
        <w:numPr>
          <w:ilvl w:val="0"/>
          <w:numId w:val="11"/>
        </w:numPr>
        <w:ind w:firstLine="851"/>
        <w:rPr>
          <w:bCs/>
        </w:rPr>
      </w:pPr>
      <w:r w:rsidRPr="007919B8">
        <w:rPr>
          <w:bCs/>
        </w:rPr>
        <w:t>СП 52.13330.2011</w:t>
      </w:r>
      <w:r>
        <w:rPr>
          <w:bCs/>
        </w:rPr>
        <w:t>.</w:t>
      </w:r>
      <w:r w:rsidRPr="007919B8">
        <w:rPr>
          <w:bCs/>
        </w:rPr>
        <w:t xml:space="preserve"> Естественное и искусственное освещение. Актуализированная редакция СНиП 23-05-95</w:t>
      </w:r>
      <w:r>
        <w:rPr>
          <w:bCs/>
        </w:rPr>
        <w:t>.</w:t>
      </w:r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Утилизация энергосберегающих люминесцентных ртутьсодержащих ламп в Московском регионе. журнал Энергосовет </w:t>
      </w:r>
      <w:hyperlink r:id="rId13" w:history="1">
        <w:r w:rsidRPr="003F37D9">
          <w:t>№ 6 (11) за 2010 г</w:t>
        </w:r>
      </w:hyperlink>
      <w:r w:rsidRPr="003F37D9">
        <w:t>.</w:t>
      </w:r>
    </w:p>
    <w:p w:rsidR="007919B8" w:rsidRPr="005E4157" w:rsidRDefault="007919B8" w:rsidP="007919B8">
      <w:pPr>
        <w:pStyle w:val="af7"/>
        <w:numPr>
          <w:ilvl w:val="0"/>
          <w:numId w:val="11"/>
        </w:numPr>
      </w:pPr>
      <w:r>
        <w:rPr>
          <w:bCs/>
          <w:szCs w:val="28"/>
        </w:rPr>
        <w:t xml:space="preserve">Ртутьсодержащие отходы </w:t>
      </w:r>
      <w:r w:rsidRPr="002A5AB1">
        <w:rPr>
          <w:szCs w:val="28"/>
        </w:rPr>
        <w:t>(</w:t>
      </w:r>
      <w:r>
        <w:rPr>
          <w:szCs w:val="28"/>
        </w:rPr>
        <w:t>электронный ресурс</w:t>
      </w:r>
      <w:r w:rsidRPr="002A5AB1">
        <w:rPr>
          <w:szCs w:val="28"/>
        </w:rPr>
        <w:t>)</w:t>
      </w:r>
      <w:r>
        <w:rPr>
          <w:szCs w:val="28"/>
        </w:rPr>
        <w:t xml:space="preserve">. Официальный веб – сайт. (Дата обращения – 07 мая 2015). </w:t>
      </w:r>
      <w:r>
        <w:rPr>
          <w:szCs w:val="28"/>
          <w:lang w:val="en-US"/>
        </w:rPr>
        <w:t>URL</w:t>
      </w:r>
      <w:r w:rsidRPr="005E4157">
        <w:rPr>
          <w:szCs w:val="28"/>
        </w:rPr>
        <w:t>:</w:t>
      </w:r>
      <w:r w:rsidRPr="005E4157">
        <w:t xml:space="preserve"> </w:t>
      </w:r>
      <w:hyperlink r:id="rId14" w:history="1">
        <w:r w:rsidRPr="007919B8">
          <w:rPr>
            <w:rStyle w:val="af8"/>
            <w:lang w:val="en-US"/>
          </w:rPr>
          <w:t>http</w:t>
        </w:r>
        <w:r w:rsidRPr="005E4157">
          <w:rPr>
            <w:rStyle w:val="af8"/>
          </w:rPr>
          <w:t>://</w:t>
        </w:r>
        <w:r w:rsidRPr="007919B8">
          <w:rPr>
            <w:rStyle w:val="af8"/>
            <w:lang w:val="en-US"/>
          </w:rPr>
          <w:t>laws</w:t>
        </w:r>
        <w:r w:rsidRPr="005E4157">
          <w:rPr>
            <w:rStyle w:val="af8"/>
          </w:rPr>
          <w:t>.</w:t>
        </w:r>
        <w:r w:rsidRPr="007919B8">
          <w:rPr>
            <w:rStyle w:val="af8"/>
            <w:lang w:val="en-US"/>
          </w:rPr>
          <w:t>khv</w:t>
        </w:r>
        <w:r w:rsidRPr="005E4157">
          <w:rPr>
            <w:rStyle w:val="af8"/>
          </w:rPr>
          <w:t>.</w:t>
        </w:r>
        <w:r w:rsidRPr="007919B8">
          <w:rPr>
            <w:rStyle w:val="af8"/>
            <w:lang w:val="en-US"/>
          </w:rPr>
          <w:t>gov</w:t>
        </w:r>
        <w:r w:rsidRPr="005E4157">
          <w:rPr>
            <w:rStyle w:val="af8"/>
          </w:rPr>
          <w:t>.</w:t>
        </w:r>
        <w:r w:rsidRPr="007919B8">
          <w:rPr>
            <w:rStyle w:val="af8"/>
            <w:lang w:val="en-US"/>
          </w:rPr>
          <w:t>ru</w:t>
        </w:r>
        <w:r w:rsidRPr="005E4157">
          <w:rPr>
            <w:rStyle w:val="af8"/>
          </w:rPr>
          <w:t>/</w:t>
        </w:r>
        <w:r w:rsidRPr="007919B8">
          <w:rPr>
            <w:rStyle w:val="af8"/>
            <w:lang w:val="en-US"/>
          </w:rPr>
          <w:t>oth</w:t>
        </w:r>
        <w:r w:rsidRPr="005E4157">
          <w:rPr>
            <w:rStyle w:val="af8"/>
          </w:rPr>
          <w:t>/</w:t>
        </w:r>
        <w:r w:rsidR="005E4157" w:rsidRPr="005E4157">
          <w:t xml:space="preserve"> </w:t>
        </w:r>
        <w:r w:rsidR="005E4157" w:rsidRPr="005E4157">
          <w:rPr>
            <w:rStyle w:val="af8"/>
          </w:rPr>
          <w:t>Ртутьсодержащие%20отходы.htm</w:t>
        </w:r>
      </w:hyperlink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ГОСТ 12.1.005-88.</w:t>
      </w:r>
      <w:r w:rsidR="007919B8">
        <w:rPr>
          <w:bCs/>
        </w:rPr>
        <w:t xml:space="preserve"> Общие санитарно – гигиенические требования к воздуху рабочей зоны.</w:t>
      </w:r>
    </w:p>
    <w:p w:rsidR="00FA67C7" w:rsidRPr="003F37D9" w:rsidRDefault="00FA67C7" w:rsidP="001B71B3">
      <w:pPr>
        <w:ind w:firstLine="851"/>
      </w:pPr>
    </w:p>
    <w:p w:rsidR="002C5751" w:rsidRDefault="002C5751" w:rsidP="001B71B3">
      <w:pPr>
        <w:ind w:firstLine="851"/>
      </w:pPr>
    </w:p>
    <w:sectPr w:rsidR="002C5751" w:rsidSect="00BB5C15">
      <w:footerReference w:type="default" r:id="rId15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15" w:rsidRDefault="00DF4A15">
      <w:pPr>
        <w:spacing w:line="240" w:lineRule="auto"/>
      </w:pPr>
      <w:r>
        <w:separator/>
      </w:r>
    </w:p>
  </w:endnote>
  <w:endnote w:type="continuationSeparator" w:id="0">
    <w:p w:rsidR="00DF4A15" w:rsidRDefault="00DF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66" w:rsidRDefault="007614B0">
    <w:pPr>
      <w:pStyle w:val="a6"/>
      <w:jc w:val="right"/>
    </w:pPr>
    <w:r>
      <w:fldChar w:fldCharType="begin"/>
    </w:r>
    <w:r w:rsidR="00514DD6">
      <w:instrText>PAGE   \* MERGEFORMAT</w:instrText>
    </w:r>
    <w:r>
      <w:fldChar w:fldCharType="separate"/>
    </w:r>
    <w:r w:rsidR="005E4157">
      <w:rPr>
        <w:noProof/>
      </w:rPr>
      <w:t>18</w:t>
    </w:r>
    <w:r>
      <w:fldChar w:fldCharType="end"/>
    </w:r>
  </w:p>
  <w:p w:rsidR="004B2E66" w:rsidRDefault="00DF4A1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15" w:rsidRDefault="00DF4A15">
      <w:pPr>
        <w:spacing w:line="240" w:lineRule="auto"/>
      </w:pPr>
      <w:r>
        <w:separator/>
      </w:r>
    </w:p>
  </w:footnote>
  <w:footnote w:type="continuationSeparator" w:id="0">
    <w:p w:rsidR="00DF4A15" w:rsidRDefault="00DF4A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6BF2"/>
    <w:multiLevelType w:val="hybridMultilevel"/>
    <w:tmpl w:val="F1C00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372E8B"/>
    <w:multiLevelType w:val="hybridMultilevel"/>
    <w:tmpl w:val="8814FB0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E6602"/>
    <w:multiLevelType w:val="hybridMultilevel"/>
    <w:tmpl w:val="68F4BC1C"/>
    <w:lvl w:ilvl="0" w:tplc="BFD629D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20C30E5E"/>
    <w:multiLevelType w:val="hybridMultilevel"/>
    <w:tmpl w:val="DB969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630211"/>
    <w:multiLevelType w:val="hybridMultilevel"/>
    <w:tmpl w:val="8A22AC5A"/>
    <w:lvl w:ilvl="0" w:tplc="64C2DD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A694B9F"/>
    <w:multiLevelType w:val="hybridMultilevel"/>
    <w:tmpl w:val="40B611E2"/>
    <w:lvl w:ilvl="0" w:tplc="E90CFDE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0A148D8"/>
    <w:multiLevelType w:val="hybridMultilevel"/>
    <w:tmpl w:val="22E4F68C"/>
    <w:lvl w:ilvl="0" w:tplc="93D4B7A0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B96158"/>
    <w:multiLevelType w:val="hybridMultilevel"/>
    <w:tmpl w:val="8E5E3A70"/>
    <w:lvl w:ilvl="0" w:tplc="91BED35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D52A0B"/>
    <w:multiLevelType w:val="hybridMultilevel"/>
    <w:tmpl w:val="495CCC1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67782BBB"/>
    <w:multiLevelType w:val="hybridMultilevel"/>
    <w:tmpl w:val="AC8638DA"/>
    <w:lvl w:ilvl="0" w:tplc="BFD629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0C8"/>
    <w:rsid w:val="001202BA"/>
    <w:rsid w:val="001510CF"/>
    <w:rsid w:val="0017256C"/>
    <w:rsid w:val="001B71B3"/>
    <w:rsid w:val="002A629D"/>
    <w:rsid w:val="002C5751"/>
    <w:rsid w:val="004F2F91"/>
    <w:rsid w:val="00514DD6"/>
    <w:rsid w:val="00574FBA"/>
    <w:rsid w:val="005A1726"/>
    <w:rsid w:val="005E4157"/>
    <w:rsid w:val="0062352A"/>
    <w:rsid w:val="007614B0"/>
    <w:rsid w:val="00764283"/>
    <w:rsid w:val="007919B8"/>
    <w:rsid w:val="007920C8"/>
    <w:rsid w:val="009D532B"/>
    <w:rsid w:val="00AE3405"/>
    <w:rsid w:val="00BF63A0"/>
    <w:rsid w:val="00C464D8"/>
    <w:rsid w:val="00DF4A15"/>
    <w:rsid w:val="00E339CB"/>
    <w:rsid w:val="00EF443D"/>
    <w:rsid w:val="00F702F0"/>
    <w:rsid w:val="00F72A9C"/>
    <w:rsid w:val="00FA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7C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2"/>
    <w:link w:val="11"/>
    <w:uiPriority w:val="9"/>
    <w:qFormat/>
    <w:rsid w:val="00FA67C7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/>
    </w:rPr>
  </w:style>
  <w:style w:type="paragraph" w:styleId="2">
    <w:name w:val="heading 2"/>
    <w:basedOn w:val="a0"/>
    <w:next w:val="3"/>
    <w:link w:val="20"/>
    <w:uiPriority w:val="9"/>
    <w:unhideWhenUsed/>
    <w:qFormat/>
    <w:rsid w:val="00FA67C7"/>
    <w:pPr>
      <w:keepNext/>
      <w:keepLines/>
      <w:jc w:val="center"/>
      <w:outlineLvl w:val="1"/>
    </w:pPr>
    <w:rPr>
      <w:rFonts w:eastAsia="Times New Roman"/>
      <w:b/>
      <w:bCs/>
      <w:szCs w:val="26"/>
      <w:lang/>
    </w:rPr>
  </w:style>
  <w:style w:type="paragraph" w:styleId="3">
    <w:name w:val="heading 3"/>
    <w:basedOn w:val="a0"/>
    <w:next w:val="4"/>
    <w:link w:val="30"/>
    <w:uiPriority w:val="9"/>
    <w:unhideWhenUsed/>
    <w:qFormat/>
    <w:rsid w:val="00FA67C7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FA67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7C7"/>
    <w:rPr>
      <w:rFonts w:ascii="Times New Roman" w:eastAsia="Times New Roman" w:hAnsi="Times New Roman" w:cs="Times New Roman"/>
      <w:b/>
      <w:bCs/>
      <w:sz w:val="28"/>
      <w:szCs w:val="28"/>
      <w:lang/>
    </w:rPr>
  </w:style>
  <w:style w:type="character" w:customStyle="1" w:styleId="20">
    <w:name w:val="Заголовок 2 Знак"/>
    <w:basedOn w:val="a1"/>
    <w:link w:val="2"/>
    <w:uiPriority w:val="9"/>
    <w:rsid w:val="00FA67C7"/>
    <w:rPr>
      <w:rFonts w:ascii="Times New Roman" w:eastAsia="Times New Roman" w:hAnsi="Times New Roman" w:cs="Times New Roman"/>
      <w:b/>
      <w:bCs/>
      <w:sz w:val="28"/>
      <w:szCs w:val="26"/>
      <w:lang/>
    </w:rPr>
  </w:style>
  <w:style w:type="character" w:customStyle="1" w:styleId="30">
    <w:name w:val="Заголовок 3 Знак"/>
    <w:basedOn w:val="a1"/>
    <w:link w:val="3"/>
    <w:uiPriority w:val="9"/>
    <w:rsid w:val="00FA67C7"/>
    <w:rPr>
      <w:rFonts w:ascii="Times New Roman" w:eastAsia="Times New Roman" w:hAnsi="Times New Roman" w:cs="Times New Roman"/>
      <w:b/>
      <w:bCs/>
      <w:sz w:val="28"/>
      <w:lang w:val="en-US"/>
    </w:rPr>
  </w:style>
  <w:style w:type="paragraph" w:styleId="a4">
    <w:name w:val="No Spacing"/>
    <w:aliases w:val="Для таблиц"/>
    <w:link w:val="a5"/>
    <w:uiPriority w:val="1"/>
    <w:qFormat/>
    <w:rsid w:val="00FA67C7"/>
    <w:pPr>
      <w:spacing w:after="0" w:line="240" w:lineRule="atLeas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5">
    <w:name w:val="Без интервала Знак"/>
    <w:aliases w:val="Для таблиц Знак"/>
    <w:link w:val="a4"/>
    <w:uiPriority w:val="1"/>
    <w:rsid w:val="00FA67C7"/>
    <w:rPr>
      <w:rFonts w:ascii="Times New Roman" w:eastAsia="Times New Roman" w:hAnsi="Times New Roman" w:cs="Times New Roman"/>
      <w:sz w:val="24"/>
      <w:lang w:val="en-US"/>
    </w:rPr>
  </w:style>
  <w:style w:type="paragraph" w:styleId="a6">
    <w:name w:val="footer"/>
    <w:basedOn w:val="a0"/>
    <w:link w:val="a7"/>
    <w:uiPriority w:val="99"/>
    <w:unhideWhenUsed/>
    <w:rsid w:val="00FA6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67C7"/>
    <w:rPr>
      <w:rFonts w:ascii="Times New Roman" w:eastAsia="Calibri" w:hAnsi="Times New Roman" w:cs="Times New Roman"/>
      <w:sz w:val="28"/>
    </w:rPr>
  </w:style>
  <w:style w:type="paragraph" w:styleId="a8">
    <w:name w:val="Body Text Indent"/>
    <w:basedOn w:val="a0"/>
    <w:link w:val="a9"/>
    <w:rsid w:val="00FA67C7"/>
    <w:pPr>
      <w:ind w:firstLine="851"/>
    </w:pPr>
    <w:rPr>
      <w:rFonts w:eastAsia="Times New Roman"/>
      <w:szCs w:val="24"/>
      <w:lang/>
    </w:rPr>
  </w:style>
  <w:style w:type="character" w:customStyle="1" w:styleId="a9">
    <w:name w:val="Основной текст с отступом Знак"/>
    <w:basedOn w:val="a1"/>
    <w:link w:val="a8"/>
    <w:rsid w:val="00FA67C7"/>
    <w:rPr>
      <w:rFonts w:ascii="Times New Roman" w:eastAsia="Times New Roman" w:hAnsi="Times New Roman" w:cs="Times New Roman"/>
      <w:sz w:val="28"/>
      <w:szCs w:val="24"/>
      <w:lang/>
    </w:rPr>
  </w:style>
  <w:style w:type="table" w:styleId="aa">
    <w:name w:val="Table Grid"/>
    <w:basedOn w:val="a2"/>
    <w:rsid w:val="00FA67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uiPriority w:val="20"/>
    <w:qFormat/>
    <w:rsid w:val="00FA67C7"/>
    <w:rPr>
      <w:i/>
      <w:iCs/>
    </w:rPr>
  </w:style>
  <w:style w:type="character" w:customStyle="1" w:styleId="ac">
    <w:name w:val="без отступа Знак"/>
    <w:basedOn w:val="a1"/>
    <w:link w:val="ad"/>
    <w:locked/>
    <w:rsid w:val="00FA67C7"/>
    <w:rPr>
      <w:rFonts w:ascii="Times New Roman" w:hAnsi="Times New Roman"/>
      <w:sz w:val="28"/>
    </w:rPr>
  </w:style>
  <w:style w:type="paragraph" w:customStyle="1" w:styleId="ad">
    <w:name w:val="без отступа"/>
    <w:basedOn w:val="a0"/>
    <w:next w:val="a0"/>
    <w:link w:val="ac"/>
    <w:qFormat/>
    <w:rsid w:val="00FA67C7"/>
    <w:pPr>
      <w:ind w:firstLine="0"/>
    </w:pPr>
    <w:rPr>
      <w:rFonts w:eastAsiaTheme="minorHAnsi" w:cstheme="minorBidi"/>
    </w:rPr>
  </w:style>
  <w:style w:type="paragraph" w:customStyle="1" w:styleId="a">
    <w:name w:val="Формула"/>
    <w:basedOn w:val="ad"/>
    <w:next w:val="ad"/>
    <w:link w:val="ae"/>
    <w:qFormat/>
    <w:rsid w:val="00FA67C7"/>
    <w:pPr>
      <w:numPr>
        <w:numId w:val="1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e">
    <w:name w:val="Формула Знак"/>
    <w:basedOn w:val="a1"/>
    <w:link w:val="a"/>
    <w:locked/>
    <w:rsid w:val="00FA67C7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FA67C7"/>
    <w:pPr>
      <w:numPr>
        <w:numId w:val="1"/>
      </w:numPr>
    </w:pPr>
  </w:style>
  <w:style w:type="paragraph" w:customStyle="1" w:styleId="af">
    <w:name w:val="Таблица"/>
    <w:basedOn w:val="a0"/>
    <w:link w:val="af0"/>
    <w:qFormat/>
    <w:rsid w:val="00FA67C7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0">
    <w:name w:val="Таблица Знак"/>
    <w:basedOn w:val="a1"/>
    <w:link w:val="af"/>
    <w:rsid w:val="00FA67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одписи к таблицам"/>
    <w:basedOn w:val="a0"/>
    <w:link w:val="af2"/>
    <w:qFormat/>
    <w:rsid w:val="00FA67C7"/>
    <w:pPr>
      <w:ind w:firstLine="851"/>
      <w:jc w:val="right"/>
    </w:pPr>
    <w:rPr>
      <w:szCs w:val="24"/>
    </w:rPr>
  </w:style>
  <w:style w:type="character" w:customStyle="1" w:styleId="af2">
    <w:name w:val="Подписи к таблицам Знак"/>
    <w:basedOn w:val="a1"/>
    <w:link w:val="af1"/>
    <w:rsid w:val="00FA67C7"/>
    <w:rPr>
      <w:rFonts w:ascii="Times New Roman" w:eastAsia="Calibri" w:hAnsi="Times New Roman" w:cs="Times New Roman"/>
      <w:sz w:val="28"/>
      <w:szCs w:val="24"/>
    </w:rPr>
  </w:style>
  <w:style w:type="paragraph" w:styleId="af3">
    <w:name w:val="Body Text"/>
    <w:basedOn w:val="a0"/>
    <w:link w:val="af4"/>
    <w:uiPriority w:val="99"/>
    <w:unhideWhenUsed/>
    <w:rsid w:val="00FA67C7"/>
    <w:pPr>
      <w:spacing w:after="120"/>
      <w:ind w:firstLine="851"/>
    </w:pPr>
    <w:rPr>
      <w:rFonts w:eastAsiaTheme="minorHAnsi" w:cstheme="minorBidi"/>
    </w:rPr>
  </w:style>
  <w:style w:type="character" w:customStyle="1" w:styleId="af4">
    <w:name w:val="Основной текст Знак"/>
    <w:basedOn w:val="a1"/>
    <w:link w:val="af3"/>
    <w:uiPriority w:val="99"/>
    <w:rsid w:val="00FA67C7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FA67C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FA6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A67C7"/>
    <w:rPr>
      <w:rFonts w:ascii="Tahoma" w:eastAsia="Calibri" w:hAnsi="Tahoma" w:cs="Tahoma"/>
      <w:sz w:val="16"/>
      <w:szCs w:val="16"/>
    </w:rPr>
  </w:style>
  <w:style w:type="paragraph" w:styleId="af7">
    <w:name w:val="List Paragraph"/>
    <w:basedOn w:val="a0"/>
    <w:uiPriority w:val="34"/>
    <w:qFormat/>
    <w:rsid w:val="00FA67C7"/>
    <w:pPr>
      <w:ind w:left="720"/>
      <w:contextualSpacing/>
    </w:pPr>
    <w:rPr>
      <w:rFonts w:eastAsiaTheme="minorHAnsi" w:cstheme="minorBidi"/>
    </w:rPr>
  </w:style>
  <w:style w:type="character" w:styleId="af8">
    <w:name w:val="Hyperlink"/>
    <w:basedOn w:val="a1"/>
    <w:uiPriority w:val="99"/>
    <w:unhideWhenUsed/>
    <w:rsid w:val="00FA67C7"/>
    <w:rPr>
      <w:color w:val="0000FF" w:themeColor="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702F0"/>
    <w:pPr>
      <w:spacing w:after="120" w:line="480" w:lineRule="auto"/>
      <w:ind w:firstLine="851"/>
    </w:pPr>
    <w:rPr>
      <w:rFonts w:eastAsiaTheme="minorHAnsi" w:cstheme="minorBidi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F702F0"/>
    <w:rPr>
      <w:rFonts w:ascii="Times New Roman" w:hAnsi="Times New Roman"/>
      <w:sz w:val="28"/>
    </w:rPr>
  </w:style>
  <w:style w:type="character" w:styleId="af9">
    <w:name w:val="FollowedHyperlink"/>
    <w:basedOn w:val="a1"/>
    <w:uiPriority w:val="99"/>
    <w:semiHidden/>
    <w:unhideWhenUsed/>
    <w:rsid w:val="007919B8"/>
    <w:rPr>
      <w:color w:val="800080" w:themeColor="followedHyperlink"/>
      <w:u w:val="single"/>
    </w:rPr>
  </w:style>
  <w:style w:type="paragraph" w:styleId="afa">
    <w:name w:val="Document Map"/>
    <w:basedOn w:val="a0"/>
    <w:link w:val="afb"/>
    <w:uiPriority w:val="99"/>
    <w:semiHidden/>
    <w:unhideWhenUsed/>
    <w:rsid w:val="005E41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5E41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7C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2"/>
    <w:link w:val="11"/>
    <w:uiPriority w:val="9"/>
    <w:qFormat/>
    <w:rsid w:val="00FA67C7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A67C7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FA67C7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FA67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7C7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FA67C7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FA67C7"/>
    <w:rPr>
      <w:rFonts w:ascii="Times New Roman" w:eastAsia="Times New Roman" w:hAnsi="Times New Roman" w:cs="Times New Roman"/>
      <w:b/>
      <w:bCs/>
      <w:sz w:val="28"/>
      <w:lang w:val="en-US"/>
    </w:rPr>
  </w:style>
  <w:style w:type="paragraph" w:styleId="a4">
    <w:name w:val="No Spacing"/>
    <w:aliases w:val="Для таблиц"/>
    <w:link w:val="a5"/>
    <w:uiPriority w:val="1"/>
    <w:qFormat/>
    <w:rsid w:val="00FA67C7"/>
    <w:pPr>
      <w:spacing w:after="0" w:line="240" w:lineRule="atLeas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5">
    <w:name w:val="Без интервала Знак"/>
    <w:aliases w:val="Для таблиц Знак"/>
    <w:link w:val="a4"/>
    <w:uiPriority w:val="1"/>
    <w:rsid w:val="00FA67C7"/>
    <w:rPr>
      <w:rFonts w:ascii="Times New Roman" w:eastAsia="Times New Roman" w:hAnsi="Times New Roman" w:cs="Times New Roman"/>
      <w:sz w:val="24"/>
      <w:lang w:val="en-US"/>
    </w:rPr>
  </w:style>
  <w:style w:type="paragraph" w:styleId="a6">
    <w:name w:val="footer"/>
    <w:basedOn w:val="a0"/>
    <w:link w:val="a7"/>
    <w:uiPriority w:val="99"/>
    <w:unhideWhenUsed/>
    <w:rsid w:val="00FA6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67C7"/>
    <w:rPr>
      <w:rFonts w:ascii="Times New Roman" w:eastAsia="Calibri" w:hAnsi="Times New Roman" w:cs="Times New Roman"/>
      <w:sz w:val="28"/>
    </w:rPr>
  </w:style>
  <w:style w:type="paragraph" w:styleId="a8">
    <w:name w:val="Body Text Indent"/>
    <w:basedOn w:val="a0"/>
    <w:link w:val="a9"/>
    <w:rsid w:val="00FA67C7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9">
    <w:name w:val="Основной текст с отступом Знак"/>
    <w:basedOn w:val="a1"/>
    <w:link w:val="a8"/>
    <w:rsid w:val="00FA67C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table" w:styleId="aa">
    <w:name w:val="Table Grid"/>
    <w:basedOn w:val="a2"/>
    <w:rsid w:val="00FA67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uiPriority w:val="20"/>
    <w:qFormat/>
    <w:rsid w:val="00FA67C7"/>
    <w:rPr>
      <w:i/>
      <w:iCs/>
    </w:rPr>
  </w:style>
  <w:style w:type="character" w:customStyle="1" w:styleId="ac">
    <w:name w:val="без отступа Знак"/>
    <w:basedOn w:val="a1"/>
    <w:link w:val="ad"/>
    <w:locked/>
    <w:rsid w:val="00FA67C7"/>
    <w:rPr>
      <w:rFonts w:ascii="Times New Roman" w:hAnsi="Times New Roman"/>
      <w:sz w:val="28"/>
    </w:rPr>
  </w:style>
  <w:style w:type="paragraph" w:customStyle="1" w:styleId="ad">
    <w:name w:val="без отступа"/>
    <w:basedOn w:val="a0"/>
    <w:next w:val="a0"/>
    <w:link w:val="ac"/>
    <w:qFormat/>
    <w:rsid w:val="00FA67C7"/>
    <w:pPr>
      <w:ind w:firstLine="0"/>
    </w:pPr>
    <w:rPr>
      <w:rFonts w:eastAsiaTheme="minorHAnsi" w:cstheme="minorBidi"/>
    </w:rPr>
  </w:style>
  <w:style w:type="paragraph" w:customStyle="1" w:styleId="a">
    <w:name w:val="Формула"/>
    <w:basedOn w:val="ad"/>
    <w:next w:val="ad"/>
    <w:link w:val="ae"/>
    <w:qFormat/>
    <w:rsid w:val="00FA67C7"/>
    <w:pPr>
      <w:numPr>
        <w:numId w:val="1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e">
    <w:name w:val="Формула Знак"/>
    <w:basedOn w:val="a1"/>
    <w:link w:val="a"/>
    <w:locked/>
    <w:rsid w:val="00FA67C7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FA67C7"/>
    <w:pPr>
      <w:numPr>
        <w:numId w:val="1"/>
      </w:numPr>
    </w:pPr>
  </w:style>
  <w:style w:type="paragraph" w:customStyle="1" w:styleId="af">
    <w:name w:val="Таблица"/>
    <w:basedOn w:val="a0"/>
    <w:link w:val="af0"/>
    <w:qFormat/>
    <w:rsid w:val="00FA67C7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0">
    <w:name w:val="Таблица Знак"/>
    <w:basedOn w:val="a1"/>
    <w:link w:val="af"/>
    <w:rsid w:val="00FA67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одписи к таблицам"/>
    <w:basedOn w:val="a0"/>
    <w:link w:val="af2"/>
    <w:qFormat/>
    <w:rsid w:val="00FA67C7"/>
    <w:pPr>
      <w:ind w:firstLine="851"/>
      <w:jc w:val="right"/>
    </w:pPr>
    <w:rPr>
      <w:szCs w:val="24"/>
    </w:rPr>
  </w:style>
  <w:style w:type="character" w:customStyle="1" w:styleId="af2">
    <w:name w:val="Подписи к таблицам Знак"/>
    <w:basedOn w:val="a1"/>
    <w:link w:val="af1"/>
    <w:rsid w:val="00FA67C7"/>
    <w:rPr>
      <w:rFonts w:ascii="Times New Roman" w:eastAsia="Calibri" w:hAnsi="Times New Roman" w:cs="Times New Roman"/>
      <w:sz w:val="28"/>
      <w:szCs w:val="24"/>
    </w:rPr>
  </w:style>
  <w:style w:type="paragraph" w:styleId="af3">
    <w:name w:val="Body Text"/>
    <w:basedOn w:val="a0"/>
    <w:link w:val="af4"/>
    <w:uiPriority w:val="99"/>
    <w:unhideWhenUsed/>
    <w:rsid w:val="00FA67C7"/>
    <w:pPr>
      <w:spacing w:after="120"/>
      <w:ind w:firstLine="851"/>
    </w:pPr>
    <w:rPr>
      <w:rFonts w:eastAsiaTheme="minorHAnsi" w:cstheme="minorBidi"/>
    </w:rPr>
  </w:style>
  <w:style w:type="character" w:customStyle="1" w:styleId="af4">
    <w:name w:val="Основной текст Знак"/>
    <w:basedOn w:val="a1"/>
    <w:link w:val="af3"/>
    <w:uiPriority w:val="99"/>
    <w:rsid w:val="00FA67C7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FA67C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FA6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A67C7"/>
    <w:rPr>
      <w:rFonts w:ascii="Tahoma" w:eastAsia="Calibri" w:hAnsi="Tahoma" w:cs="Tahoma"/>
      <w:sz w:val="16"/>
      <w:szCs w:val="16"/>
    </w:rPr>
  </w:style>
  <w:style w:type="paragraph" w:styleId="af7">
    <w:name w:val="List Paragraph"/>
    <w:basedOn w:val="a0"/>
    <w:uiPriority w:val="34"/>
    <w:qFormat/>
    <w:rsid w:val="00FA67C7"/>
    <w:pPr>
      <w:ind w:left="720"/>
      <w:contextualSpacing/>
    </w:pPr>
    <w:rPr>
      <w:rFonts w:eastAsiaTheme="minorHAnsi" w:cstheme="minorBidi"/>
    </w:rPr>
  </w:style>
  <w:style w:type="character" w:styleId="af8">
    <w:name w:val="Hyperlink"/>
    <w:basedOn w:val="a1"/>
    <w:uiPriority w:val="99"/>
    <w:unhideWhenUsed/>
    <w:rsid w:val="00FA67C7"/>
    <w:rPr>
      <w:color w:val="0000FF" w:themeColor="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702F0"/>
    <w:pPr>
      <w:spacing w:after="120" w:line="480" w:lineRule="auto"/>
      <w:ind w:firstLine="851"/>
    </w:pPr>
    <w:rPr>
      <w:rFonts w:eastAsiaTheme="minorHAnsi" w:cstheme="minorBidi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F702F0"/>
    <w:rPr>
      <w:rFonts w:ascii="Times New Roman" w:hAnsi="Times New Roman"/>
      <w:sz w:val="28"/>
    </w:rPr>
  </w:style>
  <w:style w:type="character" w:styleId="af9">
    <w:name w:val="FollowedHyperlink"/>
    <w:basedOn w:val="a1"/>
    <w:uiPriority w:val="99"/>
    <w:semiHidden/>
    <w:unhideWhenUsed/>
    <w:rsid w:val="007919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energosovet.ru/bul_stat.php?num=11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du.dvgups.ru/METDOC/ENF/BGD/PTB/LEK/3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aws.khv.gov.ru/oth/%D0%9D%D0%94%D0%A2/%D0%A0%D1%82%D1%83%D1%82%D1%8C%D1%81%D0%BE%D0%B4%D0%B5%D1%80%D0%B6%D0%B0%D1%89%D0%B8%D0%B5%20%D0%BE%D1%82%D1%85%D0%BE%D0%B4%D1%8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Filatov</dc:creator>
  <cp:keywords/>
  <dc:description/>
  <cp:lastModifiedBy>IRONMANN (AKA SHAMAN)</cp:lastModifiedBy>
  <cp:revision>13</cp:revision>
  <dcterms:created xsi:type="dcterms:W3CDTF">2015-05-06T09:51:00Z</dcterms:created>
  <dcterms:modified xsi:type="dcterms:W3CDTF">2015-05-24T12:27:00Z</dcterms:modified>
</cp:coreProperties>
</file>