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7D9" w:rsidRPr="003F37D9" w:rsidRDefault="003F37D9" w:rsidP="003F37D9">
      <w:pPr>
        <w:pStyle w:val="1"/>
      </w:pPr>
      <w:r w:rsidRPr="003F37D9">
        <w:t xml:space="preserve">7. </w:t>
      </w:r>
      <w:proofErr w:type="spellStart"/>
      <w:r w:rsidRPr="003F37D9">
        <w:t>Экология</w:t>
      </w:r>
      <w:proofErr w:type="spellEnd"/>
      <w:r w:rsidRPr="003F37D9">
        <w:t xml:space="preserve"> и </w:t>
      </w:r>
      <w:proofErr w:type="spellStart"/>
      <w:r w:rsidRPr="003F37D9">
        <w:t>промышленная</w:t>
      </w:r>
      <w:proofErr w:type="spellEnd"/>
      <w:r w:rsidRPr="003F37D9">
        <w:t xml:space="preserve"> </w:t>
      </w:r>
      <w:proofErr w:type="spellStart"/>
      <w:r w:rsidRPr="003F37D9">
        <w:t>безопасность</w:t>
      </w:r>
      <w:proofErr w:type="spellEnd"/>
      <w:r w:rsidRPr="003F37D9">
        <w:t xml:space="preserve"> </w:t>
      </w:r>
    </w:p>
    <w:p w:rsidR="003F37D9" w:rsidRPr="003F37D9" w:rsidRDefault="003F37D9" w:rsidP="003F37D9">
      <w:r w:rsidRPr="003F37D9">
        <w:t xml:space="preserve">Использование ПЭВМ в последние годы становится все активнее в различных сферах человеческой жизни, в особенности в профессиональной деятельности. Наряду с многочисленными преимуществами, такими как повышение эффективности, производительности и прочими, существует также и ряд недостатков, которые прежде всего связаны с негативным влиянием ПЭВМ на здоровье человека при несоблюдении правил и норм безопасного использования при работе с подобной техникой. </w:t>
      </w:r>
    </w:p>
    <w:p w:rsidR="003F37D9" w:rsidRPr="003F37D9" w:rsidRDefault="003F37D9" w:rsidP="003F37D9">
      <w:r w:rsidRPr="003F37D9">
        <w:t xml:space="preserve">Разработка и дальнейшее использование программного обеспечения, описанные в данном дипломном проекте, непосредственно связаны с использованием ПЭВМ. Данный раздел посвящен анализу вредных факторов, воздействующих на работника, анализу и проектированию средств защиты от воздействия этих факторов. </w:t>
      </w:r>
    </w:p>
    <w:p w:rsidR="003F37D9" w:rsidRPr="003F37D9" w:rsidRDefault="003F37D9" w:rsidP="003F37D9">
      <w:pPr>
        <w:pStyle w:val="1"/>
      </w:pPr>
      <w:r w:rsidRPr="003F37D9">
        <w:t xml:space="preserve">7.1. </w:t>
      </w:r>
      <w:proofErr w:type="spellStart"/>
      <w:r w:rsidRPr="003F37D9">
        <w:t>Возможные</w:t>
      </w:r>
      <w:proofErr w:type="spellEnd"/>
      <w:r w:rsidRPr="003F37D9">
        <w:t xml:space="preserve"> </w:t>
      </w:r>
      <w:proofErr w:type="spellStart"/>
      <w:r w:rsidRPr="003F37D9">
        <w:t>последствия</w:t>
      </w:r>
      <w:proofErr w:type="spellEnd"/>
      <w:r w:rsidRPr="003F37D9">
        <w:t xml:space="preserve"> </w:t>
      </w:r>
      <w:proofErr w:type="spellStart"/>
      <w:r w:rsidRPr="003F37D9">
        <w:t>работы</w:t>
      </w:r>
      <w:proofErr w:type="spellEnd"/>
      <w:r w:rsidRPr="003F37D9">
        <w:t xml:space="preserve"> </w:t>
      </w:r>
      <w:proofErr w:type="spellStart"/>
      <w:r w:rsidRPr="003F37D9">
        <w:t>на</w:t>
      </w:r>
      <w:proofErr w:type="spellEnd"/>
      <w:r w:rsidRPr="003F37D9">
        <w:t xml:space="preserve"> ПЭВМ</w:t>
      </w:r>
    </w:p>
    <w:p w:rsidR="003F37D9" w:rsidRPr="003F37D9" w:rsidRDefault="003F37D9" w:rsidP="003F37D9">
      <w:r w:rsidRPr="003F37D9">
        <w:t xml:space="preserve">Как было упомянуто ранее, работа на ПЭВМ может оказать негативное влияние на здоровье работника, а также привести к возникновению ряда профессиональных заболеваний. Далее перечислим наиболее распространенные из них. </w:t>
      </w:r>
    </w:p>
    <w:p w:rsidR="003F37D9" w:rsidRPr="003F37D9" w:rsidRDefault="003F37D9" w:rsidP="003F37D9">
      <w:r w:rsidRPr="003F37D9">
        <w:rPr>
          <w:shd w:val="clear" w:color="auto" w:fill="FFFFFF"/>
        </w:rPr>
        <w:t>Заболевания ТПН (травмы повторяющихся нагрузок) – это болезни нервов, мышц и сухожилий руки. Наиболее часто страдают кисти, запястье и плечо, в редких случаях болезнь затрагивает плечевую и шейную области. Подобные заболевания обычно наступают в результате непрерывной работы на неправильно организованном рабочем месте.</w:t>
      </w:r>
    </w:p>
    <w:p w:rsidR="003F37D9" w:rsidRPr="003F37D9" w:rsidRDefault="003F37D9" w:rsidP="003F37D9">
      <w:pPr>
        <w:pStyle w:val="a5"/>
        <w:numPr>
          <w:ilvl w:val="0"/>
          <w:numId w:val="8"/>
        </w:numPr>
        <w:rPr>
          <w:shd w:val="clear" w:color="auto" w:fill="FFFFFF"/>
        </w:rPr>
      </w:pPr>
      <w:r w:rsidRPr="003F37D9">
        <w:rPr>
          <w:shd w:val="clear" w:color="auto" w:fill="FFFFFF"/>
        </w:rPr>
        <w:t>тендовагинит – воспаление и опухание сухожилий. Заболевание распространяется на кисть, запястье, плечо;</w:t>
      </w:r>
    </w:p>
    <w:p w:rsidR="003F37D9" w:rsidRPr="003F37D9" w:rsidRDefault="003F37D9" w:rsidP="003F37D9">
      <w:pPr>
        <w:pStyle w:val="a5"/>
        <w:numPr>
          <w:ilvl w:val="0"/>
          <w:numId w:val="8"/>
        </w:numPr>
        <w:rPr>
          <w:shd w:val="clear" w:color="auto" w:fill="FFFFFF"/>
        </w:rPr>
      </w:pPr>
      <w:r w:rsidRPr="003F37D9">
        <w:rPr>
          <w:shd w:val="clear" w:color="auto" w:fill="FFFFFF"/>
        </w:rPr>
        <w:t xml:space="preserve">травматический </w:t>
      </w:r>
      <w:proofErr w:type="spellStart"/>
      <w:r w:rsidRPr="003F37D9">
        <w:rPr>
          <w:shd w:val="clear" w:color="auto" w:fill="FFFFFF"/>
        </w:rPr>
        <w:t>эпикондилит</w:t>
      </w:r>
      <w:proofErr w:type="spellEnd"/>
      <w:r w:rsidRPr="003F37D9">
        <w:rPr>
          <w:shd w:val="clear" w:color="auto" w:fill="FFFFFF"/>
        </w:rPr>
        <w:t xml:space="preserve"> (теннисный локоть, лучевой бурсит) – раздражение сухожилий, соединяющих предплечья и локтевой сустав; </w:t>
      </w:r>
    </w:p>
    <w:p w:rsidR="003F37D9" w:rsidRPr="003F37D9" w:rsidRDefault="003F37D9" w:rsidP="003F37D9">
      <w:pPr>
        <w:pStyle w:val="a5"/>
        <w:numPr>
          <w:ilvl w:val="0"/>
          <w:numId w:val="8"/>
        </w:numPr>
        <w:rPr>
          <w:shd w:val="clear" w:color="auto" w:fill="FFFFFF"/>
        </w:rPr>
      </w:pPr>
      <w:r w:rsidRPr="003F37D9">
        <w:rPr>
          <w:shd w:val="clear" w:color="auto" w:fill="FFFFFF"/>
        </w:rPr>
        <w:t xml:space="preserve">болезнь де </w:t>
      </w:r>
      <w:proofErr w:type="spellStart"/>
      <w:r w:rsidRPr="003F37D9">
        <w:rPr>
          <w:shd w:val="clear" w:color="auto" w:fill="FFFFFF"/>
        </w:rPr>
        <w:t>Карвена</w:t>
      </w:r>
      <w:proofErr w:type="spellEnd"/>
      <w:r w:rsidRPr="003F37D9">
        <w:rPr>
          <w:shd w:val="clear" w:color="auto" w:fill="FFFFFF"/>
        </w:rPr>
        <w:t xml:space="preserve"> – разновидность тендовагинита, при которой страдают сухожилия, связанные с большим пальцем кисти руки; </w:t>
      </w:r>
    </w:p>
    <w:p w:rsidR="003F37D9" w:rsidRPr="003F37D9" w:rsidRDefault="003F37D9" w:rsidP="003F37D9">
      <w:pPr>
        <w:pStyle w:val="a5"/>
        <w:numPr>
          <w:ilvl w:val="0"/>
          <w:numId w:val="8"/>
        </w:numPr>
        <w:rPr>
          <w:shd w:val="clear" w:color="auto" w:fill="FFFFFF"/>
        </w:rPr>
      </w:pPr>
      <w:proofErr w:type="spellStart"/>
      <w:r w:rsidRPr="003F37D9">
        <w:rPr>
          <w:shd w:val="clear" w:color="auto" w:fill="FFFFFF"/>
        </w:rPr>
        <w:lastRenderedPageBreak/>
        <w:t>тендосиновит</w:t>
      </w:r>
      <w:proofErr w:type="spellEnd"/>
      <w:r w:rsidRPr="003F37D9">
        <w:rPr>
          <w:shd w:val="clear" w:color="auto" w:fill="FFFFFF"/>
        </w:rPr>
        <w:t xml:space="preserve"> – воспаление синовиальной оболочки сухожильного основания кисти и запястья; </w:t>
      </w:r>
    </w:p>
    <w:p w:rsidR="003F37D9" w:rsidRPr="003F37D9" w:rsidRDefault="003F37D9" w:rsidP="003F37D9">
      <w:pPr>
        <w:pStyle w:val="a5"/>
        <w:numPr>
          <w:ilvl w:val="0"/>
          <w:numId w:val="8"/>
        </w:numPr>
        <w:rPr>
          <w:shd w:val="clear" w:color="auto" w:fill="FFFFFF"/>
        </w:rPr>
      </w:pPr>
      <w:r w:rsidRPr="003F37D9">
        <w:rPr>
          <w:shd w:val="clear" w:color="auto" w:fill="FFFFFF"/>
        </w:rPr>
        <w:t xml:space="preserve">синдром канала запястья – ущемление медиального нерва руки в результате опухания сухожилия или синовиальной оболочки либо повторяющегося изгиба запястья. </w:t>
      </w:r>
    </w:p>
    <w:p w:rsidR="003F37D9" w:rsidRPr="003F37D9" w:rsidRDefault="003F37D9" w:rsidP="003F37D9">
      <w:r w:rsidRPr="003F37D9">
        <w:t>Существует также большое количество прочих заболеваний, с которыми в той или иной степени сталкивается множество пользователей ПЭВМ в процессе работы.</w:t>
      </w:r>
    </w:p>
    <w:p w:rsidR="003F37D9" w:rsidRPr="003F37D9" w:rsidRDefault="003F37D9" w:rsidP="003F37D9">
      <w:pPr>
        <w:pStyle w:val="a5"/>
        <w:numPr>
          <w:ilvl w:val="0"/>
          <w:numId w:val="4"/>
        </w:numPr>
      </w:pPr>
      <w:r w:rsidRPr="003F37D9">
        <w:t>зрительные и глазные симптомы: быстрая утомляемость глаз, резь и боль в глазах, слезоточивость, снижение остроты зрения и запаса относительной аккомодации (потеря возможности глазных мышц сокращаться), ложная (от спазма аккомодации) и истинная близорукость, нарушение бинокулярного (объемного) зрения, пелена перед глазами, изменение цвета предметов, покраснение и ощущения усталости век;</w:t>
      </w:r>
    </w:p>
    <w:p w:rsidR="003F37D9" w:rsidRPr="003F37D9" w:rsidRDefault="003F37D9" w:rsidP="003F37D9">
      <w:pPr>
        <w:pStyle w:val="a5"/>
        <w:numPr>
          <w:ilvl w:val="0"/>
          <w:numId w:val="4"/>
        </w:numPr>
      </w:pPr>
      <w:r w:rsidRPr="003F37D9">
        <w:t xml:space="preserve">физические недомогания: сонливость, головные боли, онемение конечностей, боли в спине, шее, запястный синдром (болезненное поражение срединного нерва запястья), сухость кожи и слизистых и т.п.; </w:t>
      </w:r>
    </w:p>
    <w:p w:rsidR="003F37D9" w:rsidRPr="003F37D9" w:rsidRDefault="003F37D9" w:rsidP="003F37D9">
      <w:pPr>
        <w:pStyle w:val="a5"/>
        <w:numPr>
          <w:ilvl w:val="0"/>
          <w:numId w:val="4"/>
        </w:numPr>
      </w:pPr>
      <w:r w:rsidRPr="003F37D9">
        <w:t>психические расстройства и нервно-соматические нарушения: чувство тревоги, нарушение сна, сужение интересов, ослабление памяти и др.;</w:t>
      </w:r>
    </w:p>
    <w:p w:rsidR="003F37D9" w:rsidRPr="003F37D9" w:rsidRDefault="003F37D9" w:rsidP="003F37D9">
      <w:pPr>
        <w:pStyle w:val="a5"/>
        <w:numPr>
          <w:ilvl w:val="0"/>
          <w:numId w:val="4"/>
        </w:numPr>
      </w:pPr>
      <w:r w:rsidRPr="003F37D9">
        <w:t xml:space="preserve">повышение уровня заболеваемости бронхитом, бронхиальной астмой, острыми респираторными заболеваниями, неврозами, остеохондрозами, проявление или обострение заболеваний желудочно-кишечного тракта. </w:t>
      </w:r>
    </w:p>
    <w:p w:rsidR="003F37D9" w:rsidRPr="003F37D9" w:rsidRDefault="003F37D9" w:rsidP="003F37D9">
      <w:r w:rsidRPr="003F37D9">
        <w:t>Подобные проявления заболеваний резко возрастают с увеличением времени работы на ПК и являются следствием ряда опасных и вредных производственных факторов.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повышенные зрительные нагрузки (зависят от качества изображения, наличия бликов на экране, длительности работы);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адинамия глазных мышц, т.е. их малая подвижность при высоком статическом зрительном напряжении в течение длительного времени;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lastRenderedPageBreak/>
        <w:t xml:space="preserve">длительные статические нагрузки вследствие нерациональной организации рабочего места (неудобные кресла, отсутствие пюпитров для текста и т.д.);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гиподинамия;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несоответствующие допустимым нормам условия труда: </w:t>
      </w:r>
    </w:p>
    <w:p w:rsidR="003F37D9" w:rsidRPr="003F37D9" w:rsidRDefault="003F37D9" w:rsidP="003F37D9">
      <w:pPr>
        <w:pStyle w:val="a5"/>
        <w:numPr>
          <w:ilvl w:val="0"/>
          <w:numId w:val="6"/>
        </w:numPr>
      </w:pPr>
      <w:r w:rsidRPr="003F37D9">
        <w:t xml:space="preserve">повышенная температура из-за постоянного нагрева деталей ПК, пониженная влажность, пониженная или повышенная подвижность воздуха; </w:t>
      </w:r>
    </w:p>
    <w:p w:rsidR="003F37D9" w:rsidRPr="003F37D9" w:rsidRDefault="003F37D9" w:rsidP="003F37D9">
      <w:pPr>
        <w:pStyle w:val="a5"/>
        <w:numPr>
          <w:ilvl w:val="0"/>
          <w:numId w:val="6"/>
        </w:numPr>
      </w:pPr>
      <w:r w:rsidRPr="003F37D9">
        <w:t>повышенный уровень запыленности и загазованности воздуха;</w:t>
      </w:r>
    </w:p>
    <w:p w:rsidR="003F37D9" w:rsidRPr="003F37D9" w:rsidRDefault="003F37D9" w:rsidP="003F37D9">
      <w:pPr>
        <w:pStyle w:val="a5"/>
        <w:numPr>
          <w:ilvl w:val="0"/>
          <w:numId w:val="6"/>
        </w:numPr>
      </w:pPr>
      <w:r w:rsidRPr="003F37D9">
        <w:t xml:space="preserve">повышенный или пониженный уровень освещенности, повышенная яркость, пульсация светового потока; </w:t>
      </w:r>
    </w:p>
    <w:p w:rsidR="003F37D9" w:rsidRPr="003F37D9" w:rsidRDefault="003F37D9" w:rsidP="003F37D9">
      <w:pPr>
        <w:pStyle w:val="a5"/>
        <w:numPr>
          <w:ilvl w:val="0"/>
          <w:numId w:val="6"/>
        </w:numPr>
      </w:pPr>
      <w:r w:rsidRPr="003F37D9">
        <w:t xml:space="preserve">повышенный уровень шума от работающих вентиляторов охлаждения ПК и принтеров, от неотрегулированных источников люминесцентного освещения;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нарушение норм аэроионного состава воздуха (концентрация полезных для организма отрицательно заряженных ионов кислорода зачастую ниже нормы в 10 – 50 раз, а вредных положительных значительно превышает норму);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повышенный уровень напряжения в электрических цепях питания и управления ПК, который может привести к </w:t>
      </w:r>
      <w:proofErr w:type="spellStart"/>
      <w:r w:rsidRPr="003F37D9">
        <w:t>электротравме</w:t>
      </w:r>
      <w:proofErr w:type="spellEnd"/>
      <w:r w:rsidRPr="003F37D9">
        <w:t xml:space="preserve"> оператора при 91 отсутствии заземления или </w:t>
      </w:r>
      <w:proofErr w:type="spellStart"/>
      <w:r w:rsidRPr="003F37D9">
        <w:t>зануления</w:t>
      </w:r>
      <w:proofErr w:type="spellEnd"/>
      <w:r w:rsidRPr="003F37D9">
        <w:t xml:space="preserve"> оборудования (источник – переменный ток промышленной частоты 50 Гц напряжением 220 </w:t>
      </w:r>
      <w:proofErr w:type="gramStart"/>
      <w:r w:rsidRPr="003F37D9">
        <w:t>В</w:t>
      </w:r>
      <w:proofErr w:type="gramEnd"/>
      <w:r w:rsidRPr="003F37D9">
        <w:t xml:space="preserve"> для питания компьютера; токи высокой частоты напряжением до 12000 В систем питания узлов дисплея); </w:t>
      </w:r>
    </w:p>
    <w:p w:rsidR="003F37D9" w:rsidRPr="003F37D9" w:rsidRDefault="003F37D9" w:rsidP="003F37D9">
      <w:pPr>
        <w:pStyle w:val="a5"/>
        <w:numPr>
          <w:ilvl w:val="0"/>
          <w:numId w:val="5"/>
        </w:numPr>
      </w:pPr>
      <w:r w:rsidRPr="003F37D9">
        <w:t xml:space="preserve">наличие переменного электромагнитного поля низкой частоты 15 – 110 кГц, которое генерируют многочисленные катушки внутри монитора (катушки строчной и кадровой развертки, силовых трансформаторов и катушки коррекции), а также другие электроустановки вне ПК, силовые кабели, особенно при отсутствии заземления или </w:t>
      </w:r>
      <w:proofErr w:type="spellStart"/>
      <w:r w:rsidRPr="003F37D9">
        <w:t>зануления</w:t>
      </w:r>
      <w:proofErr w:type="spellEnd"/>
      <w:r w:rsidRPr="003F37D9">
        <w:t xml:space="preserve"> оборудования; </w:t>
      </w:r>
    </w:p>
    <w:p w:rsidR="003F37D9" w:rsidRPr="003F37D9" w:rsidRDefault="003F37D9" w:rsidP="003F37D9">
      <w:pPr>
        <w:pStyle w:val="a5"/>
        <w:numPr>
          <w:ilvl w:val="0"/>
          <w:numId w:val="5"/>
        </w:numPr>
        <w:contextualSpacing w:val="0"/>
      </w:pPr>
      <w:r w:rsidRPr="003F37D9">
        <w:lastRenderedPageBreak/>
        <w:t xml:space="preserve">повышенный уровень напряженности электростатического поля, которое появляется вокруг монитора вследствие высокого напряжения в электронно-лучевой трубке. Электростатический потенциал, возникающий в теле пользователя во время работы за монитором, может достигнуть нескольких киловольт, что приводит к осаждению заряженных частиц пыли на коже и в легких [3]. </w:t>
      </w:r>
    </w:p>
    <w:p w:rsidR="003F37D9" w:rsidRPr="003F37D9" w:rsidRDefault="003F37D9" w:rsidP="003F37D9">
      <w:pPr>
        <w:contextualSpacing w:val="0"/>
      </w:pPr>
      <w:r w:rsidRPr="003F37D9">
        <w:t xml:space="preserve">Соблюдение санитарных правил позволит работнику снизить или в полной мере устранить влияние на здоровье опасных и вредных факторов производственной среды и трудового процесса при работе за ПК. Эти санитарные требования описаны в </w:t>
      </w:r>
      <w:proofErr w:type="spellStart"/>
      <w:r w:rsidRPr="003F37D9">
        <w:t>СанПин</w:t>
      </w:r>
      <w:proofErr w:type="spellEnd"/>
      <w:r w:rsidRPr="003F37D9">
        <w:t xml:space="preserve"> 2.2.2/2.4.1340-03. </w:t>
      </w:r>
    </w:p>
    <w:p w:rsidR="003F37D9" w:rsidRPr="003F37D9" w:rsidRDefault="003F37D9" w:rsidP="003F37D9">
      <w:pPr>
        <w:pStyle w:val="1"/>
      </w:pPr>
      <w:r w:rsidRPr="003F37D9">
        <w:t xml:space="preserve">7.2. </w:t>
      </w:r>
      <w:proofErr w:type="spellStart"/>
      <w:r w:rsidRPr="003F37D9">
        <w:t>Основные</w:t>
      </w:r>
      <w:proofErr w:type="spellEnd"/>
      <w:r w:rsidRPr="003F37D9">
        <w:t xml:space="preserve"> </w:t>
      </w:r>
      <w:proofErr w:type="spellStart"/>
      <w:r w:rsidRPr="003F37D9">
        <w:t>требования</w:t>
      </w:r>
      <w:proofErr w:type="spellEnd"/>
    </w:p>
    <w:p w:rsidR="003F37D9" w:rsidRPr="003F37D9" w:rsidRDefault="003F37D9" w:rsidP="003F37D9">
      <w:r w:rsidRPr="003F37D9">
        <w:t xml:space="preserve">Выполнение данного дипломного проекта связано с эксплуатацией персональной электронно-вычислительной машины (ПЭВМ). Однако ПЭВМ помимо расширения человеческих возможностей и повышения эффективности и производительности труда может также оказывать и отрицательное воздействие на состояние здоровья работника. Далее приведены основные требования к организации и условиям рабочего процесса. </w:t>
      </w:r>
    </w:p>
    <w:p w:rsidR="003F37D9" w:rsidRPr="003F37D9" w:rsidRDefault="003F37D9" w:rsidP="003F37D9">
      <w:pPr>
        <w:pStyle w:val="1"/>
      </w:pPr>
      <w:r w:rsidRPr="003F37D9">
        <w:t>7.2.1. Основные требования к организации рабочего помещения</w:t>
      </w:r>
    </w:p>
    <w:p w:rsidR="003F37D9" w:rsidRPr="003F37D9" w:rsidRDefault="003F37D9" w:rsidP="003F37D9">
      <w:pPr>
        <w:rPr>
          <w:bdr w:val="none" w:sz="0" w:space="0" w:color="auto" w:frame="1"/>
          <w:lang w:eastAsia="ru-RU"/>
        </w:rPr>
      </w:pPr>
      <w:r w:rsidRPr="003F37D9">
        <w:rPr>
          <w:bdr w:val="none" w:sz="0" w:space="0" w:color="auto" w:frame="1"/>
          <w:lang w:eastAsia="ru-RU"/>
        </w:rPr>
        <w:t xml:space="preserve">В рабочем помещении уровни естественного и искусственного освещения должны соответствовать требованиям действующей нормативной документации. </w:t>
      </w:r>
      <w:r w:rsidRPr="003F37D9">
        <w:t xml:space="preserve">В качестве источников света при искусственном освещении следует применять преимущественно </w:t>
      </w:r>
      <w:proofErr w:type="spellStart"/>
      <w:r w:rsidRPr="003F37D9">
        <w:t>люминесценные</w:t>
      </w:r>
      <w:proofErr w:type="spellEnd"/>
      <w:r w:rsidRPr="003F37D9">
        <w:t xml:space="preserve"> лампы типа ЛБ и компактные люминесцентные лампы. В светильниках местного освещения допускается применение ламп накаливания. Освещение не должно создавать бликов на поверхности экрана.</w:t>
      </w:r>
    </w:p>
    <w:p w:rsidR="003F37D9" w:rsidRPr="003F37D9" w:rsidRDefault="003F37D9" w:rsidP="003F37D9">
      <w:pPr>
        <w:ind w:firstLine="708"/>
      </w:pPr>
      <w:r w:rsidRPr="003F37D9">
        <w:lastRenderedPageBreak/>
        <w:t xml:space="preserve">Рабочие столы следует размещать таким образом, чтобы </w:t>
      </w:r>
      <w:proofErr w:type="spellStart"/>
      <w:r w:rsidRPr="003F37D9">
        <w:t>видеодисплейные</w:t>
      </w:r>
      <w:proofErr w:type="spellEnd"/>
      <w:r w:rsidRPr="003F37D9">
        <w:t xml:space="preserve"> терминалы были ориентированы боковой стороной к световым проемам, чтобы естественный свет падал преимущественно слева. </w:t>
      </w:r>
    </w:p>
    <w:p w:rsidR="003F37D9" w:rsidRPr="003F37D9" w:rsidRDefault="003F37D9" w:rsidP="003F37D9">
      <w:pPr>
        <w:ind w:firstLine="708"/>
      </w:pPr>
      <w:r w:rsidRPr="003F37D9">
        <w:rPr>
          <w:bdr w:val="none" w:sz="0" w:space="0" w:color="auto" w:frame="1"/>
          <w:lang w:eastAsia="ru-RU"/>
        </w:rPr>
        <w:t>Окна в помещениях, где эксплуатируется вычислительная техника, преимущественно должны быть ориентированы на север и северо-восток.</w:t>
      </w:r>
      <w:r w:rsidRPr="003F37D9">
        <w:rPr>
          <w:sz w:val="20"/>
          <w:szCs w:val="20"/>
          <w:lang w:eastAsia="ru-RU"/>
        </w:rPr>
        <w:t xml:space="preserve"> </w:t>
      </w:r>
      <w:r w:rsidRPr="003F37D9">
        <w:t>Оконные проемы должны быть оборудованы регулируемыми устройствами типа: жалюзи, занавесей, внешних козырьков и др.</w:t>
      </w:r>
    </w:p>
    <w:p w:rsidR="003F37D9" w:rsidRPr="003F37D9" w:rsidRDefault="003F37D9" w:rsidP="003F37D9">
      <w:pPr>
        <w:ind w:firstLine="708"/>
      </w:pPr>
      <w:r w:rsidRPr="003F37D9">
        <w:rPr>
          <w:bdr w:val="none" w:sz="0" w:space="0" w:color="auto" w:frame="1"/>
          <w:lang w:eastAsia="ru-RU"/>
        </w:rPr>
        <w:t>Площадь на одно рабочее место пользователей ПЭВМ с ВДТ на базе плоских дискретных экранов (жидкокристаллические, плазменные) должна составлять не менее 4,5 м</w:t>
      </w:r>
      <w:r w:rsidRPr="003F37D9">
        <w:rPr>
          <w:bdr w:val="none" w:sz="0" w:space="0" w:color="auto" w:frame="1"/>
          <w:vertAlign w:val="superscript"/>
          <w:lang w:eastAsia="ru-RU"/>
        </w:rPr>
        <w:t>2</w:t>
      </w:r>
      <w:r w:rsidRPr="003F37D9">
        <w:rPr>
          <w:bdr w:val="none" w:sz="0" w:space="0" w:color="auto" w:frame="1"/>
          <w:lang w:eastAsia="ru-RU"/>
        </w:rPr>
        <w:t>.</w:t>
      </w:r>
    </w:p>
    <w:p w:rsidR="003F37D9" w:rsidRPr="003F37D9" w:rsidRDefault="003F37D9" w:rsidP="003F37D9">
      <w:pPr>
        <w:ind w:firstLine="708"/>
      </w:pPr>
      <w:r w:rsidRPr="003F37D9">
        <w:rPr>
          <w:bdr w:val="none" w:sz="0" w:space="0" w:color="auto" w:frame="1"/>
          <w:lang w:eastAsia="ru-RU"/>
        </w:rPr>
        <w:t>Для внутренней отделки интерьера помещений, где расположены ПЭВМ, должны использоваться диффузно отражающие материалы с коэффициентом отражения для потолка - 0,7 - 0,8; для стен - 0,5 - 0,6; для пола - 0,3 - 0,5.</w:t>
      </w:r>
    </w:p>
    <w:p w:rsidR="003F37D9" w:rsidRPr="003F37D9" w:rsidRDefault="003F37D9" w:rsidP="003F37D9">
      <w:pPr>
        <w:ind w:firstLine="708"/>
      </w:pPr>
      <w:r w:rsidRPr="003F37D9">
        <w:rPr>
          <w:bdr w:val="none" w:sz="0" w:space="0" w:color="auto" w:frame="1"/>
          <w:lang w:eastAsia="ru-RU"/>
        </w:rPr>
        <w:t>Помещения, где размещаются рабочие места с ПЭВМ, должны быть оборудованы защитным заземлением в соответствии с техническими требованиями по эксплуатации [1].</w:t>
      </w:r>
    </w:p>
    <w:p w:rsidR="003F37D9" w:rsidRPr="003F37D9" w:rsidRDefault="003F37D9" w:rsidP="003F37D9">
      <w:pPr>
        <w:pStyle w:val="1"/>
      </w:pPr>
      <w:r w:rsidRPr="003F37D9">
        <w:t>7.2.2. Основные требования к воздействию вредных факторов</w:t>
      </w:r>
    </w:p>
    <w:p w:rsidR="003F37D9" w:rsidRPr="003F37D9" w:rsidRDefault="003F37D9" w:rsidP="003F37D9">
      <w:r w:rsidRPr="003F37D9">
        <w:t xml:space="preserve">Основными устройствами, используемые для выполнения данного проекта, являются ПЭВМ, </w:t>
      </w:r>
      <w:proofErr w:type="spellStart"/>
      <w:r w:rsidRPr="003F37D9">
        <w:t>видеодисплейный</w:t>
      </w:r>
      <w:proofErr w:type="spellEnd"/>
      <w:r w:rsidRPr="003F37D9">
        <w:t xml:space="preserve"> терминал (ВДТ) на базе жидкокристаллического экрана, сетевое устройство (маршрутизатор). Среди факторов, подлежащих контролю при работе с вышеперечисленными устройствами, выделим следующие: </w:t>
      </w:r>
    </w:p>
    <w:p w:rsidR="003F37D9" w:rsidRPr="003F37D9" w:rsidRDefault="003F37D9" w:rsidP="003F37D9">
      <w:pPr>
        <w:pStyle w:val="a5"/>
        <w:numPr>
          <w:ilvl w:val="0"/>
          <w:numId w:val="2"/>
        </w:numPr>
      </w:pPr>
      <w:r w:rsidRPr="003F37D9">
        <w:t>уровень шума и вибрации;</w:t>
      </w:r>
    </w:p>
    <w:p w:rsidR="003F37D9" w:rsidRPr="003F37D9" w:rsidRDefault="003F37D9" w:rsidP="003F37D9">
      <w:pPr>
        <w:pStyle w:val="a5"/>
        <w:numPr>
          <w:ilvl w:val="0"/>
          <w:numId w:val="2"/>
        </w:numPr>
      </w:pPr>
      <w:r w:rsidRPr="003F37D9">
        <w:rPr>
          <w:kern w:val="36"/>
          <w:bdr w:val="none" w:sz="0" w:space="0" w:color="auto" w:frame="1"/>
          <w:lang w:eastAsia="ru-RU"/>
        </w:rPr>
        <w:t>микроклимат, содержание вредных химических веществ в воздухе;</w:t>
      </w:r>
    </w:p>
    <w:p w:rsidR="003F37D9" w:rsidRPr="003F37D9" w:rsidRDefault="003F37D9" w:rsidP="003F37D9">
      <w:pPr>
        <w:pStyle w:val="a5"/>
        <w:numPr>
          <w:ilvl w:val="0"/>
          <w:numId w:val="2"/>
        </w:numPr>
      </w:pPr>
      <w:r w:rsidRPr="003F37D9">
        <w:t xml:space="preserve">уровень электромагнитных полей (ЭМП); </w:t>
      </w:r>
    </w:p>
    <w:p w:rsidR="003F37D9" w:rsidRPr="003F37D9" w:rsidRDefault="003F37D9" w:rsidP="003F37D9">
      <w:pPr>
        <w:pStyle w:val="a5"/>
        <w:numPr>
          <w:ilvl w:val="0"/>
          <w:numId w:val="2"/>
        </w:numPr>
      </w:pPr>
      <w:r w:rsidRPr="003F37D9">
        <w:t xml:space="preserve">визуальные показатели ВДТ. </w:t>
      </w:r>
    </w:p>
    <w:p w:rsidR="003F37D9" w:rsidRPr="003F37D9" w:rsidRDefault="003F37D9" w:rsidP="003F37D9">
      <w:r w:rsidRPr="003F37D9">
        <w:t xml:space="preserve">Допустимые параметры на указанные факторы описаны в приложениях к </w:t>
      </w:r>
      <w:proofErr w:type="spellStart"/>
      <w:r w:rsidRPr="003F37D9">
        <w:t>СанПин</w:t>
      </w:r>
      <w:proofErr w:type="spellEnd"/>
      <w:r w:rsidRPr="003F37D9">
        <w:t xml:space="preserve"> 2.2.2/2.4.1340-03 и кратко представлены ниже. </w:t>
      </w:r>
    </w:p>
    <w:p w:rsidR="003F37D9" w:rsidRPr="003F37D9" w:rsidRDefault="003F37D9" w:rsidP="003F37D9">
      <w:pPr>
        <w:rPr>
          <w:sz w:val="20"/>
          <w:szCs w:val="20"/>
          <w:lang w:eastAsia="ru-RU"/>
        </w:rPr>
      </w:pPr>
      <w:r w:rsidRPr="003F37D9">
        <w:lastRenderedPageBreak/>
        <w:t xml:space="preserve">Требования к уровню акустического шума описаны в разделе 5 </w:t>
      </w:r>
      <w:proofErr w:type="spellStart"/>
      <w:r w:rsidRPr="003F37D9">
        <w:t>СанПин</w:t>
      </w:r>
      <w:proofErr w:type="spellEnd"/>
      <w:r w:rsidRPr="003F37D9">
        <w:t xml:space="preserve"> 2.2.2/2.4.1340-03. Для рабочих помещений эквивалентный уровень звука не должен превышать 60 </w:t>
      </w:r>
      <w:proofErr w:type="spellStart"/>
      <w:r w:rsidRPr="003F37D9">
        <w:t>дБА</w:t>
      </w:r>
      <w:proofErr w:type="spellEnd"/>
      <w:r w:rsidRPr="003F37D9">
        <w:t xml:space="preserve">, а максимальный уровень звука не должен превышать 70 </w:t>
      </w:r>
      <w:proofErr w:type="spellStart"/>
      <w:r w:rsidRPr="003F37D9">
        <w:t>дБА</w:t>
      </w:r>
      <w:proofErr w:type="spellEnd"/>
      <w:r w:rsidRPr="003F37D9">
        <w:t xml:space="preserve">. </w:t>
      </w:r>
      <w:r w:rsidRPr="003F37D9">
        <w:rPr>
          <w:bdr w:val="none" w:sz="0" w:space="0" w:color="auto" w:frame="1"/>
          <w:lang w:eastAsia="ru-RU"/>
        </w:rPr>
        <w:t>При выполнении работ с использованием ПЭВМ уровень вибрации не должен превышать допустимых значений для жилых и общественных зданий в соответствии с действующими санитарно-эпидемиологическими нормативами. Шумящее оборудование (печатающие устройства, серверы и т.п.), уровни шума которого превышают нормативные, должно размещаться вне помещений с ПЭВМ [1].</w:t>
      </w:r>
    </w:p>
    <w:p w:rsidR="003F37D9" w:rsidRPr="003F37D9" w:rsidRDefault="003F37D9" w:rsidP="003F37D9">
      <w:pPr>
        <w:rPr>
          <w:sz w:val="20"/>
          <w:szCs w:val="20"/>
        </w:rPr>
      </w:pPr>
      <w:r w:rsidRPr="003F37D9">
        <w:t xml:space="preserve">Требования к </w:t>
      </w:r>
      <w:bookmarkStart w:id="0" w:name="i48286"/>
      <w:r w:rsidRPr="003F37D9">
        <w:rPr>
          <w:bdr w:val="none" w:sz="0" w:space="0" w:color="auto" w:frame="1"/>
        </w:rPr>
        <w:t>микроклимату, содержанию аэроионов и вредных химических веществ в воздухе на рабочих местах</w:t>
      </w:r>
      <w:bookmarkEnd w:id="0"/>
      <w:r w:rsidRPr="003F37D9">
        <w:t xml:space="preserve"> описаны в разделе 4 </w:t>
      </w:r>
      <w:proofErr w:type="spellStart"/>
      <w:r w:rsidRPr="003F37D9">
        <w:t>СанПин</w:t>
      </w:r>
      <w:proofErr w:type="spellEnd"/>
      <w:r w:rsidRPr="003F37D9">
        <w:t xml:space="preserve"> 2.2.2/2.4.1340-03. </w:t>
      </w:r>
      <w:r w:rsidRPr="003F37D9">
        <w:rPr>
          <w:bdr w:val="none" w:sz="0" w:space="0" w:color="auto" w:frame="1"/>
        </w:rPr>
        <w:t>В рабочих помещениях всех типов должны обеспечиваться оптимальные параметры микроклимата (таблица 7.1).</w:t>
      </w:r>
    </w:p>
    <w:p w:rsidR="003F37D9" w:rsidRPr="003F37D9" w:rsidRDefault="003F37D9" w:rsidP="003F37D9">
      <w:pPr>
        <w:rPr>
          <w:bdr w:val="none" w:sz="0" w:space="0" w:color="auto" w:frame="1"/>
        </w:rPr>
      </w:pPr>
      <w:r w:rsidRPr="003F37D9">
        <w:rPr>
          <w:bdr w:val="none" w:sz="0" w:space="0" w:color="auto" w:frame="1"/>
        </w:rPr>
        <w:t>В помещениях, оборудованных ПЭВМ, должна проводиться ежедневная влажная уборка и систематическое проветривание после каждого часа работы на ПЭВМ.</w:t>
      </w:r>
      <w:r w:rsidRPr="003F37D9">
        <w:rPr>
          <w:sz w:val="20"/>
          <w:szCs w:val="20"/>
        </w:rPr>
        <w:t xml:space="preserve"> </w:t>
      </w:r>
      <w:r w:rsidRPr="003F37D9">
        <w:rPr>
          <w:bdr w:val="none" w:sz="0" w:space="0" w:color="auto" w:frame="1"/>
        </w:rPr>
        <w:t>Уровни положительных и отрицательных аэроионов в воздухе помещений, где расположены ПЭВМ, должны соответствовать действующим санитарно-эпидемиологическим нормативам</w:t>
      </w:r>
      <w:r w:rsidRPr="003F37D9">
        <w:rPr>
          <w:bdr w:val="none" w:sz="0" w:space="0" w:color="auto" w:frame="1"/>
          <w:lang w:eastAsia="ru-RU"/>
        </w:rPr>
        <w:t xml:space="preserve"> [1]</w:t>
      </w:r>
      <w:r w:rsidRPr="003F37D9">
        <w:rPr>
          <w:bdr w:val="none" w:sz="0" w:space="0" w:color="auto" w:frame="1"/>
        </w:rPr>
        <w:t>.</w:t>
      </w:r>
    </w:p>
    <w:p w:rsidR="003F37D9" w:rsidRPr="003F37D9" w:rsidRDefault="003F37D9" w:rsidP="003F37D9">
      <w:r w:rsidRPr="003F37D9">
        <w:t xml:space="preserve">В таблице 7.1. представлены оптимальные параметры микроклимата для категории работ </w:t>
      </w:r>
      <w:proofErr w:type="spellStart"/>
      <w:r w:rsidRPr="003F37D9">
        <w:rPr>
          <w:lang w:val="en-US"/>
        </w:rPr>
        <w:t>Ia</w:t>
      </w:r>
      <w:proofErr w:type="spellEnd"/>
      <w:r w:rsidRPr="003F37D9">
        <w:t xml:space="preserve"> (с интенсивностью </w:t>
      </w:r>
      <w:proofErr w:type="spellStart"/>
      <w:r w:rsidRPr="003F37D9">
        <w:t>энерготрат</w:t>
      </w:r>
      <w:proofErr w:type="spellEnd"/>
      <w:r w:rsidRPr="003F37D9">
        <w:t xml:space="preserve"> до 120 ккал/ч (до 139 Вт), производимые сидя и сопровождающиеся незначительным физическим напряжением) для холодного и теплового периодов года соответственно [8].</w:t>
      </w:r>
    </w:p>
    <w:p w:rsidR="003F37D9" w:rsidRPr="003F37D9" w:rsidRDefault="003F37D9" w:rsidP="003F37D9">
      <w:pPr>
        <w:spacing w:before="120" w:after="120"/>
        <w:contextualSpacing w:val="0"/>
        <w:rPr>
          <w:bdr w:val="none" w:sz="0" w:space="0" w:color="auto" w:frame="1"/>
          <w:shd w:val="clear" w:color="auto" w:fill="FFFFFF"/>
        </w:rPr>
      </w:pPr>
      <w:r w:rsidRPr="003F37D9">
        <w:t xml:space="preserve">Таблица 7.1 – </w:t>
      </w:r>
      <w:r w:rsidRPr="003F37D9">
        <w:rPr>
          <w:bdr w:val="none" w:sz="0" w:space="0" w:color="auto" w:frame="1"/>
          <w:shd w:val="clear" w:color="auto" w:fill="FFFFFF"/>
        </w:rPr>
        <w:t>Оптимальные параметры микроклимата</w:t>
      </w:r>
    </w:p>
    <w:tbl>
      <w:tblPr>
        <w:tblStyle w:val="a6"/>
        <w:tblW w:w="4834" w:type="pct"/>
        <w:jc w:val="center"/>
        <w:tblLook w:val="04A0" w:firstRow="1" w:lastRow="0" w:firstColumn="1" w:lastColumn="0" w:noHBand="0" w:noVBand="1"/>
      </w:tblPr>
      <w:tblGrid>
        <w:gridCol w:w="1888"/>
        <w:gridCol w:w="2353"/>
        <w:gridCol w:w="2215"/>
        <w:gridCol w:w="2579"/>
      </w:tblGrid>
      <w:tr w:rsidR="003F37D9" w:rsidRPr="003F37D9" w:rsidTr="00EC6108">
        <w:trPr>
          <w:jc w:val="center"/>
        </w:trPr>
        <w:tc>
          <w:tcPr>
            <w:tcW w:w="1045" w:type="pct"/>
            <w:vAlign w:val="center"/>
            <w:hideMark/>
          </w:tcPr>
          <w:p w:rsidR="003F37D9" w:rsidRPr="003F37D9" w:rsidRDefault="003F37D9" w:rsidP="00EC6108">
            <w:pPr>
              <w:spacing w:line="276" w:lineRule="auto"/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Температура воздуха, °C</w:t>
            </w:r>
          </w:p>
        </w:tc>
        <w:tc>
          <w:tcPr>
            <w:tcW w:w="1302" w:type="pct"/>
            <w:vAlign w:val="center"/>
            <w:hideMark/>
          </w:tcPr>
          <w:p w:rsidR="003F37D9" w:rsidRPr="003F37D9" w:rsidRDefault="003F37D9" w:rsidP="00EC6108">
            <w:pPr>
              <w:spacing w:line="276" w:lineRule="auto"/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Температура поверхностей, °C</w:t>
            </w:r>
          </w:p>
        </w:tc>
        <w:tc>
          <w:tcPr>
            <w:tcW w:w="1226" w:type="pct"/>
            <w:vAlign w:val="center"/>
            <w:hideMark/>
          </w:tcPr>
          <w:p w:rsidR="003F37D9" w:rsidRPr="003F37D9" w:rsidRDefault="003F37D9" w:rsidP="00EC6108">
            <w:pPr>
              <w:spacing w:line="276" w:lineRule="auto"/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Относительная влажность, %</w:t>
            </w:r>
          </w:p>
        </w:tc>
        <w:tc>
          <w:tcPr>
            <w:tcW w:w="1427" w:type="pct"/>
            <w:vAlign w:val="center"/>
            <w:hideMark/>
          </w:tcPr>
          <w:p w:rsidR="003F37D9" w:rsidRPr="003F37D9" w:rsidRDefault="003F37D9" w:rsidP="00EC6108">
            <w:pPr>
              <w:spacing w:line="276" w:lineRule="auto"/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Скорость движения воздуха, м/с</w:t>
            </w:r>
          </w:p>
        </w:tc>
      </w:tr>
      <w:tr w:rsidR="003F37D9" w:rsidRPr="003F37D9" w:rsidTr="00EC6108">
        <w:trPr>
          <w:jc w:val="center"/>
        </w:trPr>
        <w:tc>
          <w:tcPr>
            <w:tcW w:w="1045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22 - 24</w:t>
            </w:r>
          </w:p>
        </w:tc>
        <w:tc>
          <w:tcPr>
            <w:tcW w:w="1302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21 - 25</w:t>
            </w:r>
          </w:p>
        </w:tc>
        <w:tc>
          <w:tcPr>
            <w:tcW w:w="1226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0,1</w:t>
            </w:r>
          </w:p>
        </w:tc>
      </w:tr>
      <w:tr w:rsidR="003F37D9" w:rsidRPr="003F37D9" w:rsidTr="00EC6108">
        <w:trPr>
          <w:jc w:val="center"/>
        </w:trPr>
        <w:tc>
          <w:tcPr>
            <w:tcW w:w="1045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23 - 25</w:t>
            </w:r>
          </w:p>
        </w:tc>
        <w:tc>
          <w:tcPr>
            <w:tcW w:w="1302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22 - 26</w:t>
            </w:r>
          </w:p>
        </w:tc>
        <w:tc>
          <w:tcPr>
            <w:tcW w:w="1226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60 - 40</w:t>
            </w:r>
          </w:p>
        </w:tc>
        <w:tc>
          <w:tcPr>
            <w:tcW w:w="1427" w:type="pct"/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szCs w:val="28"/>
                <w:lang w:eastAsia="ru-RU"/>
              </w:rPr>
            </w:pPr>
            <w:r w:rsidRPr="003F37D9">
              <w:rPr>
                <w:szCs w:val="28"/>
                <w:lang w:eastAsia="ru-RU"/>
              </w:rPr>
              <w:t>0,1</w:t>
            </w:r>
          </w:p>
        </w:tc>
      </w:tr>
    </w:tbl>
    <w:p w:rsidR="003F37D9" w:rsidRPr="003F37D9" w:rsidRDefault="003F37D9" w:rsidP="003F37D9">
      <w:pPr>
        <w:shd w:val="clear" w:color="auto" w:fill="FFFFFF"/>
        <w:spacing w:line="210" w:lineRule="atLeast"/>
        <w:ind w:firstLine="0"/>
        <w:rPr>
          <w:bdr w:val="none" w:sz="0" w:space="0" w:color="auto" w:frame="1"/>
        </w:rPr>
      </w:pPr>
    </w:p>
    <w:p w:rsidR="003F37D9" w:rsidRPr="003F37D9" w:rsidRDefault="003F37D9" w:rsidP="003F37D9">
      <w:pPr>
        <w:rPr>
          <w:bdr w:val="none" w:sz="0" w:space="0" w:color="auto" w:frame="1"/>
        </w:rPr>
      </w:pPr>
      <w:r w:rsidRPr="003F37D9">
        <w:rPr>
          <w:shd w:val="clear" w:color="auto" w:fill="FFFFFF"/>
        </w:rPr>
        <w:t>Временные допустимые уровни ЭМП, создаваемых ПЭВМ на рабочих местах пользователей, представлены в таблице 7.2.</w:t>
      </w: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</w:pP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</w:pP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</w:pPr>
      <w:r w:rsidRPr="003F37D9">
        <w:t>Таблица 7.2 – Допустимые уровни ЭМП на рабочем месте с ПЭВМ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5"/>
        <w:gridCol w:w="4672"/>
        <w:gridCol w:w="2038"/>
      </w:tblGrid>
      <w:tr w:rsidR="003F37D9" w:rsidRPr="003F37D9" w:rsidTr="00EC6108">
        <w:trPr>
          <w:trHeight w:val="421"/>
        </w:trPr>
        <w:tc>
          <w:tcPr>
            <w:tcW w:w="7479" w:type="dxa"/>
            <w:gridSpan w:val="2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Наименование параметров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ВДУ ЭМП</w:t>
            </w:r>
          </w:p>
        </w:tc>
      </w:tr>
      <w:tr w:rsidR="003F37D9" w:rsidRPr="003F37D9" w:rsidTr="00EC6108">
        <w:tc>
          <w:tcPr>
            <w:tcW w:w="2660" w:type="dxa"/>
            <w:vMerge w:val="restart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Напряженность электрического поля</w:t>
            </w:r>
          </w:p>
        </w:tc>
        <w:tc>
          <w:tcPr>
            <w:tcW w:w="4819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В диапазоне частот 5 Гц - 2 кГц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25 В/м</w:t>
            </w:r>
          </w:p>
        </w:tc>
      </w:tr>
      <w:tr w:rsidR="003F37D9" w:rsidRPr="003F37D9" w:rsidTr="00EC6108">
        <w:tc>
          <w:tcPr>
            <w:tcW w:w="2660" w:type="dxa"/>
            <w:vMerge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</w:p>
        </w:tc>
        <w:tc>
          <w:tcPr>
            <w:tcW w:w="4819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В диапазоне частот 2 кГц - 400 кГц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2,5 В/м</w:t>
            </w:r>
          </w:p>
        </w:tc>
      </w:tr>
      <w:tr w:rsidR="003F37D9" w:rsidRPr="003F37D9" w:rsidTr="00EC6108">
        <w:tc>
          <w:tcPr>
            <w:tcW w:w="2660" w:type="dxa"/>
            <w:vMerge w:val="restart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Плотность магнитного потока</w:t>
            </w:r>
          </w:p>
        </w:tc>
        <w:tc>
          <w:tcPr>
            <w:tcW w:w="4819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В диапазоне частот 5 Гц - 2 кГц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 xml:space="preserve">250 </w:t>
            </w:r>
            <w:proofErr w:type="spellStart"/>
            <w:r w:rsidRPr="003F37D9">
              <w:t>нТл</w:t>
            </w:r>
            <w:proofErr w:type="spellEnd"/>
          </w:p>
        </w:tc>
      </w:tr>
      <w:tr w:rsidR="003F37D9" w:rsidRPr="003F37D9" w:rsidTr="00EC6108">
        <w:tc>
          <w:tcPr>
            <w:tcW w:w="2660" w:type="dxa"/>
            <w:vMerge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</w:p>
        </w:tc>
        <w:tc>
          <w:tcPr>
            <w:tcW w:w="4819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>В диапазоне частот 2 кГц - 400 кГц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t xml:space="preserve">25 </w:t>
            </w:r>
            <w:proofErr w:type="spellStart"/>
            <w:r w:rsidRPr="003F37D9">
              <w:t>нТл</w:t>
            </w:r>
            <w:proofErr w:type="spellEnd"/>
          </w:p>
        </w:tc>
      </w:tr>
      <w:tr w:rsidR="003F37D9" w:rsidRPr="003F37D9" w:rsidTr="00EC6108">
        <w:trPr>
          <w:trHeight w:val="529"/>
        </w:trPr>
        <w:tc>
          <w:tcPr>
            <w:tcW w:w="7479" w:type="dxa"/>
            <w:gridSpan w:val="2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rPr>
                <w:bdr w:val="none" w:sz="0" w:space="0" w:color="auto" w:frame="1"/>
                <w:lang w:eastAsia="ru-RU"/>
              </w:rPr>
              <w:t>Электростатический потенциал экрана видеомонитора</w:t>
            </w:r>
          </w:p>
        </w:tc>
        <w:tc>
          <w:tcPr>
            <w:tcW w:w="2092" w:type="dxa"/>
            <w:vAlign w:val="center"/>
          </w:tcPr>
          <w:p w:rsidR="003F37D9" w:rsidRPr="003F37D9" w:rsidRDefault="003F37D9" w:rsidP="00EC6108">
            <w:pPr>
              <w:ind w:firstLine="0"/>
              <w:jc w:val="center"/>
            </w:pPr>
            <w:r w:rsidRPr="003F37D9">
              <w:rPr>
                <w:bdr w:val="none" w:sz="0" w:space="0" w:color="auto" w:frame="1"/>
                <w:lang w:eastAsia="ru-RU"/>
              </w:rPr>
              <w:t>500 В</w:t>
            </w:r>
          </w:p>
        </w:tc>
      </w:tr>
    </w:tbl>
    <w:p w:rsidR="003F37D9" w:rsidRPr="003F37D9" w:rsidRDefault="003F37D9" w:rsidP="003F37D9">
      <w:pPr>
        <w:pStyle w:val="2"/>
        <w:shd w:val="clear" w:color="auto" w:fill="FFFFFF"/>
        <w:spacing w:line="210" w:lineRule="atLeast"/>
        <w:ind w:firstLine="0"/>
        <w:jc w:val="both"/>
        <w:rPr>
          <w:b/>
          <w:bCs/>
          <w:caps/>
          <w:sz w:val="24"/>
          <w:szCs w:val="24"/>
          <w:bdr w:val="none" w:sz="0" w:space="0" w:color="auto" w:frame="1"/>
        </w:rPr>
      </w:pPr>
      <w:bookmarkStart w:id="1" w:name="i505990"/>
    </w:p>
    <w:p w:rsidR="003F37D9" w:rsidRPr="003F37D9" w:rsidRDefault="003F37D9" w:rsidP="003F37D9">
      <w:pPr>
        <w:rPr>
          <w:shd w:val="clear" w:color="auto" w:fill="FFFFFF"/>
        </w:rPr>
      </w:pPr>
      <w:r w:rsidRPr="003F37D9">
        <w:rPr>
          <w:shd w:val="clear" w:color="auto" w:fill="FFFFFF"/>
        </w:rPr>
        <w:t>Предельно допустимые значения визуальных параметров ВДТ, контролируемые на рабочих местах, представлены в таблице 7.3.</w:t>
      </w:r>
    </w:p>
    <w:p w:rsidR="003F37D9" w:rsidRPr="003F37D9" w:rsidRDefault="003F37D9" w:rsidP="003F37D9">
      <w:pPr>
        <w:shd w:val="clear" w:color="auto" w:fill="FFFFFF"/>
        <w:spacing w:before="120" w:after="120" w:line="210" w:lineRule="atLeast"/>
        <w:contextualSpacing w:val="0"/>
        <w:jc w:val="center"/>
        <w:rPr>
          <w:lang w:eastAsia="ru-RU"/>
        </w:rPr>
      </w:pPr>
      <w:r w:rsidRPr="003F37D9">
        <w:t>Таблица 7.3 –</w:t>
      </w:r>
      <w:r w:rsidRPr="003F37D9">
        <w:rPr>
          <w:b/>
          <w:bCs/>
          <w:bdr w:val="none" w:sz="0" w:space="0" w:color="auto" w:frame="1"/>
        </w:rPr>
        <w:t xml:space="preserve"> </w:t>
      </w:r>
      <w:r w:rsidRPr="003F37D9">
        <w:rPr>
          <w:lang w:eastAsia="ru-RU"/>
        </w:rPr>
        <w:t>Визуальные параметры ВДТ на рабочих местах</w:t>
      </w:r>
    </w:p>
    <w:p w:rsidR="003F37D9" w:rsidRPr="003F37D9" w:rsidRDefault="003F37D9" w:rsidP="003F37D9">
      <w:pPr>
        <w:shd w:val="clear" w:color="auto" w:fill="FFFFFF"/>
        <w:spacing w:line="21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5625"/>
        <w:gridCol w:w="2989"/>
      </w:tblGrid>
      <w:tr w:rsidR="003F37D9" w:rsidRPr="003F37D9" w:rsidTr="00EC6108">
        <w:trPr>
          <w:trHeight w:val="478"/>
          <w:tblHeader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Параметры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Допустимые значения</w:t>
            </w:r>
          </w:p>
        </w:tc>
      </w:tr>
      <w:tr w:rsidR="003F37D9" w:rsidRPr="003F37D9" w:rsidTr="00EC6108">
        <w:trPr>
          <w:jc w:val="center"/>
        </w:trPr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Яркость белого поля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vertAlign w:val="superscript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35 кд/м</w:t>
            </w:r>
            <w:r w:rsidRPr="003F37D9">
              <w:rPr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</w:tr>
      <w:tr w:rsidR="003F37D9" w:rsidRPr="003F37D9" w:rsidTr="00EC6108">
        <w:trPr>
          <w:jc w:val="center"/>
        </w:trPr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Неравномерность яркости рабочего поля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 xml:space="preserve">Не </w:t>
            </w:r>
            <w:proofErr w:type="gramStart"/>
            <w:r w:rsidRPr="003F37D9">
              <w:rPr>
                <w:bdr w:val="none" w:sz="0" w:space="0" w:color="auto" w:frame="1"/>
                <w:lang w:eastAsia="ru-RU"/>
              </w:rPr>
              <w:t>более</w:t>
            </w:r>
            <w:r w:rsidRPr="003F37D9">
              <w:rPr>
                <w:lang w:eastAsia="ru-RU"/>
              </w:rPr>
              <w:t> </w:t>
            </w:r>
            <w:r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</w:t>
            </w:r>
            <w:r w:rsidRPr="003F37D9">
              <w:rPr>
                <w:lang w:eastAsia="ru-RU"/>
              </w:rPr>
              <w:t> </w:t>
            </w:r>
            <w:r w:rsidRPr="003F37D9">
              <w:rPr>
                <w:bdr w:val="none" w:sz="0" w:space="0" w:color="auto" w:frame="1"/>
                <w:lang w:eastAsia="ru-RU"/>
              </w:rPr>
              <w:t>20</w:t>
            </w:r>
            <w:proofErr w:type="gramEnd"/>
            <w:r w:rsidRPr="003F37D9">
              <w:rPr>
                <w:bdr w:val="none" w:sz="0" w:space="0" w:color="auto" w:frame="1"/>
                <w:lang w:eastAsia="ru-RU"/>
              </w:rPr>
              <w:t xml:space="preserve"> %</w:t>
            </w:r>
          </w:p>
        </w:tc>
      </w:tr>
      <w:tr w:rsidR="003F37D9" w:rsidRPr="003F37D9" w:rsidTr="00EC6108">
        <w:trPr>
          <w:jc w:val="center"/>
        </w:trPr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менее 3:1</w:t>
            </w:r>
          </w:p>
        </w:tc>
      </w:tr>
      <w:tr w:rsidR="003F37D9" w:rsidRPr="003F37D9" w:rsidTr="00EC6108">
        <w:trPr>
          <w:jc w:val="center"/>
        </w:trPr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Временная нестабильность изображения (мелькание)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Не должна фиксироваться</w:t>
            </w:r>
          </w:p>
        </w:tc>
      </w:tr>
      <w:tr w:rsidR="003F37D9" w:rsidRPr="003F37D9" w:rsidTr="00EC6108">
        <w:trPr>
          <w:jc w:val="center"/>
        </w:trPr>
        <w:tc>
          <w:tcPr>
            <w:tcW w:w="7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37D9" w:rsidRPr="003F37D9" w:rsidRDefault="003F37D9" w:rsidP="00EC6108">
            <w:pPr>
              <w:ind w:firstLine="0"/>
              <w:jc w:val="center"/>
              <w:rPr>
                <w:bdr w:val="none" w:sz="0" w:space="0" w:color="auto" w:frame="1"/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F37D9" w:rsidRPr="003F37D9" w:rsidRDefault="003F37D9" w:rsidP="00EC6108">
            <w:pPr>
              <w:ind w:firstLine="0"/>
              <w:jc w:val="center"/>
              <w:rPr>
                <w:lang w:eastAsia="ru-RU"/>
              </w:rPr>
            </w:pPr>
            <w:r w:rsidRPr="003F37D9">
              <w:rPr>
                <w:bdr w:val="none" w:sz="0" w:space="0" w:color="auto" w:frame="1"/>
                <w:lang w:eastAsia="ru-RU"/>
              </w:rPr>
              <w:t xml:space="preserve">Не более </w:t>
            </w:r>
            <w:proofErr w:type="gramStart"/>
            <w:r w:rsidRPr="003F37D9">
              <w:rPr>
                <w:bdr w:val="none" w:sz="0" w:space="0" w:color="auto" w:frame="1"/>
                <w:lang w:eastAsia="ru-RU"/>
              </w:rPr>
              <w:t>2</w:t>
            </w:r>
            <w:r w:rsidRPr="003F37D9">
              <w:rPr>
                <w:lang w:eastAsia="ru-RU"/>
              </w:rPr>
              <w:t> </w:t>
            </w:r>
            <w:r w:rsidRPr="003F37D9">
              <w:rPr>
                <w:rFonts w:ascii="Symbol" w:hAnsi="Symbol"/>
                <w:bdr w:val="none" w:sz="0" w:space="0" w:color="auto" w:frame="1"/>
                <w:lang w:eastAsia="ru-RU"/>
              </w:rPr>
              <w:t></w:t>
            </w:r>
            <w:r w:rsidRPr="003F37D9">
              <w:rPr>
                <w:lang w:eastAsia="ru-RU"/>
              </w:rPr>
              <w:t> </w:t>
            </w:r>
            <w:r w:rsidRPr="003F37D9">
              <w:rPr>
                <w:bdr w:val="none" w:sz="0" w:space="0" w:color="auto" w:frame="1"/>
                <w:lang w:eastAsia="ru-RU"/>
              </w:rPr>
              <w:t>10</w:t>
            </w:r>
            <w:proofErr w:type="gramEnd"/>
            <w:r w:rsidRPr="003F37D9">
              <w:rPr>
                <w:bdr w:val="none" w:sz="0" w:space="0" w:color="auto" w:frame="1"/>
                <w:vertAlign w:val="superscript"/>
                <w:lang w:eastAsia="ru-RU"/>
              </w:rPr>
              <w:t>-4</w:t>
            </w:r>
            <w:r w:rsidRPr="003F37D9">
              <w:rPr>
                <w:bdr w:val="none" w:sz="0" w:space="0" w:color="auto" w:frame="1"/>
                <w:vertAlign w:val="superscript"/>
                <w:lang w:val="en-US" w:eastAsia="ru-RU"/>
              </w:rPr>
              <w:t>L</w:t>
            </w:r>
            <w:r w:rsidRPr="003F37D9">
              <w:rPr>
                <w:bdr w:val="none" w:sz="0" w:space="0" w:color="auto" w:frame="1"/>
                <w:lang w:eastAsia="ru-RU"/>
              </w:rPr>
              <w:t>, L</w:t>
            </w:r>
            <w:r w:rsidRPr="003F37D9">
              <w:rPr>
                <w:lang w:eastAsia="ru-RU"/>
              </w:rPr>
              <w:t> </w:t>
            </w:r>
            <w:r w:rsidRPr="003F37D9">
              <w:rPr>
                <w:bdr w:val="none" w:sz="0" w:space="0" w:color="auto" w:frame="1"/>
                <w:lang w:eastAsia="ru-RU"/>
              </w:rPr>
              <w:t>- проектное расстояние наблюдения, мм</w:t>
            </w:r>
          </w:p>
        </w:tc>
      </w:tr>
    </w:tbl>
    <w:p w:rsidR="003F37D9" w:rsidRPr="003F37D9" w:rsidRDefault="003F37D9" w:rsidP="003F37D9"/>
    <w:p w:rsidR="003F37D9" w:rsidRPr="003F37D9" w:rsidRDefault="003F37D9" w:rsidP="003F37D9">
      <w:r w:rsidRPr="003F37D9">
        <w:t xml:space="preserve">В справочном приложении 12 к </w:t>
      </w:r>
      <w:proofErr w:type="spellStart"/>
      <w:r w:rsidRPr="003F37D9">
        <w:t>СанПин</w:t>
      </w:r>
      <w:proofErr w:type="spellEnd"/>
      <w:r w:rsidRPr="003F37D9">
        <w:t xml:space="preserve"> 2.2.2/2.4.1340-03</w:t>
      </w:r>
      <w:bookmarkEnd w:id="1"/>
      <w:r w:rsidRPr="003F37D9">
        <w:t xml:space="preserve"> описаны </w:t>
      </w:r>
      <w:bookmarkStart w:id="2" w:name="i513315"/>
      <w:r w:rsidRPr="003F37D9">
        <w:t>средства защиты от излучений оптического диапазона и электромагнитных полей ПЭВМ, среди которых</w:t>
      </w:r>
      <w:bookmarkEnd w:id="2"/>
    </w:p>
    <w:p w:rsidR="003F37D9" w:rsidRPr="003F37D9" w:rsidRDefault="003F37D9" w:rsidP="003F37D9">
      <w:pPr>
        <w:pStyle w:val="a5"/>
        <w:numPr>
          <w:ilvl w:val="0"/>
          <w:numId w:val="7"/>
        </w:numPr>
        <w:rPr>
          <w:shd w:val="clear" w:color="auto" w:fill="FFFFFF"/>
        </w:rPr>
      </w:pPr>
      <w:proofErr w:type="spellStart"/>
      <w:r w:rsidRPr="003F37D9">
        <w:rPr>
          <w:shd w:val="clear" w:color="auto" w:fill="FFFFFF"/>
        </w:rPr>
        <w:t>приэкранные</w:t>
      </w:r>
      <w:proofErr w:type="spellEnd"/>
      <w:r w:rsidRPr="003F37D9">
        <w:rPr>
          <w:shd w:val="clear" w:color="auto" w:fill="FFFFFF"/>
        </w:rPr>
        <w:t xml:space="preserve"> защитные фильтры для видеомониторов;</w:t>
      </w:r>
    </w:p>
    <w:p w:rsidR="003F37D9" w:rsidRPr="003F37D9" w:rsidRDefault="003F37D9" w:rsidP="003F37D9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3F37D9">
        <w:rPr>
          <w:shd w:val="clear" w:color="auto" w:fill="FFFFFF"/>
        </w:rPr>
        <w:lastRenderedPageBreak/>
        <w:t>нейтрализаторы электрических полей промышленной частоты;</w:t>
      </w:r>
    </w:p>
    <w:p w:rsidR="003F37D9" w:rsidRPr="003F37D9" w:rsidRDefault="003F37D9" w:rsidP="003F37D9">
      <w:pPr>
        <w:pStyle w:val="a5"/>
        <w:numPr>
          <w:ilvl w:val="0"/>
          <w:numId w:val="7"/>
        </w:numPr>
        <w:rPr>
          <w:shd w:val="clear" w:color="auto" w:fill="FFFFFF"/>
        </w:rPr>
      </w:pPr>
      <w:r w:rsidRPr="003F37D9">
        <w:rPr>
          <w:shd w:val="clear" w:color="auto" w:fill="FFFFFF"/>
        </w:rPr>
        <w:t>очки защитные со спектральными фильтрами ЛС и НСФ, разрешенные Минздравом России для работы с ПЭВМ.</w:t>
      </w:r>
    </w:p>
    <w:p w:rsidR="003F37D9" w:rsidRPr="003F37D9" w:rsidRDefault="003F37D9" w:rsidP="003F37D9">
      <w:pPr>
        <w:pStyle w:val="1"/>
      </w:pPr>
      <w:r w:rsidRPr="003F37D9">
        <w:t>7.2.3. Основные требования к эргономике и психологии</w:t>
      </w:r>
    </w:p>
    <w:p w:rsidR="003F37D9" w:rsidRPr="003F37D9" w:rsidRDefault="003F37D9" w:rsidP="003F37D9">
      <w:pPr>
        <w:ind w:firstLine="708"/>
      </w:pPr>
      <w:r w:rsidRPr="003F37D9">
        <w:t xml:space="preserve">Рабочее место необходимо организовать таким образом, чтобы оно отвечало всем требованиям к эргономике и не доставляло никаких неудобств в процессе работы. </w:t>
      </w:r>
    </w:p>
    <w:p w:rsidR="003F37D9" w:rsidRPr="003F37D9" w:rsidRDefault="003F37D9" w:rsidP="003F37D9">
      <w:r w:rsidRPr="003F37D9">
        <w:t>Конструкция рабочего стола должна обеспечивать оптимальное размещение всех элементов оборудования с учетом их конструктивных особенностей</w:t>
      </w:r>
      <w:r w:rsidRPr="003F37D9">
        <w:rPr>
          <w:bdr w:val="none" w:sz="0" w:space="0" w:color="auto" w:frame="1"/>
          <w:lang w:eastAsia="ru-RU"/>
        </w:rPr>
        <w:t>, а также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0,5 - 0,7</w:t>
      </w:r>
      <w:r w:rsidRPr="003F37D9">
        <w:t xml:space="preserve">. </w:t>
      </w:r>
    </w:p>
    <w:p w:rsidR="003F37D9" w:rsidRPr="003F37D9" w:rsidRDefault="003F37D9" w:rsidP="003F37D9">
      <w:pPr>
        <w:rPr>
          <w:sz w:val="20"/>
          <w:szCs w:val="20"/>
          <w:lang w:eastAsia="ru-RU"/>
        </w:rPr>
      </w:pPr>
      <w:r w:rsidRPr="003F37D9">
        <w:t xml:space="preserve">Клавиатуру следует располагать на поверхности стола на расстоянии 10 – 30 см от края, обращенного к пользователю, или на специальной поверхности, отделенной от основной столешницы. Во время работы с клавиатурой кисти рук должны быть максимально распрямлены. Локти должны быть расположены как можно ближе к телу. Нужно сидеть, опираясь на спинку кресла, шея должна быть выпрямлена. Рабочее место должно быть оборудовано пюпитром и подставкой для ног (рис. 7.1). </w:t>
      </w:r>
    </w:p>
    <w:p w:rsidR="003F37D9" w:rsidRPr="003F37D9" w:rsidRDefault="003F37D9" w:rsidP="003F37D9">
      <w:pPr>
        <w:ind w:firstLine="708"/>
      </w:pPr>
      <w:r w:rsidRPr="003F37D9">
        <w:t xml:space="preserve">Конструкция кресла должна обеспечивать поддержание рациональной рабочей позы, а также позволять изменять позу с целью снижения статического напряжения мышц шейно-плечевой области и спины для предупреждения развития утомления. Кресло должно быть подъемно-поворотным и регулируемым по высоте, углам наклона спинки и сиденья, расстоянию спинки от переднего края сиденья. </w:t>
      </w:r>
    </w:p>
    <w:p w:rsidR="003F37D9" w:rsidRPr="003F37D9" w:rsidRDefault="003F37D9" w:rsidP="003F37D9">
      <w:pPr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 [2].</w:t>
      </w:r>
    </w:p>
    <w:p w:rsidR="003F37D9" w:rsidRPr="003F37D9" w:rsidRDefault="003F37D9" w:rsidP="003F37D9">
      <w:pPr>
        <w:rPr>
          <w:sz w:val="20"/>
          <w:szCs w:val="20"/>
          <w:lang w:eastAsia="ru-RU"/>
        </w:rPr>
      </w:pPr>
      <w:r w:rsidRPr="003F37D9">
        <w:rPr>
          <w:bdr w:val="none" w:sz="0" w:space="0" w:color="auto" w:frame="1"/>
          <w:lang w:eastAsia="ru-RU"/>
        </w:rPr>
        <w:lastRenderedPageBreak/>
        <w:t>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3F37D9" w:rsidRPr="003F37D9" w:rsidRDefault="003F37D9" w:rsidP="003F37D9">
      <w:pPr>
        <w:ind w:firstLine="708"/>
      </w:pPr>
      <w:r w:rsidRPr="003F37D9">
        <w:t xml:space="preserve">Для предупреждения развития переутомления при работе на ПК необходимо устройство перерывов длительностью не менее 15 мин. после каждых 45 мин. работы. </w:t>
      </w:r>
    </w:p>
    <w:p w:rsidR="003F37D9" w:rsidRPr="003F37D9" w:rsidRDefault="003F37D9" w:rsidP="003F37D9">
      <w:pPr>
        <w:ind w:firstLine="708"/>
      </w:pPr>
    </w:p>
    <w:p w:rsidR="003F37D9" w:rsidRPr="003F37D9" w:rsidRDefault="003F37D9" w:rsidP="003F37D9">
      <w:pPr>
        <w:ind w:firstLine="0"/>
        <w:jc w:val="center"/>
      </w:pPr>
      <w:r w:rsidRPr="003F37D9">
        <w:rPr>
          <w:noProof/>
          <w:lang w:eastAsia="ru-RU"/>
        </w:rPr>
        <w:drawing>
          <wp:inline distT="0" distB="0" distL="0" distR="0" wp14:anchorId="24C74CEF" wp14:editId="0CDF2972">
            <wp:extent cx="3819525" cy="4086225"/>
            <wp:effectExtent l="19050" t="0" r="9525" b="0"/>
            <wp:docPr id="3" name="Рисунок 1" descr="http://edu.dvgups.ru/METDOC/ENF/BGD/PTB/LEK/3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BGD/PTB/LEK/3.files/image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D9" w:rsidRPr="003F37D9" w:rsidRDefault="003F37D9" w:rsidP="003F37D9">
      <w:r w:rsidRPr="003F37D9">
        <w:t xml:space="preserve">Рисунок 7.1 – Рекомендуемая организация рабочего места </w:t>
      </w:r>
    </w:p>
    <w:p w:rsidR="003F37D9" w:rsidRPr="003F37D9" w:rsidRDefault="003F37D9" w:rsidP="003F37D9">
      <w:pPr>
        <w:ind w:firstLine="708"/>
      </w:pPr>
      <w:r w:rsidRPr="003F37D9">
        <w:t xml:space="preserve">1 – аппарат аэроионной профилактики; </w:t>
      </w:r>
    </w:p>
    <w:p w:rsidR="003F37D9" w:rsidRPr="003F37D9" w:rsidRDefault="003F37D9" w:rsidP="003F37D9">
      <w:pPr>
        <w:ind w:firstLine="708"/>
      </w:pPr>
      <w:r w:rsidRPr="003F37D9">
        <w:t xml:space="preserve">2 – рабочее кресло; </w:t>
      </w:r>
    </w:p>
    <w:p w:rsidR="003F37D9" w:rsidRPr="003F37D9" w:rsidRDefault="003F37D9" w:rsidP="003F37D9">
      <w:pPr>
        <w:ind w:firstLine="708"/>
      </w:pPr>
      <w:r w:rsidRPr="003F37D9">
        <w:t xml:space="preserve">3 – подставка под кисти рук; </w:t>
      </w:r>
    </w:p>
    <w:p w:rsidR="003F37D9" w:rsidRPr="003F37D9" w:rsidRDefault="003F37D9" w:rsidP="003F37D9">
      <w:pPr>
        <w:ind w:firstLine="708"/>
      </w:pPr>
      <w:r w:rsidRPr="003F37D9">
        <w:t xml:space="preserve">4 – подставка под документы (пюпитр); </w:t>
      </w:r>
    </w:p>
    <w:p w:rsidR="003F37D9" w:rsidRPr="003F37D9" w:rsidRDefault="003F37D9" w:rsidP="003F37D9">
      <w:pPr>
        <w:ind w:firstLine="708"/>
      </w:pPr>
      <w:r w:rsidRPr="003F37D9">
        <w:t xml:space="preserve">5 – регулируемая по высоте подставка для ног; </w:t>
      </w:r>
    </w:p>
    <w:p w:rsidR="003F37D9" w:rsidRPr="003F37D9" w:rsidRDefault="003F37D9" w:rsidP="003F37D9">
      <w:pPr>
        <w:ind w:firstLine="708"/>
      </w:pPr>
      <w:r w:rsidRPr="003F37D9">
        <w:t xml:space="preserve">6 – заземленная панель питания. </w:t>
      </w:r>
    </w:p>
    <w:p w:rsidR="003F37D9" w:rsidRPr="003F37D9" w:rsidRDefault="003F37D9" w:rsidP="003F37D9">
      <w:pPr>
        <w:ind w:firstLine="708"/>
      </w:pPr>
      <w:r w:rsidRPr="003F37D9">
        <w:t xml:space="preserve">Во время перерывов необходимо выполнять сквозное проветривание помещения при обязательном выходе работника из него; упражнения </w:t>
      </w:r>
      <w:r w:rsidRPr="003F37D9">
        <w:lastRenderedPageBreak/>
        <w:t xml:space="preserve">физкультурной паузы и упражнения для глаз. При появлении начальных признаков усталости индивидуально выполнять упражнения для снятия локального утомления. </w:t>
      </w:r>
    </w:p>
    <w:p w:rsidR="003F37D9" w:rsidRPr="003F37D9" w:rsidRDefault="003F37D9" w:rsidP="003F37D9">
      <w:pPr>
        <w:ind w:firstLine="708"/>
      </w:pPr>
      <w:r w:rsidRPr="003F37D9">
        <w:t xml:space="preserve">Конструкция ПЭВМ должна обеспечивать возможность поворота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мягкие тона с диффузным рассеиванием света, все блоки устройства ПЭВМ должны иметь матовую поверхность и не иметь деталей, способных создавать блики. Конструкция ВДТ должна предусматривать регулирование яркости и контрастности [3]. </w:t>
      </w:r>
    </w:p>
    <w:p w:rsidR="003F37D9" w:rsidRPr="003F37D9" w:rsidRDefault="003F37D9" w:rsidP="003F37D9">
      <w:pPr>
        <w:pStyle w:val="1"/>
      </w:pPr>
      <w:r w:rsidRPr="003F37D9">
        <w:t xml:space="preserve">7.3. </w:t>
      </w:r>
      <w:proofErr w:type="spellStart"/>
      <w:r w:rsidRPr="003F37D9">
        <w:t>Расчет</w:t>
      </w:r>
      <w:proofErr w:type="spellEnd"/>
      <w:r w:rsidRPr="003F37D9">
        <w:t xml:space="preserve"> </w:t>
      </w:r>
      <w:proofErr w:type="spellStart"/>
      <w:r w:rsidRPr="003F37D9">
        <w:t>системы</w:t>
      </w:r>
      <w:proofErr w:type="spellEnd"/>
      <w:r w:rsidRPr="003F37D9">
        <w:t xml:space="preserve"> </w:t>
      </w:r>
      <w:proofErr w:type="spellStart"/>
      <w:r w:rsidRPr="003F37D9">
        <w:t>искусственного</w:t>
      </w:r>
      <w:proofErr w:type="spellEnd"/>
      <w:r w:rsidRPr="003F37D9">
        <w:t xml:space="preserve"> </w:t>
      </w:r>
      <w:proofErr w:type="spellStart"/>
      <w:r w:rsidRPr="003F37D9">
        <w:t>освещения</w:t>
      </w:r>
      <w:proofErr w:type="spellEnd"/>
      <w:r w:rsidRPr="003F37D9">
        <w:t xml:space="preserve"> </w:t>
      </w:r>
    </w:p>
    <w:p w:rsidR="003F37D9" w:rsidRPr="003F37D9" w:rsidRDefault="003F37D9" w:rsidP="003F37D9">
      <w:pPr>
        <w:ind w:firstLine="708"/>
      </w:pPr>
      <w:r w:rsidRPr="003F37D9">
        <w:t xml:space="preserve">Основным методом защиты зрения инженера во время работы, способствующим повышению безопасности труда и эффективности работы, является правильно спланированная и выполненная система освещения производственных помещений. В данной части приведен анализ рабочего помещения, в котором проводилась работа над дипломным проектом, и расчет требуемой системы освещения. </w:t>
      </w:r>
    </w:p>
    <w:p w:rsidR="003F37D9" w:rsidRPr="003F37D9" w:rsidRDefault="003F37D9" w:rsidP="003F37D9">
      <w:pPr>
        <w:ind w:firstLine="708"/>
      </w:pPr>
      <w:r w:rsidRPr="003F37D9">
        <w:t xml:space="preserve">Для выполнения данной работы было спроектировано рабочее помещение, которое представляет собой аудиторию размера Ш x Д x В – 4 x 3,8 x 2,8 с вычислительной техникой (рисунок 7.2). Задачей данного расчета системы искусственного освещения является определение мощности осветительной установки в целом для достижения заданного уровня освещенности на рабочем месте, а также выбор типа и расположения светильников. </w:t>
      </w:r>
    </w:p>
    <w:p w:rsidR="003F37D9" w:rsidRPr="003F37D9" w:rsidRDefault="003F37D9" w:rsidP="003F37D9">
      <w:r w:rsidRPr="003F37D9">
        <w:t xml:space="preserve">Расчет системы освещения в помещении произведен с использованием бесплатной программы проектирования и расчета освещения </w:t>
      </w:r>
      <w:proofErr w:type="spellStart"/>
      <w:r w:rsidRPr="003F37D9">
        <w:rPr>
          <w:i/>
          <w:lang w:val="en-US"/>
        </w:rPr>
        <w:t>DiaLux</w:t>
      </w:r>
      <w:proofErr w:type="spellEnd"/>
      <w:r w:rsidRPr="003F37D9">
        <w:t>. Описана методика расчета системы и приведены изолюксы на потолке и расположение ламп.</w:t>
      </w:r>
    </w:p>
    <w:p w:rsidR="003F37D9" w:rsidRPr="003F37D9" w:rsidRDefault="003F37D9" w:rsidP="003F37D9">
      <w:r w:rsidRPr="003F37D9">
        <w:t>В расчётном задании должны быть рассмотрены следующие вопросы:</w:t>
      </w:r>
    </w:p>
    <w:p w:rsidR="003F37D9" w:rsidRPr="003F37D9" w:rsidRDefault="003F37D9" w:rsidP="003F37D9">
      <w:pPr>
        <w:pStyle w:val="a5"/>
        <w:numPr>
          <w:ilvl w:val="0"/>
          <w:numId w:val="9"/>
        </w:numPr>
      </w:pPr>
      <w:r w:rsidRPr="003F37D9">
        <w:t>выбор системы освещения;</w:t>
      </w:r>
    </w:p>
    <w:p w:rsidR="003F37D9" w:rsidRPr="003F37D9" w:rsidRDefault="003F37D9" w:rsidP="003F37D9">
      <w:pPr>
        <w:pStyle w:val="a5"/>
        <w:numPr>
          <w:ilvl w:val="0"/>
          <w:numId w:val="9"/>
        </w:numPr>
      </w:pPr>
      <w:r w:rsidRPr="003F37D9">
        <w:lastRenderedPageBreak/>
        <w:t>выбор источников света;</w:t>
      </w:r>
    </w:p>
    <w:p w:rsidR="003F37D9" w:rsidRPr="003F37D9" w:rsidRDefault="003F37D9" w:rsidP="003F37D9">
      <w:pPr>
        <w:pStyle w:val="a5"/>
        <w:numPr>
          <w:ilvl w:val="0"/>
          <w:numId w:val="9"/>
        </w:numPr>
      </w:pPr>
      <w:r w:rsidRPr="003F37D9">
        <w:t>выбор светильников и их размещение;</w:t>
      </w:r>
    </w:p>
    <w:p w:rsidR="003F37D9" w:rsidRPr="003F37D9" w:rsidRDefault="003F37D9" w:rsidP="003F37D9">
      <w:pPr>
        <w:pStyle w:val="a5"/>
        <w:numPr>
          <w:ilvl w:val="0"/>
          <w:numId w:val="9"/>
        </w:numPr>
      </w:pPr>
      <w:r w:rsidRPr="003F37D9">
        <w:t>выбор нормируемой освещённости;</w:t>
      </w:r>
    </w:p>
    <w:p w:rsidR="003F37D9" w:rsidRPr="003F37D9" w:rsidRDefault="003F37D9" w:rsidP="003F37D9">
      <w:pPr>
        <w:pStyle w:val="a5"/>
        <w:numPr>
          <w:ilvl w:val="0"/>
          <w:numId w:val="9"/>
        </w:numPr>
      </w:pPr>
      <w:r w:rsidRPr="003F37D9">
        <w:t>расчет системы искусственного освещения.</w:t>
      </w:r>
    </w:p>
    <w:p w:rsidR="003F37D9" w:rsidRPr="003F37D9" w:rsidRDefault="003F37D9" w:rsidP="003F37D9">
      <w:pPr>
        <w:ind w:firstLine="708"/>
        <w:jc w:val="center"/>
      </w:pPr>
      <w:bookmarkStart w:id="3" w:name="_GoBack"/>
      <w:bookmarkEnd w:id="3"/>
    </w:p>
    <w:p w:rsidR="003F37D9" w:rsidRPr="003F37D9" w:rsidRDefault="00196114" w:rsidP="003F37D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4552950"/>
            <wp:effectExtent l="0" t="0" r="9525" b="0"/>
            <wp:docPr id="12" name="Рисунок 12" descr="D:\YandexDisk\Скриншоты\2015-04-24 03-11-52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Скриншоты\2015-04-24 03-11-52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D9" w:rsidRPr="003F37D9" w:rsidRDefault="003F37D9" w:rsidP="003F37D9">
      <w:pPr>
        <w:ind w:firstLine="0"/>
        <w:jc w:val="center"/>
      </w:pPr>
      <w:r w:rsidRPr="003F37D9">
        <w:t>Рисунок 7.2 – План рабочего помещения</w:t>
      </w:r>
    </w:p>
    <w:p w:rsidR="003F37D9" w:rsidRPr="00447906" w:rsidRDefault="003F37D9" w:rsidP="00447906">
      <w:pPr>
        <w:jc w:val="center"/>
        <w:rPr>
          <w:b/>
        </w:rPr>
      </w:pPr>
      <w:r w:rsidRPr="00447906">
        <w:rPr>
          <w:b/>
        </w:rPr>
        <w:t>Выбор системы освещения</w:t>
      </w:r>
    </w:p>
    <w:p w:rsidR="003F37D9" w:rsidRPr="003F37D9" w:rsidRDefault="003F37D9" w:rsidP="003F37D9">
      <w:pPr>
        <w:ind w:firstLine="708"/>
      </w:pPr>
      <w:r w:rsidRPr="003F37D9">
        <w:rPr>
          <w:rFonts w:eastAsia="Calibri" w:cs="Times New Roman"/>
        </w:rPr>
        <w:t xml:space="preserve">Для производственных помещений всех назначений применяются системы общего (равномерного или локализованного) и комбинированного (общего и местного) освещения. Выбор </w:t>
      </w:r>
      <w:r w:rsidRPr="003F37D9">
        <w:t>системы</w:t>
      </w:r>
      <w:r w:rsidRPr="003F37D9">
        <w:rPr>
          <w:rFonts w:eastAsia="Calibri" w:cs="Times New Roman"/>
        </w:rPr>
        <w:t xml:space="preserve"> проводится с учётом особенностей производственного процесса и размещения технологического оборудования.</w:t>
      </w:r>
    </w:p>
    <w:p w:rsidR="003F37D9" w:rsidRPr="003F37D9" w:rsidRDefault="003F37D9" w:rsidP="003F37D9">
      <w:pPr>
        <w:ind w:firstLine="708"/>
      </w:pPr>
      <w:r w:rsidRPr="003F37D9">
        <w:t>Для применения в небольших рабочих помещениях, где нет теней на рассматриваемой поверхности (помещение для работы инженеров-разработчиков), рекомендуется система общего равномерного освещения [4].</w:t>
      </w:r>
    </w:p>
    <w:p w:rsidR="003F37D9" w:rsidRPr="00447906" w:rsidRDefault="003F37D9" w:rsidP="00447906">
      <w:pPr>
        <w:jc w:val="center"/>
        <w:rPr>
          <w:b/>
        </w:rPr>
      </w:pPr>
      <w:r w:rsidRPr="00447906">
        <w:rPr>
          <w:b/>
        </w:rPr>
        <w:lastRenderedPageBreak/>
        <w:t>Выбор источников света</w:t>
      </w:r>
    </w:p>
    <w:p w:rsidR="003F37D9" w:rsidRPr="003F37D9" w:rsidRDefault="003F37D9" w:rsidP="003F37D9">
      <w:pPr>
        <w:ind w:firstLine="708"/>
      </w:pPr>
      <w:r w:rsidRPr="003F37D9">
        <w:t xml:space="preserve">В системах одного общего освещения офисных помещений, а также для общего освещения в системе комбинированного освещения во всех случаях рекомендуется использовать люминесцентные лампы [4]. </w:t>
      </w:r>
    </w:p>
    <w:p w:rsidR="00447906" w:rsidRPr="00447906" w:rsidRDefault="003F37D9" w:rsidP="00447906">
      <w:pPr>
        <w:pStyle w:val="2"/>
        <w:rPr>
          <w:b/>
          <w:sz w:val="28"/>
          <w:szCs w:val="28"/>
        </w:rPr>
      </w:pPr>
      <w:r w:rsidRPr="00447906">
        <w:rPr>
          <w:b/>
          <w:sz w:val="28"/>
          <w:szCs w:val="28"/>
        </w:rPr>
        <w:t>Выбор светильников и их размещение</w:t>
      </w:r>
    </w:p>
    <w:p w:rsidR="003F37D9" w:rsidRPr="003F37D9" w:rsidRDefault="003F37D9" w:rsidP="003F37D9">
      <w:pPr>
        <w:pStyle w:val="a7"/>
        <w:ind w:left="0" w:firstLine="720"/>
      </w:pPr>
      <w:r w:rsidRPr="003F37D9">
        <w:rPr>
          <w:rFonts w:eastAsia="Calibri" w:cs="Times New Roman"/>
        </w:rPr>
        <w:t>Источники света, применяемые для искусственного освещения, делят на две группы – газоразрядные лампы и лампы накаливания.</w:t>
      </w:r>
      <w:r w:rsidRPr="003F37D9">
        <w:t xml:space="preserve"> </w:t>
      </w:r>
      <w:r w:rsidRPr="003F37D9">
        <w:rPr>
          <w:rFonts w:eastAsia="Calibri" w:cs="Times New Roman"/>
        </w:rPr>
        <w:t>Наиболее распространённым</w:t>
      </w:r>
      <w:r w:rsidRPr="003F37D9">
        <w:t xml:space="preserve">и являются люминесцентные лампы </w:t>
      </w:r>
      <w:r w:rsidRPr="003F37D9">
        <w:rPr>
          <w:rFonts w:eastAsia="Calibri" w:cs="Times New Roman"/>
        </w:rPr>
        <w:t>белого цвета (ЛБ).</w:t>
      </w:r>
      <w:r w:rsidRPr="003F37D9">
        <w:t xml:space="preserve"> Для данного помещения с помощью дополнительно устанавливаемых электронных каталогов были выбраны светильники </w:t>
      </w:r>
      <w:r w:rsidR="00196114" w:rsidRPr="00196114">
        <w:rPr>
          <w:rFonts w:cs="Times New Roman"/>
          <w:i/>
          <w:color w:val="000000"/>
          <w:szCs w:val="20"/>
        </w:rPr>
        <w:t>PHILIPS BCS640 W15L125 1xLED24/830 LIN-PC (1.000</w:t>
      </w:r>
      <w:r w:rsidR="00196114">
        <w:rPr>
          <w:rFonts w:cs="Times New Roman"/>
          <w:i/>
          <w:color w:val="000000"/>
          <w:szCs w:val="20"/>
        </w:rPr>
        <w:t>)</w:t>
      </w:r>
      <w:r w:rsidRPr="003F37D9">
        <w:t xml:space="preserve"> для люминесцентных ламп </w:t>
      </w:r>
      <w:r w:rsidRPr="003F37D9">
        <w:rPr>
          <w:i/>
        </w:rPr>
        <w:t>TL5</w:t>
      </w:r>
      <w:r w:rsidRPr="003F37D9">
        <w:t xml:space="preserve"> и светодиодных источников, оснащенные </w:t>
      </w:r>
      <w:proofErr w:type="spellStart"/>
      <w:r w:rsidRPr="003F37D9">
        <w:t>микрооптикой</w:t>
      </w:r>
      <w:proofErr w:type="spellEnd"/>
      <w:r w:rsidRPr="003F37D9">
        <w:t xml:space="preserve"> </w:t>
      </w:r>
      <w:proofErr w:type="spellStart"/>
      <w:r w:rsidRPr="003F37D9">
        <w:rPr>
          <w:i/>
        </w:rPr>
        <w:t>Philips</w:t>
      </w:r>
      <w:proofErr w:type="spellEnd"/>
      <w:r w:rsidRPr="003F37D9">
        <w:rPr>
          <w:i/>
        </w:rPr>
        <w:t xml:space="preserve"> </w:t>
      </w:r>
      <w:r w:rsidRPr="003F37D9">
        <w:t>(см. рисунок 7.3).</w:t>
      </w:r>
      <w:r w:rsidRPr="003F37D9">
        <w:rPr>
          <w:rFonts w:ascii="Verdana" w:hAnsi="Verdana"/>
          <w:sz w:val="17"/>
          <w:szCs w:val="17"/>
          <w:shd w:val="clear" w:color="auto" w:fill="FFFFFF"/>
        </w:rPr>
        <w:t xml:space="preserve"> </w:t>
      </w:r>
      <w:r w:rsidRPr="003F37D9">
        <w:t xml:space="preserve">Такие светильники рекомендуются для нормальных помещений с хорошим отражением потолка и стен и допускаются при умеренной влажности и запыленности. </w:t>
      </w:r>
    </w:p>
    <w:p w:rsidR="003F37D9" w:rsidRPr="003F37D9" w:rsidRDefault="003F37D9" w:rsidP="003F37D9">
      <w:pPr>
        <w:pStyle w:val="a7"/>
        <w:ind w:left="0" w:firstLine="0"/>
        <w:jc w:val="center"/>
      </w:pPr>
      <w:r w:rsidRPr="003F37D9">
        <w:rPr>
          <w:noProof/>
          <w:lang w:eastAsia="ru-RU"/>
        </w:rPr>
        <w:drawing>
          <wp:inline distT="0" distB="0" distL="0" distR="0" wp14:anchorId="359A3DD8" wp14:editId="79434B93">
            <wp:extent cx="3752850" cy="1752936"/>
            <wp:effectExtent l="19050" t="0" r="0" b="0"/>
            <wp:docPr id="5" name="Рисунок 4" descr="C:\Users\User\Desktop\ДИПЛОМ\Экология\LP_RT_ILDD252529_BCS640I-GVP-global-001_high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ДИПЛОМ\Экология\LP_RT_ILDD252529_BCS640I-GVP-global-001_highr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D9" w:rsidRPr="003F37D9" w:rsidRDefault="003F37D9" w:rsidP="003F37D9">
      <w:pPr>
        <w:ind w:firstLine="0"/>
        <w:jc w:val="center"/>
      </w:pPr>
      <w:r w:rsidRPr="003F37D9">
        <w:t>Рисунок 7.3 – Чертеж выбранного светильника</w:t>
      </w:r>
    </w:p>
    <w:p w:rsidR="003F37D9" w:rsidRPr="003F37D9" w:rsidRDefault="003F37D9" w:rsidP="003F37D9">
      <w:pPr>
        <w:pStyle w:val="a7"/>
        <w:ind w:left="0" w:firstLine="720"/>
      </w:pPr>
      <w:r w:rsidRPr="003F37D9">
        <w:t>В зависимости от типа светильников существуют требования к величине наиболее выгодного относительного расстояния между ними:</w:t>
      </w:r>
    </w:p>
    <w:p w:rsidR="003F37D9" w:rsidRPr="003F37D9" w:rsidRDefault="003F37D9" w:rsidP="003F37D9">
      <w:pPr>
        <w:pStyle w:val="a7"/>
        <w:ind w:left="0"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3F37D9" w:rsidRPr="003F37D9" w:rsidRDefault="003F37D9" w:rsidP="003F37D9">
      <w:pPr>
        <w:ind w:firstLine="0"/>
      </w:pPr>
      <w:proofErr w:type="gramStart"/>
      <w:r w:rsidRPr="003F37D9">
        <w:t xml:space="preserve">где </w:t>
      </w:r>
      <m:oMath>
        <m:r>
          <w:rPr>
            <w:rFonts w:ascii="Cambria Math" w:hAnsi="Cambria Math"/>
            <w:lang w:val="en-US"/>
          </w:rPr>
          <m:t>L</m:t>
        </m:r>
      </m:oMath>
      <w:r w:rsidRPr="003F37D9">
        <w:t xml:space="preserve"> –</w:t>
      </w:r>
      <w:proofErr w:type="gramEnd"/>
      <w:r w:rsidRPr="003F37D9">
        <w:t xml:space="preserve"> расстояние между соседними светильниками;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 высота подвеса светильника над рабочей поверхностью. </w:t>
      </w:r>
    </w:p>
    <w:p w:rsidR="003F37D9" w:rsidRPr="003F37D9" w:rsidRDefault="003F37D9" w:rsidP="003F37D9">
      <w:pPr>
        <w:ind w:firstLine="708"/>
      </w:pPr>
      <w:r w:rsidRPr="003F37D9">
        <w:t xml:space="preserve">При этом различают наиболее выгодное светотехническое расположение </w:t>
      </w:r>
      <w:proofErr w:type="gramStart"/>
      <w:r w:rsidRPr="003F37D9">
        <w:t xml:space="preserve">светильников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3F37D9">
        <w:t>,</w:t>
      </w:r>
      <w:proofErr w:type="gramEnd"/>
      <w:r w:rsidRPr="003F37D9">
        <w:t xml:space="preserve"> при котором достигается наибольшая </w:t>
      </w:r>
      <w:r w:rsidRPr="003F37D9">
        <w:lastRenderedPageBreak/>
        <w:t xml:space="preserve">равномерность освещенности по площади помещения, и энергетически наиболее выгодное расположение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3F37D9">
        <w:t xml:space="preserve">, при котором обеспечивается нормируемая освещенность при наименьших энергетических затратах. </w:t>
      </w:r>
    </w:p>
    <w:p w:rsidR="003F37D9" w:rsidRPr="003F37D9" w:rsidRDefault="003F37D9" w:rsidP="003F37D9">
      <w:pPr>
        <w:ind w:firstLine="708"/>
      </w:pPr>
      <w:r w:rsidRPr="003F37D9">
        <w:t xml:space="preserve">На рисунке 7.4 представлен план расположения светильников, полученный при моделировании заданного помещения с использованием выбранных светильников в программе </w:t>
      </w:r>
      <w:proofErr w:type="spellStart"/>
      <w:r w:rsidRPr="003F37D9">
        <w:rPr>
          <w:i/>
          <w:lang w:val="en-US"/>
        </w:rPr>
        <w:t>Dialux</w:t>
      </w:r>
      <w:proofErr w:type="spellEnd"/>
      <w:r w:rsidRPr="003F37D9">
        <w:t xml:space="preserve">. Общее число светильников составляет </w:t>
      </w:r>
      <w:r w:rsidR="00D57E02">
        <w:t>6</w:t>
      </w:r>
      <w:r w:rsidRPr="003F37D9">
        <w:t xml:space="preserve"> штук. </w:t>
      </w:r>
    </w:p>
    <w:p w:rsidR="003F37D9" w:rsidRPr="003F37D9" w:rsidRDefault="00D57E02" w:rsidP="003F37D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29300" cy="5000625"/>
            <wp:effectExtent l="0" t="0" r="0" b="9525"/>
            <wp:docPr id="10" name="Рисунок 10" descr="D:\YandexDisk\Скриншоты\2015-04-24 02-31-14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5-04-24 02-31-14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D9" w:rsidRPr="003F37D9" w:rsidRDefault="003F37D9" w:rsidP="003F37D9">
      <w:pPr>
        <w:ind w:firstLine="0"/>
        <w:jc w:val="center"/>
      </w:pPr>
      <w:r w:rsidRPr="003F37D9">
        <w:t>Рисунок 7.4 – План размещения светильников</w:t>
      </w:r>
    </w:p>
    <w:p w:rsidR="003F37D9" w:rsidRPr="00447906" w:rsidRDefault="003F37D9" w:rsidP="003F37D9">
      <w:pPr>
        <w:pStyle w:val="2"/>
        <w:rPr>
          <w:b/>
          <w:sz w:val="28"/>
          <w:szCs w:val="28"/>
        </w:rPr>
      </w:pPr>
      <w:r w:rsidRPr="00447906">
        <w:rPr>
          <w:b/>
          <w:sz w:val="28"/>
          <w:szCs w:val="28"/>
        </w:rPr>
        <w:t>Выбор нормируемой освещённости</w:t>
      </w:r>
    </w:p>
    <w:p w:rsidR="003F37D9" w:rsidRPr="003F37D9" w:rsidRDefault="003F37D9" w:rsidP="003F37D9">
      <w:pPr>
        <w:ind w:firstLine="708"/>
      </w:pPr>
      <w:r w:rsidRPr="003F37D9">
        <w:t>Основные требования и значения нормируемой освещенности рабочих поверхностей изложены в санитарных нормах и правилах. Нормированная минимальная освещенность (</w:t>
      </w:r>
      <w:proofErr w:type="spellStart"/>
      <w:r w:rsidRPr="003F37D9">
        <w:t>Лк</w:t>
      </w:r>
      <w:proofErr w:type="spellEnd"/>
      <w:r w:rsidRPr="003F37D9">
        <w:t xml:space="preserve">) определяется по таблице 1 разд.5.3 СП 52.13330.2011. Работу инженера-разработчика следует отнести к разряду точных работ (3 разряд зрительной работы, </w:t>
      </w:r>
      <w:proofErr w:type="spellStart"/>
      <w:r w:rsidRPr="003F37D9">
        <w:t>подразряд</w:t>
      </w:r>
      <w:proofErr w:type="spellEnd"/>
      <w:r w:rsidRPr="003F37D9">
        <w:t xml:space="preserve"> В). Следовательно, </w:t>
      </w:r>
      <w:r w:rsidRPr="003F37D9">
        <w:lastRenderedPageBreak/>
        <w:t xml:space="preserve">минимальная освещенность должна </w:t>
      </w:r>
      <w:proofErr w:type="gramStart"/>
      <w:r w:rsidRPr="003F37D9">
        <w:t xml:space="preserve">быть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=300</m:t>
        </m:r>
      </m:oMath>
      <w:r w:rsidRPr="003F37D9">
        <w:rPr>
          <w:rFonts w:eastAsiaTheme="minorEastAsia"/>
        </w:rPr>
        <w:t xml:space="preserve"> Лк</w:t>
      </w:r>
      <w:proofErr w:type="gramEnd"/>
      <w:r w:rsidRPr="003F37D9">
        <w:t xml:space="preserve"> при использовании газоразрядных ламп. Коэффициент запаса, учитывающий уменьшение светового потока лампы в результате загрязнения светильников в процессе эксплуатации (его значение определяется по таблице 3 разд. 5.3 СП 52.13330.2011) в данном случае </w:t>
      </w:r>
      <w:proofErr w:type="gramStart"/>
      <w:r w:rsidRPr="003F37D9">
        <w:t xml:space="preserve">равен </w:t>
      </w:r>
      <m:oMath>
        <m:r>
          <w:rPr>
            <w:rFonts w:ascii="Cambria Math" w:hAnsi="Cambria Math"/>
          </w:rPr>
          <m:t>k=1,4</m:t>
        </m:r>
      </m:oMath>
      <w:r w:rsidRPr="003F37D9">
        <w:t>.</w:t>
      </w:r>
      <w:proofErr w:type="gramEnd"/>
      <w:r w:rsidRPr="003F37D9">
        <w:t xml:space="preserve"> </w:t>
      </w:r>
    </w:p>
    <w:p w:rsidR="003F37D9" w:rsidRPr="00447906" w:rsidRDefault="003F37D9" w:rsidP="003F37D9">
      <w:pPr>
        <w:pStyle w:val="2"/>
        <w:rPr>
          <w:b/>
          <w:sz w:val="28"/>
          <w:szCs w:val="28"/>
        </w:rPr>
      </w:pPr>
      <w:r w:rsidRPr="00447906">
        <w:rPr>
          <w:b/>
          <w:sz w:val="28"/>
          <w:szCs w:val="28"/>
        </w:rPr>
        <w:t>Расчет системы искусственного освещения</w:t>
      </w:r>
    </w:p>
    <w:p w:rsidR="003F37D9" w:rsidRPr="003F37D9" w:rsidRDefault="003F37D9" w:rsidP="003F37D9">
      <w:pPr>
        <w:ind w:firstLine="708"/>
      </w:pPr>
      <w:r w:rsidRPr="003F37D9">
        <w:t xml:space="preserve">Для определения светового потока каждой лампы используют метод коэффициента использования светового потока. Он пригоден для помещений с равномерным размещением светильников, определения освещенности только на горизонтальной поверхности; при расчете учитывается световой поток, отраженный от стен и потолка. </w:t>
      </w:r>
    </w:p>
    <w:p w:rsidR="003F37D9" w:rsidRPr="003F37D9" w:rsidRDefault="003F37D9" w:rsidP="003F37D9">
      <w:pPr>
        <w:ind w:firstLine="708"/>
      </w:pPr>
      <w:r w:rsidRPr="003F37D9">
        <w:t>Световой поток двух ламп светильника рассчитывается по формуле:</w:t>
      </w:r>
    </w:p>
    <w:p w:rsidR="003F37D9" w:rsidRPr="003F37D9" w:rsidRDefault="003F37D9" w:rsidP="003F37D9">
      <w:pPr>
        <w:ind w:firstLine="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∙S∙k∙z</m:t>
              </m:r>
            </m:num>
            <m:den>
              <m:r>
                <w:rPr>
                  <w:rFonts w:ascii="Cambria Math" w:hAnsi="Cambria Math"/>
                </w:rPr>
                <m:t>η∙N</m:t>
              </m:r>
            </m:den>
          </m:f>
        </m:oMath>
      </m:oMathPara>
    </w:p>
    <w:p w:rsidR="003F37D9" w:rsidRPr="003F37D9" w:rsidRDefault="003F37D9" w:rsidP="003F37D9">
      <w:pPr>
        <w:ind w:firstLine="0"/>
      </w:pPr>
      <w:proofErr w:type="gramStart"/>
      <w:r w:rsidRPr="003F37D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3F37D9">
        <w:rPr>
          <w:rFonts w:eastAsiaTheme="minorEastAsia"/>
        </w:rPr>
        <w:t xml:space="preserve"> </w:t>
      </w:r>
      <w:r w:rsidRPr="003F37D9">
        <w:t>–</w:t>
      </w:r>
      <w:proofErr w:type="gramEnd"/>
      <w:r w:rsidRPr="003F37D9">
        <w:t xml:space="preserve"> выбранная нормируемая освещенность, </w:t>
      </w:r>
      <w:proofErr w:type="spellStart"/>
      <w:r w:rsidRPr="003F37D9">
        <w:t>Лк</w:t>
      </w:r>
      <w:proofErr w:type="spellEnd"/>
      <w:r w:rsidRPr="003F37D9">
        <w:t xml:space="preserve">; </w:t>
      </w:r>
      <m:oMath>
        <m:r>
          <w:rPr>
            <w:rFonts w:ascii="Cambria Math" w:hAnsi="Cambria Math"/>
          </w:rPr>
          <m:t>S</m:t>
        </m:r>
      </m:oMath>
      <w:r w:rsidRPr="003F37D9">
        <w:t xml:space="preserve"> – площадь помещения,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F37D9">
        <w:t xml:space="preserve">; </w:t>
      </w:r>
      <m:oMath>
        <m:r>
          <w:rPr>
            <w:rFonts w:ascii="Cambria Math" w:hAnsi="Cambria Math"/>
          </w:rPr>
          <m:t>k</m:t>
        </m:r>
      </m:oMath>
      <w:r w:rsidRPr="003F37D9">
        <w:t xml:space="preserve"> – коэффициент запаса; </w:t>
      </w:r>
      <m:oMath>
        <m:r>
          <w:rPr>
            <w:rFonts w:ascii="Cambria Math" w:hAnsi="Cambria Math"/>
          </w:rPr>
          <m:t>z</m:t>
        </m:r>
      </m:oMath>
      <w:r w:rsidRPr="003F37D9">
        <w:t xml:space="preserve"> – отношение средней освещенности к минимальной (</w:t>
      </w:r>
      <m:oMath>
        <m:r>
          <w:rPr>
            <w:rFonts w:ascii="Cambria Math" w:hAnsi="Cambria Math"/>
          </w:rPr>
          <m:t>z=1,1-1,15</m:t>
        </m:r>
      </m:oMath>
      <w:r w:rsidRPr="003F37D9">
        <w:t xml:space="preserve">); </w:t>
      </w:r>
      <m:oMath>
        <m:r>
          <w:rPr>
            <w:rFonts w:ascii="Cambria Math" w:hAnsi="Cambria Math"/>
          </w:rPr>
          <m:t>N</m:t>
        </m:r>
      </m:oMath>
      <w:r w:rsidRPr="003F37D9">
        <w:t xml:space="preserve"> – число светильников (6 шт.); </w:t>
      </w:r>
      <m:oMath>
        <m:r>
          <w:rPr>
            <w:rFonts w:ascii="Cambria Math" w:hAnsi="Cambria Math"/>
          </w:rPr>
          <m:t>η</m:t>
        </m:r>
      </m:oMath>
      <w:r w:rsidRPr="003F37D9">
        <w:t xml:space="preserve"> – коэффициент использования светового потока ламп, зависящий от типа светильника, коэффициентов отражения потолка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3F37D9">
        <w:t xml:space="preserve"> и стен</w:t>
      </w:r>
      <w:r w:rsidRPr="003F37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3F37D9">
        <w:t xml:space="preserve"> и индекса помещения </w:t>
      </w:r>
      <m:oMath>
        <m:r>
          <w:rPr>
            <w:rFonts w:ascii="Cambria Math" w:hAnsi="Cambria Math"/>
          </w:rPr>
          <m:t>i</m:t>
        </m:r>
      </m:oMath>
      <w:r w:rsidRPr="003F37D9">
        <w:t xml:space="preserve">. </w:t>
      </w:r>
    </w:p>
    <w:p w:rsidR="003F37D9" w:rsidRPr="003F37D9" w:rsidRDefault="003F37D9" w:rsidP="003F37D9">
      <w:pPr>
        <w:ind w:firstLine="708"/>
      </w:pPr>
      <w:r w:rsidRPr="003F37D9">
        <w:t>Индекс помещения выражает геометрические соотношения в помещении и определяется следующим образом.</w:t>
      </w:r>
    </w:p>
    <w:p w:rsidR="003F37D9" w:rsidRPr="003F37D9" w:rsidRDefault="003F37D9" w:rsidP="003F37D9">
      <w:pPr>
        <w:ind w:firstLine="0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a∙b</m:t>
              </m:r>
            </m:num>
            <m:den>
              <m:r>
                <w:rPr>
                  <w:rFonts w:ascii="Cambria Math" w:hAnsi="Cambria Math"/>
                </w:rPr>
                <m:t>h∙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</m:oMath>
      </m:oMathPara>
    </w:p>
    <w:p w:rsidR="003F37D9" w:rsidRPr="003F37D9" w:rsidRDefault="003F37D9" w:rsidP="003F37D9">
      <w:pPr>
        <w:ind w:firstLine="0"/>
      </w:pPr>
      <w:proofErr w:type="gramStart"/>
      <w:r w:rsidRPr="003F37D9">
        <w:t xml:space="preserve">где </w:t>
      </w:r>
      <m:oMath>
        <m:r>
          <w:rPr>
            <w:rFonts w:ascii="Cambria Math" w:hAnsi="Cambria Math"/>
          </w:rPr>
          <m:t>h</m:t>
        </m:r>
      </m:oMath>
      <w:r w:rsidRPr="003F37D9">
        <w:t xml:space="preserve"> –</w:t>
      </w:r>
      <w:proofErr w:type="gramEnd"/>
      <w:r w:rsidRPr="003F37D9">
        <w:t xml:space="preserve"> высота подвеса светильника над рабочей поверхностью; </w:t>
      </w:r>
      <m:oMath>
        <m:r>
          <w:rPr>
            <w:rFonts w:ascii="Cambria Math" w:hAnsi="Cambria Math"/>
          </w:rPr>
          <m:t>a</m:t>
        </m:r>
      </m:oMath>
      <w:r w:rsidRPr="003F37D9">
        <w:t xml:space="preserve"> и </w:t>
      </w:r>
      <m:oMath>
        <m:r>
          <w:rPr>
            <w:rFonts w:ascii="Cambria Math" w:hAnsi="Cambria Math"/>
          </w:rPr>
          <m:t>b</m:t>
        </m:r>
      </m:oMath>
      <w:r w:rsidRPr="003F37D9">
        <w:t xml:space="preserve"> – характерные размеры помещения (его ширина и длина). </w:t>
      </w:r>
    </w:p>
    <w:p w:rsidR="003F37D9" w:rsidRPr="003F37D9" w:rsidRDefault="003F37D9" w:rsidP="003F37D9">
      <w:pPr>
        <w:ind w:firstLine="708"/>
      </w:pPr>
      <w:r w:rsidRPr="003F37D9">
        <w:t xml:space="preserve">В результате расчетов получим </w:t>
      </w:r>
    </w:p>
    <w:p w:rsidR="003F37D9" w:rsidRPr="003F37D9" w:rsidRDefault="003F37D9" w:rsidP="003F37D9">
      <w:pPr>
        <w:ind w:firstLine="0"/>
        <w:jc w:val="center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2,8∙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4+4.5</m:t>
                </m:r>
              </m:e>
            </m:d>
          </m:den>
        </m:f>
        <m:r>
          <w:rPr>
            <w:rFonts w:ascii="Cambria Math" w:hAnsi="Cambria Math"/>
          </w:rPr>
          <m:t>≈0,7</m:t>
        </m:r>
        <m:r>
          <w:rPr>
            <w:rFonts w:ascii="Cambria Math" w:hAnsi="Cambria Math"/>
          </w:rPr>
          <m:t>6</m:t>
        </m:r>
      </m:oMath>
      <w:r w:rsidRPr="003F37D9">
        <w:t>.</w:t>
      </w:r>
    </w:p>
    <w:p w:rsidR="003F37D9" w:rsidRPr="003F37D9" w:rsidRDefault="003F37D9" w:rsidP="003F37D9">
      <w:pPr>
        <w:ind w:firstLine="708"/>
      </w:pPr>
      <w:proofErr w:type="gramStart"/>
      <w:r w:rsidRPr="003F37D9"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=50%</m:t>
        </m:r>
      </m:oMath>
      <w:r w:rsidRPr="003F37D9">
        <w:t>,</w:t>
      </w:r>
      <w:proofErr w:type="gramEnd"/>
      <w:r w:rsidRPr="003F37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30%</m:t>
        </m:r>
      </m:oMath>
      <w:r w:rsidRPr="003F37D9">
        <w:t xml:space="preserve">, исходя из чего по таблице (СНиП 23-05-95) определяем </w:t>
      </w:r>
      <m:oMath>
        <m:r>
          <w:rPr>
            <w:rFonts w:ascii="Cambria Math" w:hAnsi="Cambria Math"/>
          </w:rPr>
          <m:t>η=31%</m:t>
        </m:r>
      </m:oMath>
      <w:r w:rsidRPr="003F37D9">
        <w:t>. Таким образом, получим</w:t>
      </w:r>
    </w:p>
    <w:p w:rsidR="003F37D9" w:rsidRPr="003F37D9" w:rsidRDefault="003F37D9" w:rsidP="003F37D9">
      <w:pPr>
        <w:ind w:firstLine="0"/>
        <w:jc w:val="center"/>
      </w:pPr>
      <m:oMath>
        <m:r>
          <w:rPr>
            <w:rFonts w:ascii="Cambria Math" w:hAnsi="Cambria Math"/>
          </w:rPr>
          <w:lastRenderedPageBreak/>
          <m:t>F≈</m:t>
        </m:r>
        <m:r>
          <w:rPr>
            <w:rFonts w:ascii="Cambria Math" w:hAnsi="Cambria Math"/>
          </w:rPr>
          <m:t>2235</m:t>
        </m:r>
      </m:oMath>
      <w:r w:rsidRPr="003F37D9">
        <w:rPr>
          <w:rFonts w:eastAsiaTheme="minorEastAsia"/>
        </w:rPr>
        <w:t xml:space="preserve"> Лм</w:t>
      </w:r>
      <w:r w:rsidRPr="003F37D9">
        <w:t xml:space="preserve"> </w:t>
      </w:r>
    </w:p>
    <w:p w:rsidR="003F37D9" w:rsidRPr="003F37D9" w:rsidRDefault="003F37D9" w:rsidP="003F37D9">
      <w:pPr>
        <w:ind w:firstLine="0"/>
      </w:pPr>
      <w:r w:rsidRPr="003F37D9">
        <w:t>(на один светильник).</w:t>
      </w:r>
    </w:p>
    <w:p w:rsidR="003F37D9" w:rsidRPr="003F37D9" w:rsidRDefault="003F37D9" w:rsidP="003F37D9">
      <w:pPr>
        <w:ind w:firstLine="708"/>
      </w:pPr>
      <w:r w:rsidRPr="003F37D9">
        <w:t xml:space="preserve">В практике допускается отклонение потока выбранной лампы от расчетного до –10 и +20%. Сравним практическое значение светового потока, полученное при расчете в системе </w:t>
      </w:r>
      <w:proofErr w:type="spellStart"/>
      <w:r w:rsidRPr="003F37D9">
        <w:rPr>
          <w:i/>
          <w:lang w:val="en-US"/>
        </w:rPr>
        <w:t>Dialux</w:t>
      </w:r>
      <w:proofErr w:type="spellEnd"/>
      <w:r w:rsidRPr="003F37D9">
        <w:t xml:space="preserve">, и теоретическое.  Получим, что практическое значение оказалось больше теоретического примерно на </w:t>
      </w:r>
      <w:r w:rsidR="00196114">
        <w:t>6</w:t>
      </w:r>
      <w:r w:rsidRPr="003F37D9">
        <w:t xml:space="preserve">%. </w:t>
      </w:r>
    </w:p>
    <w:p w:rsidR="003F37D9" w:rsidRPr="003F37D9" w:rsidRDefault="003F37D9" w:rsidP="003F37D9">
      <w:pPr>
        <w:ind w:firstLine="708"/>
      </w:pPr>
      <w:r w:rsidRPr="003F37D9">
        <w:t>Ниже приведена таблица с полученными при расчете значениями для искусственного освещения (таблицы 7.4 и 7.5), а также показаны изолюксы на рабочей плоскости помещения (рисунок 7.5) и 3</w:t>
      </w:r>
      <w:r w:rsidRPr="003F37D9">
        <w:rPr>
          <w:lang w:val="en-US"/>
        </w:rPr>
        <w:t>D</w:t>
      </w:r>
      <w:r w:rsidRPr="003F37D9">
        <w:t>-визуализация результата моделирования (рисунок 7.6).</w:t>
      </w: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  <w:rPr>
          <w:bdr w:val="none" w:sz="0" w:space="0" w:color="auto" w:frame="1"/>
          <w:shd w:val="clear" w:color="auto" w:fill="FFFFFF"/>
        </w:rPr>
      </w:pPr>
      <w:r w:rsidRPr="003F37D9">
        <w:t xml:space="preserve">Таблица 7.4 – </w:t>
      </w:r>
      <w:r w:rsidRPr="003F37D9">
        <w:rPr>
          <w:bdr w:val="none" w:sz="0" w:space="0" w:color="auto" w:frame="1"/>
          <w:shd w:val="clear" w:color="auto" w:fill="FFFFFF"/>
        </w:rPr>
        <w:t>Результаты расчета системы освещения</w:t>
      </w:r>
    </w:p>
    <w:tbl>
      <w:tblPr>
        <w:tblStyle w:val="a6"/>
        <w:tblW w:w="4944" w:type="pct"/>
        <w:tblLook w:val="04A0" w:firstRow="1" w:lastRow="0" w:firstColumn="1" w:lastColumn="0" w:noHBand="0" w:noVBand="1"/>
      </w:tblPr>
      <w:tblGrid>
        <w:gridCol w:w="1926"/>
        <w:gridCol w:w="1502"/>
        <w:gridCol w:w="1384"/>
        <w:gridCol w:w="1521"/>
        <w:gridCol w:w="1384"/>
        <w:gridCol w:w="1523"/>
      </w:tblGrid>
      <w:tr w:rsidR="003F37D9" w:rsidRPr="003F37D9" w:rsidTr="00EC6108">
        <w:trPr>
          <w:trHeight w:val="300"/>
        </w:trPr>
        <w:tc>
          <w:tcPr>
            <w:tcW w:w="0" w:type="auto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Поверхность</w:t>
            </w:r>
          </w:p>
        </w:tc>
        <w:tc>
          <w:tcPr>
            <w:tcW w:w="813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</m:t>
              </m:r>
            </m:oMath>
            <w:r w:rsidRPr="003F37D9">
              <w:rPr>
                <w:rFonts w:eastAsia="Times New Roman" w:cs="Times New Roman"/>
                <w:szCs w:val="28"/>
              </w:rPr>
              <w:t>,</w:t>
            </w:r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749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ср</m:t>
                  </m:r>
                </m:sub>
              </m:sSub>
            </m:oMath>
            <w:r w:rsidRPr="003F37D9">
              <w:rPr>
                <w:rFonts w:eastAsia="Times New Roman" w:cs="Times New Roman"/>
                <w:szCs w:val="28"/>
              </w:rPr>
              <w:t>,</w:t>
            </w:r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3F37D9">
              <w:rPr>
                <w:rFonts w:eastAsia="Times New Roman" w:cs="Times New Roman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823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</m:oMath>
            <w:r w:rsidRPr="003F37D9">
              <w:rPr>
                <w:rFonts w:eastAsia="Times New Roman" w:cs="Times New Roman"/>
                <w:szCs w:val="28"/>
              </w:rPr>
              <w:t>,</w:t>
            </w:r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3F37D9">
              <w:rPr>
                <w:rFonts w:eastAsia="Times New Roman" w:cs="Times New Roman"/>
                <w:szCs w:val="28"/>
                <w:lang w:eastAsia="ru-RU"/>
              </w:rPr>
              <w:t>Лк</w:t>
            </w:r>
            <w:proofErr w:type="spellEnd"/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749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3F37D9">
              <w:rPr>
                <w:rFonts w:eastAsia="Times New Roman" w:cs="Times New Roman"/>
                <w:szCs w:val="28"/>
              </w:rPr>
              <w:t>,</w:t>
            </w:r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3F37D9">
              <w:rPr>
                <w:rFonts w:eastAsia="Times New Roman" w:cs="Times New Roman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824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cs="Times New Roman"/>
                  <w:szCs w:val="28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ср</m:t>
                  </m:r>
                </m:sub>
              </m:sSub>
            </m:oMath>
            <w:r w:rsidRPr="003F37D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</w:p>
        </w:tc>
      </w:tr>
      <w:tr w:rsidR="003F37D9" w:rsidRPr="003F37D9" w:rsidTr="00EC6108">
        <w:trPr>
          <w:trHeight w:val="300"/>
        </w:trPr>
        <w:tc>
          <w:tcPr>
            <w:tcW w:w="0" w:type="auto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Рабочая плоскость</w:t>
            </w:r>
          </w:p>
        </w:tc>
        <w:tc>
          <w:tcPr>
            <w:tcW w:w="813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 xml:space="preserve">/ </w:t>
            </w:r>
          </w:p>
        </w:tc>
        <w:tc>
          <w:tcPr>
            <w:tcW w:w="749" w:type="pct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="00D57E02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823" w:type="pct"/>
            <w:hideMark/>
          </w:tcPr>
          <w:p w:rsidR="003F37D9" w:rsidRPr="003F37D9" w:rsidRDefault="00D57E02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69</w:t>
            </w:r>
          </w:p>
        </w:tc>
        <w:tc>
          <w:tcPr>
            <w:tcW w:w="749" w:type="pct"/>
            <w:hideMark/>
          </w:tcPr>
          <w:p w:rsidR="003F37D9" w:rsidRPr="003F37D9" w:rsidRDefault="003F37D9" w:rsidP="00D57E02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5</w:t>
            </w:r>
            <w:r w:rsidR="00D57E02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824" w:type="pct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0.</w:t>
            </w:r>
            <w:r w:rsidR="00B04479">
              <w:rPr>
                <w:rFonts w:eastAsia="Times New Roman" w:cs="Times New Roman"/>
                <w:szCs w:val="28"/>
                <w:lang w:eastAsia="ru-RU"/>
              </w:rPr>
              <w:t>1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70</w:t>
            </w:r>
          </w:p>
        </w:tc>
      </w:tr>
      <w:tr w:rsidR="003F37D9" w:rsidRPr="003F37D9" w:rsidTr="00EC6108">
        <w:trPr>
          <w:trHeight w:val="300"/>
        </w:trPr>
        <w:tc>
          <w:tcPr>
            <w:tcW w:w="0" w:type="auto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Полы</w:t>
            </w:r>
          </w:p>
        </w:tc>
        <w:tc>
          <w:tcPr>
            <w:tcW w:w="813" w:type="pct"/>
            <w:hideMark/>
          </w:tcPr>
          <w:p w:rsidR="003F37D9" w:rsidRPr="003F37D9" w:rsidRDefault="00D57E02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749" w:type="pct"/>
            <w:hideMark/>
          </w:tcPr>
          <w:p w:rsidR="003F37D9" w:rsidRPr="003F37D9" w:rsidRDefault="00196114" w:rsidP="00D57E02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291</w:t>
            </w:r>
          </w:p>
        </w:tc>
        <w:tc>
          <w:tcPr>
            <w:tcW w:w="823" w:type="pct"/>
            <w:hideMark/>
          </w:tcPr>
          <w:p w:rsidR="003F37D9" w:rsidRPr="003F37D9" w:rsidRDefault="00196114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749" w:type="pct"/>
            <w:hideMark/>
          </w:tcPr>
          <w:p w:rsidR="003F37D9" w:rsidRPr="003F37D9" w:rsidRDefault="003F37D9" w:rsidP="00D57E02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="00D57E02">
              <w:rPr>
                <w:rFonts w:eastAsia="Times New Roman" w:cs="Times New Roman"/>
                <w:szCs w:val="28"/>
                <w:lang w:eastAsia="ru-RU"/>
              </w:rPr>
              <w:t>36</w:t>
            </w:r>
          </w:p>
        </w:tc>
        <w:tc>
          <w:tcPr>
            <w:tcW w:w="824" w:type="pct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0.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070</w:t>
            </w:r>
          </w:p>
        </w:tc>
      </w:tr>
      <w:tr w:rsidR="003F37D9" w:rsidRPr="003F37D9" w:rsidTr="00EC6108">
        <w:trPr>
          <w:trHeight w:val="300"/>
        </w:trPr>
        <w:tc>
          <w:tcPr>
            <w:tcW w:w="0" w:type="auto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Потолок</w:t>
            </w:r>
          </w:p>
        </w:tc>
        <w:tc>
          <w:tcPr>
            <w:tcW w:w="813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70</w:t>
            </w:r>
          </w:p>
        </w:tc>
        <w:tc>
          <w:tcPr>
            <w:tcW w:w="749" w:type="pct"/>
            <w:hideMark/>
          </w:tcPr>
          <w:p w:rsidR="003F37D9" w:rsidRPr="003F37D9" w:rsidRDefault="00D57E02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823" w:type="pct"/>
            <w:hideMark/>
          </w:tcPr>
          <w:p w:rsidR="003F37D9" w:rsidRPr="003F37D9" w:rsidRDefault="00D57E02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53</w:t>
            </w:r>
          </w:p>
        </w:tc>
        <w:tc>
          <w:tcPr>
            <w:tcW w:w="749" w:type="pct"/>
            <w:hideMark/>
          </w:tcPr>
          <w:p w:rsidR="003F37D9" w:rsidRPr="003F37D9" w:rsidRDefault="00196114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96</w:t>
            </w:r>
          </w:p>
        </w:tc>
        <w:tc>
          <w:tcPr>
            <w:tcW w:w="824" w:type="pct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0.</w:t>
            </w:r>
            <w:r w:rsidR="00B04479">
              <w:rPr>
                <w:rFonts w:eastAsia="Times New Roman" w:cs="Times New Roman"/>
                <w:szCs w:val="28"/>
                <w:lang w:eastAsia="ru-RU"/>
              </w:rPr>
              <w:t>7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05</w:t>
            </w:r>
          </w:p>
        </w:tc>
      </w:tr>
      <w:tr w:rsidR="003F37D9" w:rsidRPr="003F37D9" w:rsidTr="00EC6108">
        <w:trPr>
          <w:trHeight w:val="300"/>
        </w:trPr>
        <w:tc>
          <w:tcPr>
            <w:tcW w:w="0" w:type="auto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Стенки (4)</w:t>
            </w:r>
          </w:p>
        </w:tc>
        <w:tc>
          <w:tcPr>
            <w:tcW w:w="813" w:type="pct"/>
            <w:hideMark/>
          </w:tcPr>
          <w:p w:rsidR="003F37D9" w:rsidRPr="003F37D9" w:rsidRDefault="00D57E02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50</w:t>
            </w:r>
          </w:p>
        </w:tc>
        <w:tc>
          <w:tcPr>
            <w:tcW w:w="749" w:type="pct"/>
            <w:hideMark/>
          </w:tcPr>
          <w:p w:rsidR="003F37D9" w:rsidRPr="003F37D9" w:rsidRDefault="00D57E02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16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823" w:type="pct"/>
            <w:hideMark/>
          </w:tcPr>
          <w:p w:rsidR="003F37D9" w:rsidRPr="003F37D9" w:rsidRDefault="00D57E02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49" w:type="pct"/>
            <w:hideMark/>
          </w:tcPr>
          <w:p w:rsidR="003F37D9" w:rsidRPr="003F37D9" w:rsidRDefault="00196114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568</w:t>
            </w:r>
          </w:p>
        </w:tc>
        <w:tc>
          <w:tcPr>
            <w:tcW w:w="824" w:type="pct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/</w:t>
            </w:r>
          </w:p>
        </w:tc>
      </w:tr>
    </w:tbl>
    <w:p w:rsidR="003F37D9" w:rsidRPr="003F37D9" w:rsidRDefault="003F37D9" w:rsidP="003F37D9">
      <w:pPr>
        <w:spacing w:before="240" w:after="120"/>
        <w:ind w:firstLine="0"/>
        <w:contextualSpacing w:val="0"/>
        <w:jc w:val="center"/>
        <w:rPr>
          <w:bdr w:val="none" w:sz="0" w:space="0" w:color="auto" w:frame="1"/>
          <w:shd w:val="clear" w:color="auto" w:fill="FFFFFF"/>
        </w:rPr>
      </w:pPr>
      <w:r w:rsidRPr="003F37D9">
        <w:t xml:space="preserve">Таблица 7.5 – </w:t>
      </w:r>
      <w:r w:rsidRPr="003F37D9">
        <w:rPr>
          <w:bdr w:val="none" w:sz="0" w:space="0" w:color="auto" w:frame="1"/>
          <w:shd w:val="clear" w:color="auto" w:fill="FFFFFF"/>
        </w:rPr>
        <w:t>Результаты расчета светового потока</w:t>
      </w:r>
    </w:p>
    <w:tbl>
      <w:tblPr>
        <w:tblStyle w:val="a6"/>
        <w:tblW w:w="4944" w:type="pct"/>
        <w:tblLayout w:type="fixed"/>
        <w:tblLook w:val="04A0" w:firstRow="1" w:lastRow="0" w:firstColumn="1" w:lastColumn="0" w:noHBand="0" w:noVBand="1"/>
      </w:tblPr>
      <w:tblGrid>
        <w:gridCol w:w="672"/>
        <w:gridCol w:w="5933"/>
        <w:gridCol w:w="1386"/>
        <w:gridCol w:w="1249"/>
      </w:tblGrid>
      <w:tr w:rsidR="003F37D9" w:rsidRPr="003F37D9" w:rsidTr="00EC6108">
        <w:trPr>
          <w:trHeight w:val="300"/>
        </w:trPr>
        <w:tc>
          <w:tcPr>
            <w:tcW w:w="684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3F37D9">
              <w:rPr>
                <w:rFonts w:eastAsia="Times New Roman" w:cs="Times New Roman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6087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Обозначение (Поправочный коэффициент)</w:t>
            </w:r>
          </w:p>
        </w:tc>
        <w:tc>
          <w:tcPr>
            <w:tcW w:w="1417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F</m:t>
              </m:r>
            </m:oMath>
            <w:r w:rsidRPr="003F37D9">
              <w:rPr>
                <w:rFonts w:eastAsia="Times New Roman" w:cs="Times New Roman"/>
                <w:szCs w:val="28"/>
                <w:lang w:eastAsia="ru-RU"/>
              </w:rPr>
              <w:t>, Лм</w:t>
            </w:r>
          </w:p>
        </w:tc>
        <w:tc>
          <w:tcPr>
            <w:tcW w:w="1276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oMath>
            <w:r w:rsidRPr="003F37D9">
              <w:rPr>
                <w:rFonts w:eastAsia="Times New Roman" w:cs="Times New Roman"/>
                <w:szCs w:val="28"/>
                <w:lang w:eastAsia="ru-RU"/>
              </w:rPr>
              <w:t>, Вт</w:t>
            </w:r>
          </w:p>
        </w:tc>
      </w:tr>
      <w:tr w:rsidR="003F37D9" w:rsidRPr="003F37D9" w:rsidTr="00EC6108">
        <w:trPr>
          <w:trHeight w:val="300"/>
        </w:trPr>
        <w:tc>
          <w:tcPr>
            <w:tcW w:w="684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6087" w:type="dxa"/>
            <w:hideMark/>
          </w:tcPr>
          <w:p w:rsidR="003F37D9" w:rsidRPr="00196114" w:rsidRDefault="00196114" w:rsidP="00EC6108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i/>
                <w:szCs w:val="28"/>
                <w:lang w:val="en-US" w:eastAsia="ru-RU"/>
              </w:rPr>
            </w:pPr>
            <w:r w:rsidRPr="00196114">
              <w:rPr>
                <w:rFonts w:cs="Times New Roman"/>
                <w:i/>
                <w:color w:val="000000"/>
                <w:szCs w:val="20"/>
                <w:lang w:val="en-US"/>
              </w:rPr>
              <w:t>PHILIPS BCS640 W15L125 1xLED24/830 LIN-PC (1.000)</w:t>
            </w:r>
          </w:p>
        </w:tc>
        <w:tc>
          <w:tcPr>
            <w:tcW w:w="1417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2100</w:t>
            </w:r>
          </w:p>
        </w:tc>
        <w:tc>
          <w:tcPr>
            <w:tcW w:w="1276" w:type="dxa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</w:tr>
      <w:tr w:rsidR="003F37D9" w:rsidRPr="003F37D9" w:rsidTr="00EC6108">
        <w:trPr>
          <w:trHeight w:val="300"/>
        </w:trPr>
        <w:tc>
          <w:tcPr>
            <w:tcW w:w="6771" w:type="dxa"/>
            <w:gridSpan w:val="2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Всего</w:t>
            </w:r>
          </w:p>
        </w:tc>
        <w:tc>
          <w:tcPr>
            <w:tcW w:w="1417" w:type="dxa"/>
            <w:hideMark/>
          </w:tcPr>
          <w:p w:rsidR="003F37D9" w:rsidRPr="003F37D9" w:rsidRDefault="003F37D9" w:rsidP="00EC6108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12600</w:t>
            </w:r>
          </w:p>
        </w:tc>
        <w:tc>
          <w:tcPr>
            <w:tcW w:w="1276" w:type="dxa"/>
            <w:hideMark/>
          </w:tcPr>
          <w:p w:rsidR="003F37D9" w:rsidRPr="003F37D9" w:rsidRDefault="003F37D9" w:rsidP="00196114">
            <w:pPr>
              <w:spacing w:line="240" w:lineRule="auto"/>
              <w:ind w:firstLine="0"/>
              <w:contextualSpacing w:val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3F37D9">
              <w:rPr>
                <w:rFonts w:eastAsia="Times New Roman" w:cs="Times New Roman"/>
                <w:szCs w:val="28"/>
                <w:lang w:eastAsia="ru-RU"/>
              </w:rPr>
              <w:t>12</w:t>
            </w:r>
            <w:r w:rsidR="00196114">
              <w:rPr>
                <w:rFonts w:eastAsia="Times New Roman" w:cs="Times New Roman"/>
                <w:szCs w:val="28"/>
                <w:lang w:eastAsia="ru-RU"/>
              </w:rPr>
              <w:t>6</w:t>
            </w:r>
            <w:r w:rsidRPr="003F37D9">
              <w:rPr>
                <w:rFonts w:eastAsia="Times New Roman" w:cs="Times New Roman"/>
                <w:szCs w:val="28"/>
                <w:lang w:eastAsia="ru-RU"/>
              </w:rPr>
              <w:t>.0</w:t>
            </w:r>
          </w:p>
        </w:tc>
      </w:tr>
    </w:tbl>
    <w:p w:rsidR="003F37D9" w:rsidRPr="003F37D9" w:rsidRDefault="003F37D9" w:rsidP="003F37D9">
      <w:pPr>
        <w:ind w:firstLine="0"/>
        <w:jc w:val="center"/>
        <w:rPr>
          <w:bdr w:val="none" w:sz="0" w:space="0" w:color="auto" w:frame="1"/>
          <w:shd w:val="clear" w:color="auto" w:fill="FFFFFF"/>
        </w:rPr>
      </w:pPr>
    </w:p>
    <w:p w:rsidR="003F37D9" w:rsidRPr="003F37D9" w:rsidRDefault="003F37D9" w:rsidP="003F37D9">
      <w:pPr>
        <w:ind w:firstLine="0"/>
        <w:jc w:val="center"/>
        <w:rPr>
          <w:bdr w:val="none" w:sz="0" w:space="0" w:color="auto" w:frame="1"/>
          <w:lang w:val="en-US"/>
        </w:rPr>
      </w:pPr>
      <w:r w:rsidRPr="003F37D9">
        <w:rPr>
          <w:bdr w:val="none" w:sz="0" w:space="0" w:color="auto" w:frame="1"/>
          <w:shd w:val="clear" w:color="auto" w:fill="FFFFFF"/>
        </w:rPr>
        <w:t xml:space="preserve"> </w:t>
      </w:r>
    </w:p>
    <w:p w:rsidR="003F37D9" w:rsidRPr="003F37D9" w:rsidRDefault="003F37D9" w:rsidP="003F37D9">
      <w:pPr>
        <w:ind w:firstLine="0"/>
      </w:pPr>
    </w:p>
    <w:p w:rsidR="003F37D9" w:rsidRPr="003F37D9" w:rsidRDefault="00196114" w:rsidP="003F37D9">
      <w:pPr>
        <w:ind w:firstLine="0"/>
        <w:jc w:val="center"/>
      </w:pPr>
      <w:r>
        <w:rPr>
          <w:rFonts w:ascii="Arial" w:hAnsi="Arial" w:cs="Arial"/>
          <w:color w:val="000000"/>
          <w:sz w:val="20"/>
          <w:szCs w:val="20"/>
        </w:rPr>
        <w:lastRenderedPageBreak/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INCLUDEPICTURE "D:\\AppData\\Local\\Temp\\OutEA52.tmp\\IsoEAD2.jpg" \* MERGEFORMATINET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381.75pt">
            <v:imagedata r:id="rId9" r:href="rId10"/>
          </v:shape>
        </w:pic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</w:pPr>
      <w:r w:rsidRPr="003F37D9">
        <w:t>Рисунок 7.5 – Изолюксы на рабочей плоскости</w:t>
      </w:r>
    </w:p>
    <w:p w:rsidR="003F37D9" w:rsidRPr="003F37D9" w:rsidRDefault="00196114" w:rsidP="003F37D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3885680"/>
            <wp:effectExtent l="0" t="0" r="0" b="635"/>
            <wp:docPr id="11" name="Рисунок 11" descr="D:\YandexDisk\Скриншоты\2015-04-24 03-09-2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15-04-24 03-09-2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843" cy="388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D9" w:rsidRPr="003F37D9" w:rsidRDefault="003F37D9" w:rsidP="003F37D9">
      <w:pPr>
        <w:spacing w:before="120" w:after="120"/>
        <w:ind w:firstLine="0"/>
        <w:contextualSpacing w:val="0"/>
        <w:jc w:val="center"/>
      </w:pPr>
      <w:r w:rsidRPr="003F37D9">
        <w:t>Рисунок 7.6 – Результат моделирования освещения</w:t>
      </w:r>
    </w:p>
    <w:p w:rsidR="003F37D9" w:rsidRPr="003F37D9" w:rsidRDefault="003F37D9" w:rsidP="003F37D9">
      <w:pPr>
        <w:ind w:firstLine="0"/>
      </w:pPr>
    </w:p>
    <w:p w:rsidR="003F37D9" w:rsidRPr="00196114" w:rsidRDefault="003F37D9" w:rsidP="003F37D9">
      <w:pPr>
        <w:pStyle w:val="1"/>
        <w:rPr>
          <w:lang w:val="ru-RU"/>
        </w:rPr>
      </w:pPr>
      <w:r w:rsidRPr="00196114">
        <w:rPr>
          <w:lang w:val="ru-RU"/>
        </w:rPr>
        <w:t xml:space="preserve">7.4. Утилизация ртутных ламп </w:t>
      </w:r>
    </w:p>
    <w:p w:rsidR="003F37D9" w:rsidRPr="003F37D9" w:rsidRDefault="003F37D9" w:rsidP="003F37D9">
      <w:r w:rsidRPr="003F37D9">
        <w:t>Отработанные и бракованные люминесцентные лампы, используемые для освещения производственных помещений, относятся к ртутьсодержащим отходам и достаточно часто попадают в бытовой мусор. При этом металлическая ртуть и ее соединения относятся к веществам 1</w:t>
      </w:r>
      <w:r w:rsidRPr="003F37D9">
        <w:rPr>
          <w:lang w:val="en-US"/>
        </w:rPr>
        <w:t> </w:t>
      </w:r>
      <w:r w:rsidRPr="003F37D9">
        <w:t xml:space="preserve">класса опасности [6]. </w:t>
      </w:r>
    </w:p>
    <w:p w:rsidR="003F37D9" w:rsidRPr="003F37D9" w:rsidRDefault="003F37D9" w:rsidP="003F37D9">
      <w:r w:rsidRPr="003F37D9">
        <w:t xml:space="preserve">Для каждого типа ламп существуют различные технологии переработки. Одним из способов утилизации является </w:t>
      </w:r>
      <w:proofErr w:type="spellStart"/>
      <w:r w:rsidRPr="003F37D9">
        <w:rPr>
          <w:i/>
        </w:rPr>
        <w:t>демеркуризация</w:t>
      </w:r>
      <w:proofErr w:type="spellEnd"/>
      <w:r w:rsidRPr="003F37D9">
        <w:t xml:space="preserve"> – процесс удаления ртути и ее соединений механическими или физико-химическими способами. Его целью является исключение возможности отравления парами ртути животных и человека.</w:t>
      </w:r>
    </w:p>
    <w:p w:rsidR="003F37D9" w:rsidRPr="003F37D9" w:rsidRDefault="003F37D9" w:rsidP="003F37D9">
      <w:r w:rsidRPr="003F37D9">
        <w:t xml:space="preserve">Для </w:t>
      </w:r>
      <w:proofErr w:type="spellStart"/>
      <w:r w:rsidRPr="003F37D9">
        <w:t>демеркуризации</w:t>
      </w:r>
      <w:proofErr w:type="spellEnd"/>
      <w:r w:rsidRPr="003F37D9">
        <w:t xml:space="preserve"> ртутьсодержащих отходов применяют следующие методы: </w:t>
      </w:r>
    </w:p>
    <w:p w:rsidR="003F37D9" w:rsidRPr="003F37D9" w:rsidRDefault="003F37D9" w:rsidP="003F37D9">
      <w:pPr>
        <w:pStyle w:val="a5"/>
        <w:numPr>
          <w:ilvl w:val="0"/>
          <w:numId w:val="3"/>
        </w:numPr>
      </w:pPr>
      <w:r w:rsidRPr="003F37D9">
        <w:t xml:space="preserve">механические, </w:t>
      </w:r>
    </w:p>
    <w:p w:rsidR="003F37D9" w:rsidRPr="003F37D9" w:rsidRDefault="003F37D9" w:rsidP="003F37D9">
      <w:pPr>
        <w:pStyle w:val="a5"/>
        <w:numPr>
          <w:ilvl w:val="0"/>
          <w:numId w:val="3"/>
        </w:numPr>
      </w:pPr>
      <w:r w:rsidRPr="003F37D9">
        <w:lastRenderedPageBreak/>
        <w:t xml:space="preserve">механико-химические, </w:t>
      </w:r>
    </w:p>
    <w:p w:rsidR="003F37D9" w:rsidRPr="003F37D9" w:rsidRDefault="003F37D9" w:rsidP="003F37D9">
      <w:pPr>
        <w:pStyle w:val="a5"/>
        <w:numPr>
          <w:ilvl w:val="0"/>
          <w:numId w:val="3"/>
        </w:numPr>
      </w:pPr>
      <w:r w:rsidRPr="003F37D9">
        <w:t xml:space="preserve">термические, </w:t>
      </w:r>
    </w:p>
    <w:p w:rsidR="003F37D9" w:rsidRPr="003F37D9" w:rsidRDefault="003F37D9" w:rsidP="003F37D9">
      <w:pPr>
        <w:pStyle w:val="a5"/>
        <w:numPr>
          <w:ilvl w:val="0"/>
          <w:numId w:val="3"/>
        </w:numPr>
      </w:pPr>
      <w:r w:rsidRPr="003F37D9">
        <w:t xml:space="preserve">термические с </w:t>
      </w:r>
      <w:proofErr w:type="spellStart"/>
      <w:r w:rsidRPr="003F37D9">
        <w:t>криоконденсацией</w:t>
      </w:r>
      <w:proofErr w:type="spellEnd"/>
      <w:r w:rsidRPr="003F37D9">
        <w:t>.</w:t>
      </w:r>
    </w:p>
    <w:p w:rsidR="003F37D9" w:rsidRPr="003F37D9" w:rsidRDefault="003F37D9" w:rsidP="003F37D9">
      <w:r w:rsidRPr="003F37D9">
        <w:t xml:space="preserve">Способ утилизации ламп, разработанный и внедренный Научно-исследовательским центром по проблемам управления ресурсосбережением и отходами, предусматривает с помощью установок УДЛ-100 и УДЛ-150 их измельчение, нагревание </w:t>
      </w:r>
      <w:proofErr w:type="spellStart"/>
      <w:r w:rsidRPr="003F37D9">
        <w:t>стеклобоя</w:t>
      </w:r>
      <w:proofErr w:type="spellEnd"/>
      <w:r w:rsidRPr="003F37D9">
        <w:t xml:space="preserve"> для перевода ртути в парообразное состояние, очистку от нее технологических газов до санитарных норм. Метод позволяет на 95% удалить люминофор и выделить для вторичной цветной металлургии пять самостоятельных металлических концентратов: алюминиевый (цоколи), медно-никелевый (выводы), медно-цинковый (латунные штыри), свинцовый (ножки) и оловянно-свинцовый (припой). </w:t>
      </w:r>
    </w:p>
    <w:p w:rsidR="003F37D9" w:rsidRPr="003F37D9" w:rsidRDefault="003F37D9" w:rsidP="003F37D9">
      <w:r w:rsidRPr="003F37D9">
        <w:t xml:space="preserve">Возможно также применение малогабаритных вакуумных </w:t>
      </w:r>
      <w:proofErr w:type="spellStart"/>
      <w:r w:rsidRPr="003F37D9">
        <w:t>термодемеркуризационных</w:t>
      </w:r>
      <w:proofErr w:type="spellEnd"/>
      <w:r w:rsidRPr="003F37D9">
        <w:t xml:space="preserve"> установок. Производительность установок составляет 100 – 500 ламп/ч; потребление электроэнергии – 10 кВт/ч; вес – 420 кг; обслуживающий персонал – 2 </w:t>
      </w:r>
      <w:proofErr w:type="gramStart"/>
      <w:r w:rsidRPr="003F37D9">
        <w:t>чел</w:t>
      </w:r>
      <w:proofErr w:type="gramEnd"/>
      <w:r w:rsidRPr="003F37D9">
        <w:t>/см; срок окупаемости – 1 год. Установки перерабатывают ртутные лампы, ртутьсодержащие отходы, медицинские и другие приборы и устройства, загрязненные ртутью почвы и строительные материалы [7].</w:t>
      </w:r>
    </w:p>
    <w:p w:rsidR="003F37D9" w:rsidRPr="003F37D9" w:rsidRDefault="003F37D9" w:rsidP="003F37D9">
      <w:pPr>
        <w:pStyle w:val="1"/>
      </w:pPr>
      <w:r w:rsidRPr="003F37D9">
        <w:t xml:space="preserve">7.5. </w:t>
      </w:r>
      <w:proofErr w:type="spellStart"/>
      <w:r w:rsidRPr="003F37D9">
        <w:t>Выводы</w:t>
      </w:r>
      <w:proofErr w:type="spellEnd"/>
    </w:p>
    <w:p w:rsidR="003F37D9" w:rsidRPr="003F37D9" w:rsidRDefault="003F37D9" w:rsidP="003F37D9">
      <w:pPr>
        <w:ind w:firstLine="708"/>
      </w:pPr>
      <w:r w:rsidRPr="003F37D9">
        <w:t xml:space="preserve">Мероприятия по обеспечению безопасности труда являются одной из наиболее важных составляющих любого производственного процесса. От соблюдения соответствующих правил и норм зависит как здоровье людей, так и экономическая эффективность работы предприятия. В данном разделе дипломной работы был представлен обзор вредных и опасных факторов, воздействующих на разработчика, а также способы регулирования вредного воздействия. </w:t>
      </w:r>
    </w:p>
    <w:p w:rsidR="003F37D9" w:rsidRPr="003F37D9" w:rsidRDefault="003F37D9" w:rsidP="003F37D9">
      <w:pPr>
        <w:ind w:firstLine="708"/>
      </w:pPr>
      <w:r w:rsidRPr="003F37D9">
        <w:t xml:space="preserve">В результате проведенных расчетов была разработана и спроектирована система искусственного освещения, состоящая из 6-ти светильников. </w:t>
      </w:r>
      <w:r w:rsidRPr="003F37D9">
        <w:lastRenderedPageBreak/>
        <w:t>Фактическое значение средней освещенности рабочей поверхности при использовании такой установки составляет 4</w:t>
      </w:r>
      <w:r w:rsidR="00196114">
        <w:t>12</w:t>
      </w:r>
      <w:r w:rsidRPr="003F37D9">
        <w:t xml:space="preserve"> </w:t>
      </w:r>
      <w:proofErr w:type="spellStart"/>
      <w:r w:rsidRPr="003F37D9">
        <w:t>Лк</w:t>
      </w:r>
      <w:proofErr w:type="spellEnd"/>
      <w:r w:rsidRPr="003F37D9">
        <w:t>.</w:t>
      </w:r>
    </w:p>
    <w:p w:rsidR="003F37D9" w:rsidRPr="003F37D9" w:rsidRDefault="003F37D9" w:rsidP="003F37D9"/>
    <w:p w:rsidR="003F37D9" w:rsidRPr="003F37D9" w:rsidRDefault="003F37D9" w:rsidP="003F37D9">
      <w:pPr>
        <w:spacing w:after="200" w:line="276" w:lineRule="auto"/>
        <w:ind w:firstLine="0"/>
        <w:contextualSpacing w:val="0"/>
        <w:jc w:val="left"/>
      </w:pPr>
      <w:r w:rsidRPr="003F37D9">
        <w:br w:type="page"/>
      </w:r>
    </w:p>
    <w:p w:rsidR="003F37D9" w:rsidRPr="003F37D9" w:rsidRDefault="003F37D9" w:rsidP="003F37D9">
      <w:pPr>
        <w:pStyle w:val="1"/>
      </w:pPr>
      <w:proofErr w:type="spellStart"/>
      <w:r w:rsidRPr="003F37D9">
        <w:lastRenderedPageBreak/>
        <w:t>Литература</w:t>
      </w:r>
      <w:proofErr w:type="spellEnd"/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 xml:space="preserve">СанПиН </w:t>
      </w:r>
      <w:proofErr w:type="gramStart"/>
      <w:r w:rsidRPr="003F37D9">
        <w:t>2.2.2./</w:t>
      </w:r>
      <w:proofErr w:type="gramEnd"/>
      <w:r w:rsidRPr="003F37D9">
        <w:t xml:space="preserve">2.4.1340-03: "Гигиенические требования к </w:t>
      </w:r>
      <w:proofErr w:type="spellStart"/>
      <w:r w:rsidRPr="003F37D9">
        <w:t>видеодисплейным</w:t>
      </w:r>
      <w:proofErr w:type="spellEnd"/>
      <w:r w:rsidRPr="003F37D9">
        <w:t xml:space="preserve"> терминалам, персональным электронно-вычислительным машинам и организации работы".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>ГОСТ Р 50923-96. Рабочее место оператора. Общие эргономические требования и требования к производственной среде. Методы измерения. Гигиенические критерии оценки условий труда.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 xml:space="preserve"> http://edu.dvgups.ru/METDOC/ENF/BGD/PTB/LEK/3.HTM 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>Расчёт искусственного освещения. Методические указания к выполнению индивидуальных заданий для студентов дневного и заочного обучения всех специальностей. – Томск: Изд. ТПУ, 2005.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>Свод правил 52.13330.2011.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 xml:space="preserve">Утилизация энергосберегающих люминесцентных ртутьсодержащих ламп в Московском регионе. журнал </w:t>
      </w:r>
      <w:proofErr w:type="spellStart"/>
      <w:r w:rsidRPr="003F37D9">
        <w:t>Энергосовет</w:t>
      </w:r>
      <w:proofErr w:type="spellEnd"/>
      <w:r w:rsidRPr="003F37D9">
        <w:t> </w:t>
      </w:r>
      <w:hyperlink r:id="rId12" w:history="1">
        <w:r w:rsidRPr="003F37D9">
          <w:t>№ 6 (11) за 2010 г</w:t>
        </w:r>
      </w:hyperlink>
      <w:r w:rsidRPr="003F37D9">
        <w:t>.</w:t>
      </w:r>
    </w:p>
    <w:p w:rsidR="003F37D9" w:rsidRPr="003F37D9" w:rsidRDefault="003F37D9" w:rsidP="003F37D9">
      <w:pPr>
        <w:pStyle w:val="a5"/>
        <w:numPr>
          <w:ilvl w:val="0"/>
          <w:numId w:val="10"/>
        </w:numPr>
      </w:pPr>
      <w:hyperlink r:id="rId13" w:history="1">
        <w:r w:rsidRPr="003F37D9">
          <w:rPr>
            <w:rStyle w:val="a9"/>
            <w:color w:val="auto"/>
          </w:rPr>
          <w:t>http://laws.khv.gov.ru/oth/%D0%9D%D0%94%D0%A2/%D0%A0%D1%82%D1%83%D1%82%D1%8C%D1%81%D0%BE%D0%B4%D0%B5%D1%80%D0%B6%D0%B0%D1%89%D0%B8%D0%B5%20%D0%BE%D1%82%D1%85%D0%BE%D0%B4%D1%8B.htm</w:t>
        </w:r>
      </w:hyperlink>
    </w:p>
    <w:p w:rsidR="003F37D9" w:rsidRPr="003F37D9" w:rsidRDefault="003F37D9" w:rsidP="003F37D9">
      <w:pPr>
        <w:pStyle w:val="a5"/>
        <w:numPr>
          <w:ilvl w:val="0"/>
          <w:numId w:val="10"/>
        </w:numPr>
      </w:pPr>
      <w:r w:rsidRPr="003F37D9">
        <w:t>ГОСТ 12.1.005-88.</w:t>
      </w:r>
    </w:p>
    <w:p w:rsidR="003F37D9" w:rsidRPr="003F37D9" w:rsidRDefault="003F37D9" w:rsidP="003F37D9"/>
    <w:p w:rsidR="007E714E" w:rsidRPr="003F37D9" w:rsidRDefault="007E714E"/>
    <w:sectPr w:rsidR="007E714E" w:rsidRPr="003F37D9" w:rsidSect="001F3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6BF2"/>
    <w:multiLevelType w:val="hybridMultilevel"/>
    <w:tmpl w:val="F1C00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372E8B"/>
    <w:multiLevelType w:val="hybridMultilevel"/>
    <w:tmpl w:val="8814FB0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E6602"/>
    <w:multiLevelType w:val="hybridMultilevel"/>
    <w:tmpl w:val="68F4BC1C"/>
    <w:lvl w:ilvl="0" w:tplc="BFD62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630211"/>
    <w:multiLevelType w:val="hybridMultilevel"/>
    <w:tmpl w:val="8A22AC5A"/>
    <w:lvl w:ilvl="0" w:tplc="64C2DD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A694B9F"/>
    <w:multiLevelType w:val="hybridMultilevel"/>
    <w:tmpl w:val="40B611E2"/>
    <w:lvl w:ilvl="0" w:tplc="E90CFDE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>
    <w:nsid w:val="30A148D8"/>
    <w:multiLevelType w:val="hybridMultilevel"/>
    <w:tmpl w:val="22E4F68C"/>
    <w:lvl w:ilvl="0" w:tplc="93D4B7A0">
      <w:start w:val="1"/>
      <w:numFmt w:val="bullet"/>
      <w:suff w:val="space"/>
      <w:lvlText w:val=""/>
      <w:lvlJc w:val="left"/>
      <w:pPr>
        <w:ind w:left="0" w:firstLine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B96158"/>
    <w:multiLevelType w:val="hybridMultilevel"/>
    <w:tmpl w:val="8E5E3A70"/>
    <w:lvl w:ilvl="0" w:tplc="91BED35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D52A0B"/>
    <w:multiLevelType w:val="hybridMultilevel"/>
    <w:tmpl w:val="495CCC1E"/>
    <w:lvl w:ilvl="0" w:tplc="53728C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977ED"/>
    <w:multiLevelType w:val="hybridMultilevel"/>
    <w:tmpl w:val="D5C0C2EA"/>
    <w:lvl w:ilvl="0" w:tplc="003EC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9A178E">
      <w:start w:val="3"/>
      <w:numFmt w:val="bullet"/>
      <w:lvlText w:val="-"/>
      <w:lvlJc w:val="left"/>
      <w:pPr>
        <w:tabs>
          <w:tab w:val="num" w:pos="1740"/>
        </w:tabs>
        <w:ind w:left="1740" w:hanging="6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782BBB"/>
    <w:multiLevelType w:val="hybridMultilevel"/>
    <w:tmpl w:val="AC8638DA"/>
    <w:lvl w:ilvl="0" w:tplc="BFD629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9C"/>
    <w:rsid w:val="00196114"/>
    <w:rsid w:val="00291F61"/>
    <w:rsid w:val="003F37D9"/>
    <w:rsid w:val="00447906"/>
    <w:rsid w:val="006B7EEA"/>
    <w:rsid w:val="007E714E"/>
    <w:rsid w:val="009A1249"/>
    <w:rsid w:val="00A700FD"/>
    <w:rsid w:val="00B04479"/>
    <w:rsid w:val="00B5279C"/>
    <w:rsid w:val="00C97DF2"/>
    <w:rsid w:val="00D5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72898-FB99-43C7-A97D-472A334E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D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F37D9"/>
    <w:pPr>
      <w:keepNext/>
      <w:widowControl w:val="0"/>
      <w:autoSpaceDE w:val="0"/>
      <w:autoSpaceDN w:val="0"/>
      <w:adjustRightInd w:val="0"/>
      <w:spacing w:before="240" w:after="60" w:line="240" w:lineRule="auto"/>
      <w:ind w:left="720"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1F61"/>
    <w:pPr>
      <w:keepNext/>
      <w:keepLines/>
      <w:widowControl w:val="0"/>
      <w:autoSpaceDE w:val="0"/>
      <w:autoSpaceDN w:val="0"/>
      <w:adjustRightInd w:val="0"/>
      <w:spacing w:before="40" w:line="240" w:lineRule="auto"/>
      <w:jc w:val="center"/>
      <w:outlineLvl w:val="1"/>
    </w:pPr>
    <w:rPr>
      <w:rFonts w:eastAsiaTheme="majorEastAsia" w:cstheme="majorBidi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6B7EEA"/>
    <w:pPr>
      <w:autoSpaceDE w:val="0"/>
      <w:autoSpaceDN w:val="0"/>
      <w:spacing w:line="240" w:lineRule="auto"/>
      <w:jc w:val="center"/>
    </w:pPr>
    <w:rPr>
      <w:rFonts w:eastAsia="SimSun" w:cs="Times New Roman"/>
      <w:b/>
      <w:bCs/>
      <w:szCs w:val="40"/>
      <w:lang w:eastAsia="zh-CN"/>
    </w:rPr>
  </w:style>
  <w:style w:type="character" w:customStyle="1" w:styleId="a4">
    <w:name w:val="Название Знак"/>
    <w:basedOn w:val="a0"/>
    <w:link w:val="a3"/>
    <w:rsid w:val="006B7EEA"/>
    <w:rPr>
      <w:rFonts w:ascii="Times New Roman" w:eastAsia="SimSun" w:hAnsi="Times New Roman" w:cs="Times New Roman"/>
      <w:b/>
      <w:bCs/>
      <w:sz w:val="28"/>
      <w:szCs w:val="4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F37D9"/>
    <w:rPr>
      <w:rFonts w:ascii="Times New Roman" w:eastAsia="Times New Roman" w:hAnsi="Times New Roman" w:cs="Arial"/>
      <w:b/>
      <w:bCs/>
      <w:kern w:val="32"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91F61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3F37D9"/>
    <w:pPr>
      <w:ind w:left="720"/>
    </w:pPr>
  </w:style>
  <w:style w:type="table" w:styleId="a6">
    <w:name w:val="Table Grid"/>
    <w:basedOn w:val="a1"/>
    <w:rsid w:val="003F37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uiPriority w:val="99"/>
    <w:unhideWhenUsed/>
    <w:rsid w:val="003F37D9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3F37D9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3F3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aws.khv.gov.ru/oth/%D0%9D%D0%94%D0%A2/%D0%A0%D1%82%D1%83%D1%82%D1%8C%D1%81%D0%BE%D0%B4%D0%B5%D1%80%D0%B6%D0%B0%D1%89%D0%B8%D0%B5%20%D0%BE%D1%82%D1%85%D0%BE%D0%B4%D1%8B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energosovet.ru/bul_stat.php?num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file:///D:\AppData\Local\Temp\OutEA52.tmp\IsoEAD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3636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2015-04-23T21:55:00Z</dcterms:created>
  <dcterms:modified xsi:type="dcterms:W3CDTF">2015-04-24T00:13:00Z</dcterms:modified>
</cp:coreProperties>
</file>